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2E271"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b/>
          <w:bCs/>
          <w:color w:val="000000"/>
          <w:kern w:val="0"/>
          <w:lang w:val="es-CO" w:eastAsia="es-MX"/>
          <w14:ligatures w14:val="none"/>
        </w:rPr>
        <w:t>CONCEPTO DIAN 1278 DEL 4 DE JULIO 2025</w:t>
      </w:r>
    </w:p>
    <w:p w14:paraId="0BA5C200"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b/>
          <w:bCs/>
          <w:color w:val="000000"/>
          <w:kern w:val="0"/>
          <w:lang w:val="es-CO" w:eastAsia="es-MX"/>
          <w14:ligatures w14:val="none"/>
        </w:rPr>
        <w:t>DIRECCIÓN DE IMPUESTOS Y ADUANAS NACIONALES</w:t>
      </w:r>
    </w:p>
    <w:p w14:paraId="71102F45"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14F26FE4"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&lt;Fuente: Archivo interno entidad emisora&gt;</w:t>
      </w:r>
    </w:p>
    <w:p w14:paraId="33BB410A"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31BAF3DA"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&lt;Publicado en la página web de la DIAN: 9 de julio de 2025&gt;</w:t>
      </w:r>
    </w:p>
    <w:p w14:paraId="6C29B627"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173DECB5"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DIRECCIÓN DE IMPUESTOS Y ADUANAS NACIONALES</w:t>
      </w:r>
    </w:p>
    <w:p w14:paraId="3DAE9CDE"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6EC4C491"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Unidad Informática de Doctrina</w:t>
      </w:r>
    </w:p>
    <w:p w14:paraId="0DB5D94D"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145E24BC"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Área del Derecho</w:t>
      </w:r>
      <w:r w:rsidRPr="00D6400E">
        <w:rPr>
          <w:rFonts w:ascii="Verdana" w:eastAsia="Times New Roman" w:hAnsi="Verdana" w:cs="Times New Roman"/>
          <w:color w:val="000000"/>
          <w:kern w:val="0"/>
          <w:lang w:val="es-CO" w:eastAsia="es-MX"/>
          <w14:ligatures w14:val="none"/>
        </w:rPr>
        <w:tab/>
      </w:r>
      <w:r w:rsidRPr="00D6400E">
        <w:rPr>
          <w:rFonts w:ascii="Verdana" w:eastAsia="Times New Roman" w:hAnsi="Verdana" w:cs="Times New Roman"/>
          <w:color w:val="000000"/>
          <w:kern w:val="0"/>
          <w:lang w:val="es-CO" w:eastAsia="es-MX"/>
          <w14:ligatures w14:val="none"/>
        </w:rPr>
        <w:tab/>
        <w:t>Tributario</w:t>
      </w:r>
    </w:p>
    <w:p w14:paraId="7AB3F7E4"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Banco de Datos</w:t>
      </w:r>
      <w:r w:rsidRPr="00D6400E">
        <w:rPr>
          <w:rFonts w:ascii="Verdana" w:eastAsia="Times New Roman" w:hAnsi="Verdana" w:cs="Times New Roman"/>
          <w:color w:val="000000"/>
          <w:kern w:val="0"/>
          <w:lang w:val="es-CO" w:eastAsia="es-MX"/>
          <w14:ligatures w14:val="none"/>
        </w:rPr>
        <w:tab/>
      </w:r>
      <w:r w:rsidRPr="00D6400E">
        <w:rPr>
          <w:rFonts w:ascii="Verdana" w:eastAsia="Times New Roman" w:hAnsi="Verdana" w:cs="Times New Roman"/>
          <w:color w:val="000000"/>
          <w:kern w:val="0"/>
          <w:lang w:val="es-CO" w:eastAsia="es-MX"/>
          <w14:ligatures w14:val="none"/>
        </w:rPr>
        <w:tab/>
        <w:t>Impuesto sobre la Renta y Complementarios</w:t>
      </w:r>
    </w:p>
    <w:p w14:paraId="6539DD7D"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Problema Jurídico </w:t>
      </w:r>
      <w:r w:rsidRPr="00D6400E">
        <w:rPr>
          <w:rFonts w:ascii="Verdana" w:eastAsia="Times New Roman" w:hAnsi="Verdana" w:cs="Times New Roman"/>
          <w:color w:val="000000"/>
          <w:kern w:val="0"/>
          <w:lang w:val="es-CO" w:eastAsia="es-MX"/>
          <w14:ligatures w14:val="none"/>
        </w:rPr>
        <w:tab/>
        <w:t xml:space="preserve">¿Es aplicable el beneficio fiscal contemplado en 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a las utilidades provenientes de la negociación de ETF listados en Colombia en un sistema de cotización de valores extranjeros?</w:t>
      </w:r>
    </w:p>
    <w:p w14:paraId="77F2E165"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3BBDC97E"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Tesis Jurídica</w:t>
      </w:r>
      <w:r w:rsidRPr="00D6400E">
        <w:rPr>
          <w:rFonts w:ascii="Verdana" w:eastAsia="Times New Roman" w:hAnsi="Verdana" w:cs="Times New Roman"/>
          <w:color w:val="000000"/>
          <w:kern w:val="0"/>
          <w:lang w:val="es-CO" w:eastAsia="es-MX"/>
          <w14:ligatures w14:val="none"/>
        </w:rPr>
        <w:tab/>
        <w:t>Sí. Tanto el beneficio fiscal contemplado en el inciso primero</w:t>
      </w:r>
      <w:r w:rsidRPr="00D6400E">
        <w:rPr>
          <w:rFonts w:ascii="Verdana" w:eastAsia="Times New Roman" w:hAnsi="Verdana" w:cs="Times New Roman"/>
          <w:color w:val="000000"/>
          <w:kern w:val="0"/>
          <w:vertAlign w:val="superscript"/>
          <w:lang w:val="es-CO" w:eastAsia="es-MX"/>
          <w14:ligatures w14:val="none"/>
        </w:rPr>
        <w:t>3</w:t>
      </w:r>
      <w:r w:rsidRPr="00D6400E">
        <w:rPr>
          <w:rFonts w:ascii="Verdana" w:eastAsia="Times New Roman" w:hAnsi="Verdana" w:cs="Times New Roman"/>
          <w:color w:val="000000"/>
          <w:kern w:val="0"/>
          <w:lang w:val="es-CO" w:eastAsia="es-MX"/>
          <w14:ligatures w14:val="none"/>
        </w:rPr>
        <w:t xml:space="preserve">, como aquel contemplado en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son aplicables a las utilidades provenientes de la negociación de ETF, siempre que se cumplan con los requisitos establecidos en dichos incisos.</w:t>
      </w:r>
    </w:p>
    <w:p w14:paraId="72D39C28" w14:textId="77777777" w:rsidR="00D6400E" w:rsidRDefault="00D6400E" w:rsidP="00D6400E">
      <w:pPr>
        <w:jc w:val="both"/>
        <w:rPr>
          <w:rFonts w:ascii="Verdana" w:eastAsia="Times New Roman" w:hAnsi="Verdana" w:cs="Times New Roman"/>
          <w:color w:val="000000"/>
          <w:kern w:val="0"/>
          <w:lang w:val="es-CO" w:eastAsia="es-MX"/>
          <w14:ligatures w14:val="none"/>
        </w:rPr>
      </w:pPr>
    </w:p>
    <w:p w14:paraId="7AE7AC87" w14:textId="03B2863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Descriptores</w:t>
      </w:r>
      <w:r w:rsidRPr="00D6400E">
        <w:rPr>
          <w:rFonts w:ascii="Verdana" w:eastAsia="Times New Roman" w:hAnsi="Verdana" w:cs="Times New Roman"/>
          <w:color w:val="000000"/>
          <w:kern w:val="0"/>
          <w:lang w:val="es-CO" w:eastAsia="es-MX"/>
          <w14:ligatures w14:val="none"/>
        </w:rPr>
        <w:tab/>
      </w:r>
      <w:r w:rsidRPr="00D6400E">
        <w:rPr>
          <w:rFonts w:ascii="Verdana" w:eastAsia="Times New Roman" w:hAnsi="Verdana" w:cs="Times New Roman"/>
          <w:color w:val="000000"/>
          <w:kern w:val="0"/>
          <w:lang w:val="es-CO" w:eastAsia="es-MX"/>
          <w14:ligatures w14:val="none"/>
        </w:rPr>
        <w:tab/>
        <w:t>Utilidad en la enajenación de acciones</w:t>
      </w:r>
    </w:p>
    <w:p w14:paraId="24D2BB5E" w14:textId="77777777" w:rsidR="00D6400E" w:rsidRPr="00D6400E" w:rsidRDefault="00D6400E" w:rsidP="00D6400E">
      <w:pPr>
        <w:ind w:left="2880"/>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“Exchange </w:t>
      </w:r>
      <w:proofErr w:type="spellStart"/>
      <w:r w:rsidRPr="00D6400E">
        <w:rPr>
          <w:rFonts w:ascii="Verdana" w:eastAsia="Times New Roman" w:hAnsi="Verdana" w:cs="Times New Roman"/>
          <w:color w:val="000000"/>
          <w:kern w:val="0"/>
          <w:lang w:val="es-CO" w:eastAsia="es-MX"/>
          <w14:ligatures w14:val="none"/>
        </w:rPr>
        <w:t>Traded</w:t>
      </w:r>
      <w:proofErr w:type="spellEnd"/>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Funds</w:t>
      </w:r>
      <w:proofErr w:type="spellEnd"/>
      <w:r w:rsidRPr="00D6400E">
        <w:rPr>
          <w:rFonts w:ascii="Verdana" w:eastAsia="Times New Roman" w:hAnsi="Verdana" w:cs="Times New Roman"/>
          <w:color w:val="000000"/>
          <w:kern w:val="0"/>
          <w:lang w:val="es-CO" w:eastAsia="es-MX"/>
          <w14:ligatures w14:val="none"/>
        </w:rPr>
        <w:t>” (“ETF”) Mercado Global Colombiano</w:t>
      </w:r>
    </w:p>
    <w:p w14:paraId="07E6ED8D" w14:textId="77777777" w:rsidR="00D6400E" w:rsidRDefault="00D6400E" w:rsidP="00D6400E">
      <w:pPr>
        <w:jc w:val="both"/>
        <w:rPr>
          <w:rFonts w:ascii="Verdana" w:eastAsia="Times New Roman" w:hAnsi="Verdana" w:cs="Times New Roman"/>
          <w:color w:val="000000"/>
          <w:kern w:val="0"/>
          <w:lang w:val="es-CO" w:eastAsia="es-MX"/>
          <w14:ligatures w14:val="none"/>
        </w:rPr>
      </w:pPr>
    </w:p>
    <w:p w14:paraId="436AD672" w14:textId="3B1AA2DE"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Fuentes Formales</w:t>
      </w:r>
      <w:r w:rsidRPr="00D6400E">
        <w:rPr>
          <w:rFonts w:ascii="Verdana" w:eastAsia="Times New Roman" w:hAnsi="Verdana" w:cs="Times New Roman"/>
          <w:color w:val="000000"/>
          <w:kern w:val="0"/>
          <w:lang w:val="es-CO" w:eastAsia="es-MX"/>
          <w14:ligatures w14:val="none"/>
        </w:rPr>
        <w:tab/>
      </w:r>
      <w:r w:rsidRPr="00D6400E">
        <w:rPr>
          <w:rFonts w:ascii="Verdana" w:eastAsia="Times New Roman" w:hAnsi="Verdana" w:cs="Times New Roman"/>
          <w:color w:val="000000"/>
          <w:kern w:val="0"/>
          <w:lang w:val="es-CO" w:eastAsia="es-MX"/>
          <w14:ligatures w14:val="none"/>
        </w:rPr>
        <w:tab/>
        <w:t xml:space="preserve">ESTATUTO TRIBUTARIO ARTÍCULO </w:t>
      </w:r>
      <w:r w:rsidRPr="00D6400E">
        <w:rPr>
          <w:rFonts w:ascii="Verdana" w:eastAsia="Times New Roman" w:hAnsi="Verdana" w:cs="Times New Roman"/>
          <w:color w:val="000000"/>
          <w:kern w:val="0"/>
          <w:u w:val="single"/>
          <w:lang w:val="es-CO" w:eastAsia="es-MX"/>
          <w14:ligatures w14:val="none"/>
        </w:rPr>
        <w:t>36-1</w:t>
      </w:r>
    </w:p>
    <w:p w14:paraId="74B1B052" w14:textId="77777777" w:rsidR="00D6400E" w:rsidRPr="00D6400E" w:rsidRDefault="00D6400E" w:rsidP="00D6400E">
      <w:pPr>
        <w:ind w:left="2160" w:firstLine="720"/>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ESTATUTO TRIBUTARIO ARTÍCULO </w:t>
      </w:r>
      <w:r w:rsidRPr="00D6400E">
        <w:rPr>
          <w:rFonts w:ascii="Verdana" w:eastAsia="Times New Roman" w:hAnsi="Verdana" w:cs="Times New Roman"/>
          <w:color w:val="000000"/>
          <w:kern w:val="0"/>
          <w:u w:val="single"/>
          <w:lang w:val="es-CO" w:eastAsia="es-MX"/>
          <w14:ligatures w14:val="none"/>
        </w:rPr>
        <w:t>102</w:t>
      </w:r>
      <w:r w:rsidRPr="00D6400E">
        <w:rPr>
          <w:rFonts w:ascii="Verdana" w:eastAsia="Times New Roman" w:hAnsi="Verdana" w:cs="Times New Roman"/>
          <w:color w:val="000000"/>
          <w:kern w:val="0"/>
          <w:lang w:val="es-CO" w:eastAsia="es-MX"/>
          <w14:ligatures w14:val="none"/>
        </w:rPr>
        <w:t>, NUMERAL 8</w:t>
      </w:r>
    </w:p>
    <w:p w14:paraId="5FC642FB" w14:textId="77777777" w:rsidR="00D6400E" w:rsidRPr="00D6400E" w:rsidRDefault="00D6400E" w:rsidP="00D6400E">
      <w:pPr>
        <w:ind w:left="2880"/>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DECRETO 2555 DE 2010. ARTÍCULOS </w:t>
      </w:r>
      <w:r w:rsidRPr="00D6400E">
        <w:rPr>
          <w:rFonts w:ascii="Verdana" w:eastAsia="Times New Roman" w:hAnsi="Verdana" w:cs="Times New Roman"/>
          <w:color w:val="000000"/>
          <w:kern w:val="0"/>
          <w:u w:val="single"/>
          <w:lang w:val="es-CO" w:eastAsia="es-MX"/>
          <w14:ligatures w14:val="none"/>
        </w:rPr>
        <w:t>2.15.6.1.4</w:t>
      </w:r>
      <w:r w:rsidRPr="00D6400E">
        <w:rPr>
          <w:rFonts w:ascii="Verdana" w:eastAsia="Times New Roman" w:hAnsi="Verdana" w:cs="Times New Roman"/>
          <w:color w:val="000000"/>
          <w:kern w:val="0"/>
          <w:lang w:val="es-CO" w:eastAsia="es-MX"/>
          <w14:ligatures w14:val="none"/>
        </w:rPr>
        <w:t xml:space="preserve">, </w:t>
      </w:r>
      <w:r w:rsidRPr="00D6400E">
        <w:rPr>
          <w:rFonts w:ascii="Verdana" w:eastAsia="Times New Roman" w:hAnsi="Verdana" w:cs="Times New Roman"/>
          <w:color w:val="000000"/>
          <w:kern w:val="0"/>
          <w:u w:val="single"/>
          <w:lang w:val="es-CO" w:eastAsia="es-MX"/>
          <w14:ligatures w14:val="none"/>
        </w:rPr>
        <w:t>2.15.6.1.5</w:t>
      </w:r>
      <w:r w:rsidRPr="00D6400E">
        <w:rPr>
          <w:rFonts w:ascii="Verdana" w:eastAsia="Times New Roman" w:hAnsi="Verdana" w:cs="Times New Roman"/>
          <w:color w:val="000000"/>
          <w:kern w:val="0"/>
          <w:lang w:val="es-CO" w:eastAsia="es-MX"/>
          <w14:ligatures w14:val="none"/>
        </w:rPr>
        <w:t xml:space="preserve">, </w:t>
      </w:r>
      <w:r w:rsidRPr="00D6400E">
        <w:rPr>
          <w:rFonts w:ascii="Verdana" w:eastAsia="Times New Roman" w:hAnsi="Verdana" w:cs="Times New Roman"/>
          <w:color w:val="000000"/>
          <w:kern w:val="0"/>
          <w:u w:val="single"/>
          <w:lang w:val="es-CO" w:eastAsia="es-MX"/>
          <w14:ligatures w14:val="none"/>
        </w:rPr>
        <w:t>2.15.6.1.11</w:t>
      </w:r>
    </w:p>
    <w:p w14:paraId="54048780"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4CCF1E0E"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Extracto</w:t>
      </w:r>
    </w:p>
    <w:p w14:paraId="40C0CFC9"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3FF01D8C" w14:textId="77777777" w:rsidR="00D6400E" w:rsidRPr="00D6400E" w:rsidRDefault="00D6400E" w:rsidP="00D6400E">
      <w:pPr>
        <w:numPr>
          <w:ilvl w:val="0"/>
          <w:numId w:val="1"/>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Este Despacho es competente para resolver las peticiones de reconsideración de conceptos expedidos por la Subdirección de Normativa y Doctrina</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w:t>
      </w:r>
    </w:p>
    <w:p w14:paraId="79AA614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1863677F" w14:textId="77777777" w:rsidR="00D6400E" w:rsidRDefault="00D6400E" w:rsidP="00D6400E">
      <w:pPr>
        <w:numPr>
          <w:ilvl w:val="0"/>
          <w:numId w:val="2"/>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SOLICITUD DE RECONSIDERACIÓN</w:t>
      </w:r>
    </w:p>
    <w:p w14:paraId="244FBB64" w14:textId="77777777" w:rsidR="00D6400E" w:rsidRPr="00D6400E" w:rsidRDefault="00D6400E" w:rsidP="00D6400E">
      <w:pPr>
        <w:jc w:val="both"/>
        <w:textAlignment w:val="baseline"/>
        <w:rPr>
          <w:rFonts w:ascii="Verdana" w:eastAsia="Times New Roman" w:hAnsi="Verdana" w:cs="Times New Roman"/>
          <w:color w:val="000000"/>
          <w:kern w:val="0"/>
          <w:lang w:val="es-CO" w:eastAsia="es-MX"/>
          <w14:ligatures w14:val="none"/>
        </w:rPr>
      </w:pPr>
    </w:p>
    <w:p w14:paraId="3886202B" w14:textId="77777777" w:rsidR="00D6400E" w:rsidRPr="00D6400E" w:rsidRDefault="00D6400E" w:rsidP="00D6400E">
      <w:pPr>
        <w:numPr>
          <w:ilvl w:val="0"/>
          <w:numId w:val="3"/>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lastRenderedPageBreak/>
        <w:t>Mediante el radicado de la referencia, se solicita la reconsideración de los Conceptos No. 00</w:t>
      </w:r>
      <w:r w:rsidRPr="00D6400E">
        <w:rPr>
          <w:rFonts w:ascii="Verdana" w:eastAsia="Times New Roman" w:hAnsi="Verdana" w:cs="Times New Roman"/>
          <w:color w:val="000000"/>
          <w:kern w:val="0"/>
          <w:u w:val="single"/>
          <w:lang w:val="es-CO" w:eastAsia="es-MX"/>
          <w14:ligatures w14:val="none"/>
        </w:rPr>
        <w:t>5308</w:t>
      </w:r>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int</w:t>
      </w:r>
      <w:proofErr w:type="spellEnd"/>
      <w:r w:rsidRPr="00D6400E">
        <w:rPr>
          <w:rFonts w:ascii="Verdana" w:eastAsia="Times New Roman" w:hAnsi="Verdana" w:cs="Times New Roman"/>
          <w:color w:val="000000"/>
          <w:kern w:val="0"/>
          <w:lang w:val="es-CO" w:eastAsia="es-MX"/>
          <w14:ligatures w14:val="none"/>
        </w:rPr>
        <w:t>. 604 de 2024, 0</w:t>
      </w:r>
      <w:r w:rsidRPr="00D6400E">
        <w:rPr>
          <w:rFonts w:ascii="Verdana" w:eastAsia="Times New Roman" w:hAnsi="Verdana" w:cs="Times New Roman"/>
          <w:color w:val="000000"/>
          <w:kern w:val="0"/>
          <w:u w:val="single"/>
          <w:lang w:val="es-CO" w:eastAsia="es-MX"/>
          <w14:ligatures w14:val="none"/>
        </w:rPr>
        <w:t>70087</w:t>
      </w:r>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int</w:t>
      </w:r>
      <w:proofErr w:type="spellEnd"/>
      <w:r w:rsidRPr="00D6400E">
        <w:rPr>
          <w:rFonts w:ascii="Verdana" w:eastAsia="Times New Roman" w:hAnsi="Verdana" w:cs="Times New Roman"/>
          <w:color w:val="000000"/>
          <w:kern w:val="0"/>
          <w:lang w:val="es-CO" w:eastAsia="es-MX"/>
          <w14:ligatures w14:val="none"/>
        </w:rPr>
        <w:t xml:space="preserve">. 167 de 2011 y </w:t>
      </w:r>
      <w:r w:rsidRPr="00D6400E">
        <w:rPr>
          <w:rFonts w:ascii="Verdana" w:eastAsia="Times New Roman" w:hAnsi="Verdana" w:cs="Times New Roman"/>
          <w:color w:val="000000"/>
          <w:kern w:val="0"/>
          <w:u w:val="single"/>
          <w:lang w:val="es-CO" w:eastAsia="es-MX"/>
          <w14:ligatures w14:val="none"/>
        </w:rPr>
        <w:t>76740</w:t>
      </w:r>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int</w:t>
      </w:r>
      <w:proofErr w:type="spellEnd"/>
      <w:r w:rsidRPr="00D6400E">
        <w:rPr>
          <w:rFonts w:ascii="Verdana" w:eastAsia="Times New Roman" w:hAnsi="Verdana" w:cs="Times New Roman"/>
          <w:color w:val="000000"/>
          <w:kern w:val="0"/>
          <w:lang w:val="es-CO" w:eastAsia="es-MX"/>
          <w14:ligatures w14:val="none"/>
        </w:rPr>
        <w:t xml:space="preserve">. 1702 de 2012, en los cuales se concluye que las utilidades derivadas de la negociación de Exchange </w:t>
      </w:r>
      <w:proofErr w:type="spellStart"/>
      <w:r w:rsidRPr="00D6400E">
        <w:rPr>
          <w:rFonts w:ascii="Verdana" w:eastAsia="Times New Roman" w:hAnsi="Verdana" w:cs="Times New Roman"/>
          <w:color w:val="000000"/>
          <w:kern w:val="0"/>
          <w:lang w:val="es-CO" w:eastAsia="es-MX"/>
          <w14:ligatures w14:val="none"/>
        </w:rPr>
        <w:t>Traded</w:t>
      </w:r>
      <w:proofErr w:type="spellEnd"/>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Funds</w:t>
      </w:r>
      <w:proofErr w:type="spellEnd"/>
      <w:r w:rsidRPr="00D6400E">
        <w:rPr>
          <w:rFonts w:ascii="Verdana" w:eastAsia="Times New Roman" w:hAnsi="Verdana" w:cs="Times New Roman"/>
          <w:color w:val="000000"/>
          <w:kern w:val="0"/>
          <w:lang w:val="es-CO" w:eastAsia="es-MX"/>
          <w14:ligatures w14:val="none"/>
        </w:rPr>
        <w:t xml:space="preserve"> (referidos en adelante como “ETF”) listados en el Mercado Global Colombiano (MGC) pueden acceder al beneficio fiscal consagrado en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(ET), siempre que su subyacente esté representado exclusivamente en acciones.</w:t>
      </w:r>
    </w:p>
    <w:p w14:paraId="0C8CF1D5"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1626348D" w14:textId="77777777" w:rsidR="00D6400E" w:rsidRPr="00D6400E" w:rsidRDefault="00D6400E" w:rsidP="00D6400E">
      <w:pPr>
        <w:numPr>
          <w:ilvl w:val="0"/>
          <w:numId w:val="4"/>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En el concepto 604 de 2024, se definió el problema jurídico de la siguiente manera:</w:t>
      </w:r>
    </w:p>
    <w:p w14:paraId="52BAB33A"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5F7AA623"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Problema Jurídico: ¿Es aplicable el beneficio fiscal contemplado en 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a las utilidades provenientes de la negociación de «Exchange </w:t>
      </w:r>
      <w:proofErr w:type="spellStart"/>
      <w:r w:rsidRPr="00D6400E">
        <w:rPr>
          <w:rFonts w:ascii="Verdana" w:eastAsia="Times New Roman" w:hAnsi="Verdana" w:cs="Times New Roman"/>
          <w:color w:val="000000"/>
          <w:kern w:val="0"/>
          <w:lang w:val="es-CO" w:eastAsia="es-MX"/>
          <w14:ligatures w14:val="none"/>
        </w:rPr>
        <w:t>Traded</w:t>
      </w:r>
      <w:proofErr w:type="spellEnd"/>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Funds</w:t>
      </w:r>
      <w:proofErr w:type="spellEnd"/>
      <w:r w:rsidRPr="00D6400E">
        <w:rPr>
          <w:rFonts w:ascii="Verdana" w:eastAsia="Times New Roman" w:hAnsi="Verdana" w:cs="Times New Roman"/>
          <w:color w:val="000000"/>
          <w:kern w:val="0"/>
          <w:lang w:val="es-CO" w:eastAsia="es-MX"/>
          <w14:ligatures w14:val="none"/>
        </w:rPr>
        <w:t>» (en adelante ETF) listados en Colombia en un sistema de cotización de valores extranjeros?</w:t>
      </w:r>
    </w:p>
    <w:p w14:paraId="7F448665"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2E4D04C" w14:textId="77777777" w:rsidR="00D6400E" w:rsidRPr="00D6400E" w:rsidRDefault="00D6400E" w:rsidP="00D6400E">
      <w:pPr>
        <w:numPr>
          <w:ilvl w:val="0"/>
          <w:numId w:val="5"/>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Sobre esto, se concluyó:</w:t>
      </w:r>
    </w:p>
    <w:p w14:paraId="1F17B3FA"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6B60326C"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 En consecuencia, si bien no es posible extender a los ETF el beneficio consagrado en el inciso 2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una interpretación integral y sistemática de las normas referidas permite concluir que los ETF cuyo subyacente esté representado exclusivamente en acciones y que es listado en el MGC de la BVC cumplen con los presupuestos establecidos en el inciso 4 del artículo en mención, esto es: (i) Ser un fondo colectivo que replique índices; (</w:t>
      </w:r>
      <w:proofErr w:type="spellStart"/>
      <w:r w:rsidRPr="00D6400E">
        <w:rPr>
          <w:rFonts w:ascii="Verdana" w:eastAsia="Times New Roman" w:hAnsi="Verdana" w:cs="Times New Roman"/>
          <w:color w:val="000000"/>
          <w:kern w:val="0"/>
          <w:lang w:val="es-CO" w:eastAsia="es-MX"/>
          <w14:ligatures w14:val="none"/>
        </w:rPr>
        <w:t>ii</w:t>
      </w:r>
      <w:proofErr w:type="spellEnd"/>
      <w:r w:rsidRPr="00D6400E">
        <w:rPr>
          <w:rFonts w:ascii="Verdana" w:eastAsia="Times New Roman" w:hAnsi="Verdana" w:cs="Times New Roman"/>
          <w:color w:val="000000"/>
          <w:kern w:val="0"/>
          <w:lang w:val="es-CO" w:eastAsia="es-MX"/>
          <w14:ligatures w14:val="none"/>
        </w:rPr>
        <w:t>) estar conformado por un subyacente representado en acciones que equivalen a un valor; y (</w:t>
      </w:r>
      <w:proofErr w:type="spellStart"/>
      <w:r w:rsidRPr="00D6400E">
        <w:rPr>
          <w:rFonts w:ascii="Verdana" w:eastAsia="Times New Roman" w:hAnsi="Verdana" w:cs="Times New Roman"/>
          <w:color w:val="000000"/>
          <w:kern w:val="0"/>
          <w:lang w:val="es-CO" w:eastAsia="es-MX"/>
          <w14:ligatures w14:val="none"/>
        </w:rPr>
        <w:t>iii</w:t>
      </w:r>
      <w:proofErr w:type="spellEnd"/>
      <w:r w:rsidRPr="00D6400E">
        <w:rPr>
          <w:rFonts w:ascii="Verdana" w:eastAsia="Times New Roman" w:hAnsi="Verdana" w:cs="Times New Roman"/>
          <w:color w:val="000000"/>
          <w:kern w:val="0"/>
          <w:lang w:val="es-CO" w:eastAsia="es-MX"/>
          <w14:ligatures w14:val="none"/>
        </w:rPr>
        <w:t>) que el sistema en el cual se negocian, aparte de inscribirlos en él, permite reflejar el comportamiento de dichas acciones.</w:t>
      </w:r>
    </w:p>
    <w:p w14:paraId="647B3758"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66070A33"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Por lo tanto, a las utilidades provenientes de la negociación de ETF listados en el MGC, cuyo subyacente esté representado en acciones, les es aplicable el beneficio tributario establecido en norma tributaria referida. Sin embargo, es importante señalar que corresponde al beneficiario evaluar en cada caso particular si el ETF listado en el MGC cumple con las condiciones requeridas para la aplicación del beneficio fiscal.»</w:t>
      </w:r>
      <w:r w:rsidRPr="00D6400E">
        <w:rPr>
          <w:rFonts w:ascii="Verdana" w:eastAsia="Times New Roman" w:hAnsi="Verdana" w:cs="Times New Roman"/>
          <w:color w:val="000000"/>
          <w:kern w:val="0"/>
          <w:u w:val="single"/>
          <w:vertAlign w:val="superscript"/>
          <w:lang w:val="es-CO" w:eastAsia="es-MX"/>
          <w14:ligatures w14:val="none"/>
        </w:rPr>
        <w:t>[]</w:t>
      </w:r>
    </w:p>
    <w:p w14:paraId="371F418F"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522EE87" w14:textId="77777777" w:rsidR="00D6400E" w:rsidRPr="00D6400E" w:rsidRDefault="00D6400E" w:rsidP="00D6400E">
      <w:pPr>
        <w:numPr>
          <w:ilvl w:val="0"/>
          <w:numId w:val="6"/>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En este sentido, se afirmó que a los ETF cuyo subyacente esté representado exclusivamente en acciones y estén listados en el Mercado Global Colombiano (MGC) de la bolsa de valores colombiana les era aplicable el beneficio tributario previsto en el inciso tercero del artículo </w:t>
      </w:r>
      <w:r w:rsidRPr="00D6400E">
        <w:rPr>
          <w:rFonts w:ascii="Verdana" w:eastAsia="Times New Roman" w:hAnsi="Verdana" w:cs="Times New Roman"/>
          <w:color w:val="000000"/>
          <w:kern w:val="0"/>
          <w:u w:val="single"/>
          <w:lang w:val="es-CO" w:eastAsia="es-MX"/>
          <w14:ligatures w14:val="none"/>
        </w:rPr>
        <w:lastRenderedPageBreak/>
        <w:t>36-1</w:t>
      </w:r>
      <w:r w:rsidRPr="00D6400E">
        <w:rPr>
          <w:rFonts w:ascii="Verdana" w:eastAsia="Times New Roman" w:hAnsi="Verdana" w:cs="Times New Roman"/>
          <w:color w:val="000000"/>
          <w:kern w:val="0"/>
          <w:lang w:val="es-CO" w:eastAsia="es-MX"/>
          <w14:ligatures w14:val="none"/>
        </w:rPr>
        <w:t xml:space="preserve"> del Estatuto Tributario, pero que no les era aplicable el beneficio fiscal del inciso primero.</w:t>
      </w:r>
    </w:p>
    <w:p w14:paraId="68259A3D"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59B1744" w14:textId="77777777" w:rsidR="00D6400E" w:rsidRPr="00D6400E" w:rsidRDefault="00D6400E" w:rsidP="00D6400E">
      <w:pPr>
        <w:numPr>
          <w:ilvl w:val="0"/>
          <w:numId w:val="7"/>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Sin embargo, a juicio del peticionario, dicha interpretación no observa los requisitos establecidos por la norma para acceder a este beneficio. En efecto, el peticionario sostiene que, según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ET, el beneficio fiscal es aplicable sólo cuando el ingreso proviene de la enajenación de valores cuyo subyacente esté representado por acciones inscritas en la BVC, o de la negociación de índices u otros vehículos de inversión que reflejen el comportamiento de acciones inscritas en la BVC.</w:t>
      </w:r>
    </w:p>
    <w:p w14:paraId="29D83DE8"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67CBBB94" w14:textId="77777777" w:rsidR="00D6400E" w:rsidRPr="00D6400E" w:rsidRDefault="00D6400E" w:rsidP="00D6400E">
      <w:pPr>
        <w:numPr>
          <w:ilvl w:val="0"/>
          <w:numId w:val="8"/>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De acuerdo con la interpretación contenida en el Concepto 604 de 2024, en el caso de los </w:t>
      </w:r>
      <w:proofErr w:type="spellStart"/>
      <w:r w:rsidRPr="00D6400E">
        <w:rPr>
          <w:rFonts w:ascii="Verdana" w:eastAsia="Times New Roman" w:hAnsi="Verdana" w:cs="Times New Roman"/>
          <w:color w:val="000000"/>
          <w:kern w:val="0"/>
          <w:lang w:val="es-CO" w:eastAsia="es-MX"/>
          <w14:ligatures w14:val="none"/>
        </w:rPr>
        <w:t>ETFs</w:t>
      </w:r>
      <w:proofErr w:type="spellEnd"/>
      <w:r w:rsidRPr="00D6400E">
        <w:rPr>
          <w:rFonts w:ascii="Verdana" w:eastAsia="Times New Roman" w:hAnsi="Verdana" w:cs="Times New Roman"/>
          <w:color w:val="000000"/>
          <w:kern w:val="0"/>
          <w:lang w:val="es-CO" w:eastAsia="es-MX"/>
          <w14:ligatures w14:val="none"/>
        </w:rPr>
        <w:t xml:space="preserve"> extranjeros, la inscripción en el MGC permite que los ETF accedan al beneficio fiscal del inciso tercero, siempre que su subyacente esté representado en acciones, incluso si esas acciones no están listadas en la BVC. El peticionario considera que esto es incorrecto, pues la inscripción en el MGC no implica que las acciones subyacentes estén inscritas en la BVC, como lo exige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ET.</w:t>
      </w:r>
    </w:p>
    <w:p w14:paraId="0DE815DA"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1B9B140E" w14:textId="77777777" w:rsidR="00D6400E" w:rsidRPr="00D6400E" w:rsidRDefault="00D6400E" w:rsidP="00D6400E">
      <w:pPr>
        <w:numPr>
          <w:ilvl w:val="0"/>
          <w:numId w:val="9"/>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En este sentido, el peticionario argumenta que la interpretación dada en el Concepto 604 de 2024 ha ampliado indebidamente los requisitos para el acceso al beneficio fiscal, yendo en contravía del principio de interpretación restrictiva cuando se trata de beneficios fiscales. Permitir que los ETF listados en el MGC accedan a este beneficio sin que las acciones subyacentes estén inscritas en la BVC contraviene, a juicio del peticionario, los requisitos explícitos establecidos por el legislador, lo que justifica la reconsideración de la doctrina establecida en dicho concepto.</w:t>
      </w:r>
    </w:p>
    <w:p w14:paraId="275D17F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396DC92F" w14:textId="77777777" w:rsidR="00D6400E" w:rsidRPr="00D6400E" w:rsidRDefault="00D6400E" w:rsidP="00D6400E">
      <w:pPr>
        <w:numPr>
          <w:ilvl w:val="0"/>
          <w:numId w:val="10"/>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ANÁLISIS DE LA SOLICITUD</w:t>
      </w:r>
    </w:p>
    <w:p w14:paraId="43CBD11D"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7D22127C" w14:textId="77777777" w:rsidR="00D6400E" w:rsidRPr="00D6400E" w:rsidRDefault="00D6400E" w:rsidP="00D6400E">
      <w:pPr>
        <w:numPr>
          <w:ilvl w:val="0"/>
          <w:numId w:val="11"/>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Teniendo en cuenta que la solicitud de reconsideración anteriormente planteada supone un análisis integral de los ETF y de los beneficios previstos en 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este Despacho revocará integralmente los Conceptos 00</w:t>
      </w:r>
      <w:r w:rsidRPr="00D6400E">
        <w:rPr>
          <w:rFonts w:ascii="Verdana" w:eastAsia="Times New Roman" w:hAnsi="Verdana" w:cs="Times New Roman"/>
          <w:color w:val="000000"/>
          <w:kern w:val="0"/>
          <w:u w:val="single"/>
          <w:lang w:val="es-CO" w:eastAsia="es-MX"/>
          <w14:ligatures w14:val="none"/>
        </w:rPr>
        <w:t>5308</w:t>
      </w:r>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int</w:t>
      </w:r>
      <w:proofErr w:type="spellEnd"/>
      <w:r w:rsidRPr="00D6400E">
        <w:rPr>
          <w:rFonts w:ascii="Verdana" w:eastAsia="Times New Roman" w:hAnsi="Verdana" w:cs="Times New Roman"/>
          <w:color w:val="000000"/>
          <w:kern w:val="0"/>
          <w:lang w:val="es-CO" w:eastAsia="es-MX"/>
          <w14:ligatures w14:val="none"/>
        </w:rPr>
        <w:t>. 604 de 2024 y 039115 de 2013, replanteando tanto el problema jurídico como la fundamentación en los siguientes términos:</w:t>
      </w:r>
    </w:p>
    <w:p w14:paraId="1F2C0DCB"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7819EA0D"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lastRenderedPageBreak/>
        <w:t>PROBLEMA JURÍDICO</w:t>
      </w:r>
    </w:p>
    <w:p w14:paraId="1534F59A" w14:textId="77777777" w:rsidR="00D6400E" w:rsidRPr="00D6400E" w:rsidRDefault="00D6400E" w:rsidP="00D6400E">
      <w:pPr>
        <w:numPr>
          <w:ilvl w:val="0"/>
          <w:numId w:val="12"/>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¿Es aplicable el beneficio fiscal contemplado en 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a las utilidades provenientes de la negociación de ETF listados en Colombia en un sistema de cotización de valores extranjeros?</w:t>
      </w:r>
    </w:p>
    <w:p w14:paraId="2BBED89B"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53888CF9"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TESIS JURÍDICA</w:t>
      </w:r>
    </w:p>
    <w:p w14:paraId="3894FE0E"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6E33182" w14:textId="77777777" w:rsidR="00D6400E" w:rsidRPr="00D6400E" w:rsidRDefault="00D6400E" w:rsidP="00D6400E">
      <w:pPr>
        <w:numPr>
          <w:ilvl w:val="0"/>
          <w:numId w:val="13"/>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Sí. Tanto el beneficio fiscal contemplado en el inciso primero</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xml:space="preserve">, como aquel contemplado en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son aplicables a las utilidades provenientes de la negociación de ETF, siempre que se cumplan con los requisitos establecidos en dichos incisos.</w:t>
      </w:r>
    </w:p>
    <w:p w14:paraId="14EF1A93"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33DB44C8"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FUNDAMENTACIÓN</w:t>
      </w:r>
    </w:p>
    <w:p w14:paraId="7DEA7C27"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27A9D9A8" w14:textId="77777777" w:rsidR="00D6400E" w:rsidRPr="00D6400E" w:rsidRDefault="00D6400E" w:rsidP="00D6400E">
      <w:pPr>
        <w:numPr>
          <w:ilvl w:val="0"/>
          <w:numId w:val="14"/>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Para analizar el problema jurídico planteado, es necesario (i) delimitar los beneficios establecidos en 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w:t>
      </w:r>
      <w:proofErr w:type="spellStart"/>
      <w:r w:rsidRPr="00D6400E">
        <w:rPr>
          <w:rFonts w:ascii="Verdana" w:eastAsia="Times New Roman" w:hAnsi="Verdana" w:cs="Times New Roman"/>
          <w:color w:val="000000"/>
          <w:kern w:val="0"/>
          <w:lang w:val="es-CO" w:eastAsia="es-MX"/>
          <w14:ligatures w14:val="none"/>
        </w:rPr>
        <w:t>ii</w:t>
      </w:r>
      <w:proofErr w:type="spellEnd"/>
      <w:r w:rsidRPr="00D6400E">
        <w:rPr>
          <w:rFonts w:ascii="Verdana" w:eastAsia="Times New Roman" w:hAnsi="Verdana" w:cs="Times New Roman"/>
          <w:color w:val="000000"/>
          <w:kern w:val="0"/>
          <w:lang w:val="es-CO" w:eastAsia="es-MX"/>
          <w14:ligatures w14:val="none"/>
        </w:rPr>
        <w:t xml:space="preserve">) analizar la institución jurídica de los Exchange </w:t>
      </w:r>
      <w:proofErr w:type="spellStart"/>
      <w:r w:rsidRPr="00D6400E">
        <w:rPr>
          <w:rFonts w:ascii="Verdana" w:eastAsia="Times New Roman" w:hAnsi="Verdana" w:cs="Times New Roman"/>
          <w:color w:val="000000"/>
          <w:kern w:val="0"/>
          <w:lang w:val="es-CO" w:eastAsia="es-MX"/>
          <w14:ligatures w14:val="none"/>
        </w:rPr>
        <w:t>Traded</w:t>
      </w:r>
      <w:proofErr w:type="spellEnd"/>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Funds</w:t>
      </w:r>
      <w:proofErr w:type="spellEnd"/>
      <w:r w:rsidRPr="00D6400E">
        <w:rPr>
          <w:rFonts w:ascii="Verdana" w:eastAsia="Times New Roman" w:hAnsi="Verdana" w:cs="Times New Roman"/>
          <w:color w:val="000000"/>
          <w:kern w:val="0"/>
          <w:lang w:val="es-CO" w:eastAsia="es-MX"/>
          <w14:ligatures w14:val="none"/>
        </w:rPr>
        <w:t xml:space="preserve"> (ETF); y (</w:t>
      </w:r>
      <w:proofErr w:type="spellStart"/>
      <w:r w:rsidRPr="00D6400E">
        <w:rPr>
          <w:rFonts w:ascii="Verdana" w:eastAsia="Times New Roman" w:hAnsi="Verdana" w:cs="Times New Roman"/>
          <w:color w:val="000000"/>
          <w:kern w:val="0"/>
          <w:lang w:val="es-CO" w:eastAsia="es-MX"/>
          <w14:ligatures w14:val="none"/>
        </w:rPr>
        <w:t>iii</w:t>
      </w:r>
      <w:proofErr w:type="spellEnd"/>
      <w:r w:rsidRPr="00D6400E">
        <w:rPr>
          <w:rFonts w:ascii="Verdana" w:eastAsia="Times New Roman" w:hAnsi="Verdana" w:cs="Times New Roman"/>
          <w:color w:val="000000"/>
          <w:kern w:val="0"/>
          <w:lang w:val="es-CO" w:eastAsia="es-MX"/>
          <w14:ligatures w14:val="none"/>
        </w:rPr>
        <w:t xml:space="preserve">) analizar la aplicación de los beneficios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frente a los ETF.</w:t>
      </w:r>
    </w:p>
    <w:p w14:paraId="3A0FD4AE"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C5ED81A" w14:textId="77777777" w:rsidR="00D6400E" w:rsidRPr="00D6400E" w:rsidRDefault="00D6400E" w:rsidP="00D6400E">
      <w:pPr>
        <w:numPr>
          <w:ilvl w:val="0"/>
          <w:numId w:val="15"/>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Los beneficios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w:t>
      </w:r>
    </w:p>
    <w:p w14:paraId="2D951C76"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C71AB7D" w14:textId="77777777" w:rsidR="00D6400E" w:rsidRPr="00D6400E" w:rsidRDefault="00D6400E" w:rsidP="00D6400E">
      <w:pPr>
        <w:numPr>
          <w:ilvl w:val="0"/>
          <w:numId w:val="16"/>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Los incisos primero y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establecen dos beneficios distintos, en cuanto a ingresos no constitutivos de renta o ganancia ocasional, así:</w:t>
      </w:r>
    </w:p>
    <w:p w14:paraId="3FCCC555"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2DBB2F70"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[inciso primero] No constituyen renta ni ganancia ocasional las utilidades provenientes de la enajenación de acciones inscritas en una Bolsa de Valores Colombiana, de las cuales sea titular un mismo beneficiario real, cuando dicha enajenación no supere el tres por ciento (3%) de las acciones en circulación de la respectiva sociedad durante un mismo año gravable.</w:t>
      </w:r>
    </w:p>
    <w:p w14:paraId="0117A233"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02B62F16"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w:t>
      </w:r>
    </w:p>
    <w:p w14:paraId="22390715"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00D1766D"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[inciso tercero] Tampoco constituye renta ni ganancia ocasional las utilidades provenientes de la negociación de derivados que sean valores y cuyo subyacente esté representando exclusivamente en acciones inscritas en una bolsa de valores colombiana, índices o participaciones en </w:t>
      </w:r>
      <w:r w:rsidRPr="00D6400E">
        <w:rPr>
          <w:rFonts w:ascii="Verdana" w:eastAsia="Times New Roman" w:hAnsi="Verdana" w:cs="Times New Roman"/>
          <w:color w:val="000000"/>
          <w:kern w:val="0"/>
          <w:lang w:val="es-CO" w:eastAsia="es-MX"/>
          <w14:ligatures w14:val="none"/>
        </w:rPr>
        <w:lastRenderedPageBreak/>
        <w:t>fondos o carteras colectivas que reflejen el comportamiento de dichas acciones.</w:t>
      </w:r>
    </w:p>
    <w:p w14:paraId="7EB8EAD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1716BF0C" w14:textId="77777777" w:rsidR="00D6400E" w:rsidRPr="00D6400E" w:rsidRDefault="00D6400E" w:rsidP="00D6400E">
      <w:pPr>
        <w:numPr>
          <w:ilvl w:val="0"/>
          <w:numId w:val="17"/>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Por una parte, el inciso primero establece que no constituirán renta ni ganancia ocasional las utilidades provenientes de la enajenación de acciones inscritas en una bolsa de valores colombiana cuando se cumpla la totalidad de los siguientes requisitos:</w:t>
      </w:r>
    </w:p>
    <w:p w14:paraId="5EABF0C5"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540A55D" w14:textId="77777777" w:rsidR="00D6400E" w:rsidRPr="00D6400E" w:rsidRDefault="00D6400E" w:rsidP="00D6400E">
      <w:pPr>
        <w:numPr>
          <w:ilvl w:val="0"/>
          <w:numId w:val="18"/>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Que se trate de utilidades provenientes de la enajenación de acciones inscritas en una bolsa de valores colombiana.</w:t>
      </w:r>
    </w:p>
    <w:p w14:paraId="1C149490"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5C941F7E" w14:textId="77777777" w:rsidR="00D6400E" w:rsidRPr="00D6400E" w:rsidRDefault="00D6400E" w:rsidP="00D6400E">
      <w:pPr>
        <w:numPr>
          <w:ilvl w:val="0"/>
          <w:numId w:val="19"/>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Que el titular de esas acciones sea un mismo beneficiario real.</w:t>
      </w:r>
    </w:p>
    <w:p w14:paraId="3989140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5AD2B9B8" w14:textId="77777777" w:rsidR="00D6400E" w:rsidRPr="00D6400E" w:rsidRDefault="00D6400E" w:rsidP="00D6400E">
      <w:pPr>
        <w:numPr>
          <w:ilvl w:val="0"/>
          <w:numId w:val="20"/>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Que dicha enajenación no supere el tres por ciento (3%) de las acciones en circulación de la respectiva sociedad durante un mismo año gravable.</w:t>
      </w:r>
    </w:p>
    <w:p w14:paraId="612BABDF"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636D76A8" w14:textId="77777777" w:rsidR="00D6400E" w:rsidRPr="00D6400E" w:rsidRDefault="00D6400E" w:rsidP="00D6400E">
      <w:pPr>
        <w:numPr>
          <w:ilvl w:val="0"/>
          <w:numId w:val="21"/>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Por otra parte, el inciso tercero contempla otro beneficio tributario que es aplicable a tres supuestos de hecho distintos. En este sentido, no constituyen renta ni ganancia ocasional las utilidades provenientes de la negociación de:</w:t>
      </w:r>
    </w:p>
    <w:p w14:paraId="796DF367"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A1FB799" w14:textId="77777777" w:rsidR="00D6400E" w:rsidRPr="00D6400E" w:rsidRDefault="00D6400E" w:rsidP="00D6400E">
      <w:pPr>
        <w:numPr>
          <w:ilvl w:val="0"/>
          <w:numId w:val="22"/>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Derivados que sean valores y cuyo subyacente esté representando exclusivamente en acciones inscritas en una bolsa de valores colombiana,</w:t>
      </w:r>
    </w:p>
    <w:p w14:paraId="7DD321C0"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27C2B34B" w14:textId="77777777" w:rsidR="00D6400E" w:rsidRPr="00D6400E" w:rsidRDefault="00D6400E" w:rsidP="00D6400E">
      <w:pPr>
        <w:numPr>
          <w:ilvl w:val="0"/>
          <w:numId w:val="23"/>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Índices que reflejen el comportamiento “de dichas acciones”, esto es, acciones inscritas en una bolsa de valores colombiana;</w:t>
      </w:r>
    </w:p>
    <w:p w14:paraId="73651757"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83D4F4F" w14:textId="77777777" w:rsidR="00D6400E" w:rsidRPr="00D6400E" w:rsidRDefault="00D6400E" w:rsidP="00D6400E">
      <w:pPr>
        <w:numPr>
          <w:ilvl w:val="0"/>
          <w:numId w:val="24"/>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Participaciones en fondos o carteras colectivas</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vertAlign w:val="superscript"/>
          <w:lang w:val="es-CO" w:eastAsia="es-MX"/>
          <w14:ligatures w14:val="none"/>
        </w:rPr>
        <w:t xml:space="preserve"> </w:t>
      </w:r>
      <w:r w:rsidRPr="00D6400E">
        <w:rPr>
          <w:rFonts w:ascii="Verdana" w:eastAsia="Times New Roman" w:hAnsi="Verdana" w:cs="Times New Roman"/>
          <w:color w:val="000000"/>
          <w:kern w:val="0"/>
          <w:lang w:val="es-CO" w:eastAsia="es-MX"/>
          <w14:ligatures w14:val="none"/>
        </w:rPr>
        <w:t>que reflejen el comportamiento de “dichas acciones”, esto es, acciones inscritas en una bolsa de valores colombiana.</w:t>
      </w:r>
    </w:p>
    <w:p w14:paraId="33182FFD"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1F5CFC8" w14:textId="77777777" w:rsidR="00D6400E" w:rsidRPr="00D6400E" w:rsidRDefault="00D6400E" w:rsidP="00D6400E">
      <w:pPr>
        <w:numPr>
          <w:ilvl w:val="0"/>
          <w:numId w:val="25"/>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Con relación al problema jurídico planteado, esto es, la aplicación de los beneficios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(antes referidos) frente a los ETF, se concluye que puede resultar aplicable tanto el </w:t>
      </w:r>
      <w:r w:rsidRPr="00D6400E">
        <w:rPr>
          <w:rFonts w:ascii="Verdana" w:eastAsia="Times New Roman" w:hAnsi="Verdana" w:cs="Times New Roman"/>
          <w:color w:val="000000"/>
          <w:kern w:val="0"/>
          <w:lang w:val="es-CO" w:eastAsia="es-MX"/>
          <w14:ligatures w14:val="none"/>
        </w:rPr>
        <w:lastRenderedPageBreak/>
        <w:t xml:space="preserve">beneficio previsto en el inciso primero como aquel previsto en el inciso tercero. Para llegar a esta conclusión, es fundamental revisar la naturaleza jurídica de los Exchange </w:t>
      </w:r>
      <w:proofErr w:type="spellStart"/>
      <w:r w:rsidRPr="00D6400E">
        <w:rPr>
          <w:rFonts w:ascii="Verdana" w:eastAsia="Times New Roman" w:hAnsi="Verdana" w:cs="Times New Roman"/>
          <w:color w:val="000000"/>
          <w:kern w:val="0"/>
          <w:lang w:val="es-CO" w:eastAsia="es-MX"/>
          <w14:ligatures w14:val="none"/>
        </w:rPr>
        <w:t>Traded</w:t>
      </w:r>
      <w:proofErr w:type="spellEnd"/>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Funds</w:t>
      </w:r>
      <w:proofErr w:type="spellEnd"/>
      <w:r w:rsidRPr="00D6400E">
        <w:rPr>
          <w:rFonts w:ascii="Verdana" w:eastAsia="Times New Roman" w:hAnsi="Verdana" w:cs="Times New Roman"/>
          <w:color w:val="000000"/>
          <w:kern w:val="0"/>
          <w:lang w:val="es-CO" w:eastAsia="es-MX"/>
          <w14:ligatures w14:val="none"/>
        </w:rPr>
        <w:t xml:space="preserve"> (ETF).</w:t>
      </w:r>
    </w:p>
    <w:p w14:paraId="0E310174"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91171CC" w14:textId="77777777" w:rsidR="00D6400E" w:rsidRPr="00D6400E" w:rsidRDefault="00D6400E" w:rsidP="00D6400E">
      <w:pPr>
        <w:numPr>
          <w:ilvl w:val="0"/>
          <w:numId w:val="26"/>
        </w:numPr>
        <w:jc w:val="both"/>
        <w:textAlignment w:val="baseline"/>
        <w:rPr>
          <w:rFonts w:ascii="Verdana" w:eastAsia="Times New Roman" w:hAnsi="Verdana" w:cs="Times New Roman"/>
          <w:b/>
          <w:bCs/>
          <w:color w:val="000000"/>
          <w:kern w:val="0"/>
          <w:lang w:val="es-CO" w:eastAsia="es-MX"/>
          <w14:ligatures w14:val="none"/>
        </w:rPr>
      </w:pPr>
      <w:r w:rsidRPr="00D6400E">
        <w:rPr>
          <w:rFonts w:ascii="Verdana" w:eastAsia="Times New Roman" w:hAnsi="Verdana" w:cs="Times New Roman"/>
          <w:b/>
          <w:bCs/>
          <w:color w:val="000000"/>
          <w:kern w:val="0"/>
          <w:lang w:val="es-CO" w:eastAsia="es-MX"/>
          <w14:ligatures w14:val="none"/>
        </w:rPr>
        <w:t xml:space="preserve">Los Exchange </w:t>
      </w:r>
      <w:proofErr w:type="spellStart"/>
      <w:r w:rsidRPr="00D6400E">
        <w:rPr>
          <w:rFonts w:ascii="Verdana" w:eastAsia="Times New Roman" w:hAnsi="Verdana" w:cs="Times New Roman"/>
          <w:b/>
          <w:bCs/>
          <w:color w:val="000000"/>
          <w:kern w:val="0"/>
          <w:lang w:val="es-CO" w:eastAsia="es-MX"/>
          <w14:ligatures w14:val="none"/>
        </w:rPr>
        <w:t>Traded</w:t>
      </w:r>
      <w:proofErr w:type="spellEnd"/>
      <w:r w:rsidRPr="00D6400E">
        <w:rPr>
          <w:rFonts w:ascii="Verdana" w:eastAsia="Times New Roman" w:hAnsi="Verdana" w:cs="Times New Roman"/>
          <w:b/>
          <w:bCs/>
          <w:color w:val="000000"/>
          <w:kern w:val="0"/>
          <w:lang w:val="es-CO" w:eastAsia="es-MX"/>
          <w14:ligatures w14:val="none"/>
        </w:rPr>
        <w:t xml:space="preserve"> </w:t>
      </w:r>
      <w:proofErr w:type="spellStart"/>
      <w:r w:rsidRPr="00D6400E">
        <w:rPr>
          <w:rFonts w:ascii="Verdana" w:eastAsia="Times New Roman" w:hAnsi="Verdana" w:cs="Times New Roman"/>
          <w:b/>
          <w:bCs/>
          <w:color w:val="000000"/>
          <w:kern w:val="0"/>
          <w:lang w:val="es-CO" w:eastAsia="es-MX"/>
          <w14:ligatures w14:val="none"/>
        </w:rPr>
        <w:t>Funds</w:t>
      </w:r>
      <w:proofErr w:type="spellEnd"/>
      <w:r w:rsidRPr="00D6400E">
        <w:rPr>
          <w:rFonts w:ascii="Verdana" w:eastAsia="Times New Roman" w:hAnsi="Verdana" w:cs="Times New Roman"/>
          <w:b/>
          <w:bCs/>
          <w:color w:val="000000"/>
          <w:kern w:val="0"/>
          <w:lang w:val="es-CO" w:eastAsia="es-MX"/>
          <w14:ligatures w14:val="none"/>
        </w:rPr>
        <w:t xml:space="preserve"> -ETF y su atipicidad en Colombia</w:t>
      </w:r>
    </w:p>
    <w:p w14:paraId="7D474A7D"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3301A422" w14:textId="77777777" w:rsidR="00D6400E" w:rsidRPr="00D6400E" w:rsidRDefault="00D6400E" w:rsidP="00D6400E">
      <w:pPr>
        <w:numPr>
          <w:ilvl w:val="0"/>
          <w:numId w:val="27"/>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Si bien los fondos bursátiles, como lo aclaró la doctrina</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han sido asimilados en Colombia a los ETF (en la medida en que ambos se caracterizan por replicar el comportamiento de índices de referencia, cuyos subyacentes pueden estar compuestos por diversos valores, tales como acciones); lo cierto es que los ETF no son exactamente Fondos Bursátiles y son un vehículo atípico de inversión que no cuenta con una institución exactamente igual en la regulación colombiana.</w:t>
      </w:r>
    </w:p>
    <w:p w14:paraId="61027674"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368732A2" w14:textId="77777777" w:rsidR="00D6400E" w:rsidRPr="00D6400E" w:rsidRDefault="00D6400E" w:rsidP="00D6400E">
      <w:pPr>
        <w:numPr>
          <w:ilvl w:val="0"/>
          <w:numId w:val="28"/>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Así, los Exchange </w:t>
      </w:r>
      <w:proofErr w:type="spellStart"/>
      <w:r w:rsidRPr="00D6400E">
        <w:rPr>
          <w:rFonts w:ascii="Verdana" w:eastAsia="Times New Roman" w:hAnsi="Verdana" w:cs="Times New Roman"/>
          <w:color w:val="000000"/>
          <w:kern w:val="0"/>
          <w:lang w:val="es-CO" w:eastAsia="es-MX"/>
          <w14:ligatures w14:val="none"/>
        </w:rPr>
        <w:t>Traded</w:t>
      </w:r>
      <w:proofErr w:type="spellEnd"/>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Funds</w:t>
      </w:r>
      <w:proofErr w:type="spellEnd"/>
      <w:r w:rsidRPr="00D6400E">
        <w:rPr>
          <w:rFonts w:ascii="Verdana" w:eastAsia="Times New Roman" w:hAnsi="Verdana" w:cs="Times New Roman"/>
          <w:color w:val="000000"/>
          <w:kern w:val="0"/>
          <w:lang w:val="es-CO" w:eastAsia="es-MX"/>
          <w14:ligatures w14:val="none"/>
        </w:rPr>
        <w:t xml:space="preserve"> (ETF) son vehículos financieros de inversión y, dependiendo del país en el que son emitidos, pueden adoptar diferentes formas jurídicas. Como se mencionó, en Colombia se ha reconocido que los fondos de inversión colectiva, específicamente los fondos bursátiles pueden adoptar las características de un ETF</w:t>
      </w:r>
      <w:r w:rsidRPr="00D6400E">
        <w:rPr>
          <w:rFonts w:ascii="Verdana" w:eastAsia="Times New Roman" w:hAnsi="Verdana" w:cs="Times New Roman"/>
          <w:b/>
          <w:bCs/>
          <w:color w:val="000000"/>
          <w:kern w:val="0"/>
          <w:u w:val="single"/>
          <w:vertAlign w:val="superscript"/>
          <w:lang w:val="es-CO" w:eastAsia="es-MX"/>
          <w14:ligatures w14:val="none"/>
        </w:rPr>
        <w:t>[]</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b/>
          <w:bCs/>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No obstante, lo cierto es que existen características que difieren entre uno y otro, tal como el número de personas o inversionistas que integran el vehículo de inversión o la personería jurídica</w:t>
      </w:r>
      <w:r w:rsidRPr="00D6400E">
        <w:rPr>
          <w:rFonts w:ascii="Verdana" w:eastAsia="Times New Roman" w:hAnsi="Verdana" w:cs="Times New Roman"/>
          <w:b/>
          <w:bCs/>
          <w:color w:val="000000"/>
          <w:kern w:val="0"/>
          <w:u w:val="single"/>
          <w:vertAlign w:val="superscript"/>
          <w:lang w:val="es-CO" w:eastAsia="es-MX"/>
          <w14:ligatures w14:val="none"/>
        </w:rPr>
        <w:t>[]</w:t>
      </w:r>
      <w:r w:rsidRPr="00D6400E">
        <w:rPr>
          <w:rFonts w:ascii="Verdana" w:eastAsia="Times New Roman" w:hAnsi="Verdana" w:cs="Times New Roman"/>
          <w:b/>
          <w:bCs/>
          <w:color w:val="000000"/>
          <w:kern w:val="0"/>
          <w:vertAlign w:val="superscript"/>
          <w:lang w:val="es-CO" w:eastAsia="es-MX"/>
          <w14:ligatures w14:val="none"/>
        </w:rPr>
        <w:t xml:space="preserve"> </w:t>
      </w:r>
      <w:r w:rsidRPr="00D6400E">
        <w:rPr>
          <w:rFonts w:ascii="Verdana" w:eastAsia="Times New Roman" w:hAnsi="Verdana" w:cs="Times New Roman"/>
          <w:color w:val="000000"/>
          <w:kern w:val="0"/>
          <w:lang w:val="es-CO" w:eastAsia="es-MX"/>
          <w14:ligatures w14:val="none"/>
        </w:rPr>
        <w:t>del vehículo de inversión.</w:t>
      </w:r>
    </w:p>
    <w:p w14:paraId="7BAE394E"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65D957F9" w14:textId="77777777" w:rsidR="00D6400E" w:rsidRPr="00D6400E" w:rsidRDefault="00D6400E" w:rsidP="00D6400E">
      <w:pPr>
        <w:numPr>
          <w:ilvl w:val="0"/>
          <w:numId w:val="29"/>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Por un lado, frente a la diferencia referida al número de personas que integran el vehículo, es importante aclarar que el artículo </w:t>
      </w:r>
      <w:r w:rsidRPr="00D6400E">
        <w:rPr>
          <w:rFonts w:ascii="Verdana" w:eastAsia="Times New Roman" w:hAnsi="Verdana" w:cs="Times New Roman"/>
          <w:color w:val="000000"/>
          <w:kern w:val="0"/>
          <w:u w:val="single"/>
          <w:lang w:val="es-CO" w:eastAsia="es-MX"/>
          <w14:ligatures w14:val="none"/>
        </w:rPr>
        <w:t>3.4.1.1.2</w:t>
      </w:r>
      <w:r w:rsidRPr="00D6400E">
        <w:rPr>
          <w:rFonts w:ascii="Verdana" w:eastAsia="Times New Roman" w:hAnsi="Verdana" w:cs="Times New Roman"/>
          <w:color w:val="000000"/>
          <w:kern w:val="0"/>
          <w:lang w:val="es-CO" w:eastAsia="es-MX"/>
          <w14:ligatures w14:val="none"/>
        </w:rPr>
        <w:t xml:space="preserve"> del Decreto 2555 de 2010 define a los fondos bursátiles como "aquellos </w:t>
      </w:r>
      <w:r w:rsidRPr="00D6400E">
        <w:rPr>
          <w:rFonts w:ascii="Verdana" w:eastAsia="Times New Roman" w:hAnsi="Verdana" w:cs="Times New Roman"/>
          <w:color w:val="000000"/>
          <w:kern w:val="0"/>
          <w:u w:val="single"/>
          <w:lang w:val="es-CO" w:eastAsia="es-MX"/>
          <w14:ligatures w14:val="none"/>
        </w:rPr>
        <w:t>Fondos de Inversión Colectiva</w:t>
      </w:r>
      <w:r w:rsidRPr="00D6400E">
        <w:rPr>
          <w:rFonts w:ascii="Verdana" w:eastAsia="Times New Roman" w:hAnsi="Verdana" w:cs="Times New Roman"/>
          <w:color w:val="000000"/>
          <w:kern w:val="0"/>
          <w:lang w:val="es-CO" w:eastAsia="es-MX"/>
          <w14:ligatures w14:val="none"/>
        </w:rPr>
        <w:t xml:space="preserve"> cuyo objeto consista en replicar o seguir un índice nacional o internacional, mediante la constitución de un portafolio integrado por algunos o todos los activos que hagan parte de la canasta que conforma dicho índice.” (Resaltado por fuera del texto original).</w:t>
      </w:r>
    </w:p>
    <w:p w14:paraId="5E10E836"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9A94A04" w14:textId="77777777" w:rsidR="00D6400E" w:rsidRPr="00D6400E" w:rsidRDefault="00D6400E" w:rsidP="00D6400E">
      <w:pPr>
        <w:numPr>
          <w:ilvl w:val="0"/>
          <w:numId w:val="30"/>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A su vez, el artículo </w:t>
      </w:r>
      <w:r w:rsidRPr="00D6400E">
        <w:rPr>
          <w:rFonts w:ascii="Verdana" w:eastAsia="Times New Roman" w:hAnsi="Verdana" w:cs="Times New Roman"/>
          <w:color w:val="000000"/>
          <w:kern w:val="0"/>
          <w:u w:val="single"/>
          <w:lang w:val="es-CO" w:eastAsia="es-MX"/>
          <w14:ligatures w14:val="none"/>
        </w:rPr>
        <w:t>3.1.1.2.1</w:t>
      </w:r>
      <w:r w:rsidRPr="00D6400E">
        <w:rPr>
          <w:rFonts w:ascii="Verdana" w:eastAsia="Times New Roman" w:hAnsi="Verdana" w:cs="Times New Roman"/>
          <w:color w:val="000000"/>
          <w:kern w:val="0"/>
          <w:lang w:val="es-CO" w:eastAsia="es-MX"/>
          <w14:ligatures w14:val="none"/>
        </w:rPr>
        <w:t xml:space="preserve">. del mismo cuerpo normativo define los fondos de inversión colectiva como "todo mecanismo o vehículo de captación o administración de sumas de dinero u otros activos, </w:t>
      </w:r>
      <w:r w:rsidRPr="00D6400E">
        <w:rPr>
          <w:rFonts w:ascii="Verdana" w:eastAsia="Times New Roman" w:hAnsi="Verdana" w:cs="Times New Roman"/>
          <w:color w:val="000000"/>
          <w:kern w:val="0"/>
          <w:u w:val="single"/>
          <w:lang w:val="es-CO" w:eastAsia="es-MX"/>
          <w14:ligatures w14:val="none"/>
        </w:rPr>
        <w:t>integrado con el aporte de un número plural de personas determinables</w:t>
      </w:r>
      <w:r w:rsidRPr="00D6400E">
        <w:rPr>
          <w:rFonts w:ascii="Verdana" w:eastAsia="Times New Roman" w:hAnsi="Verdana" w:cs="Times New Roman"/>
          <w:color w:val="000000"/>
          <w:kern w:val="0"/>
          <w:lang w:val="es-CO" w:eastAsia="es-MX"/>
          <w14:ligatures w14:val="none"/>
        </w:rPr>
        <w:t xml:space="preserve"> una vez el fondo entre en operación, recursos que serán gestionados de manera colectiva para obtener resultados económicos también colectivos”. (Resaltado por fuera del texto original).</w:t>
      </w:r>
    </w:p>
    <w:p w14:paraId="7E895297" w14:textId="77777777" w:rsidR="00D6400E" w:rsidRPr="00D6400E" w:rsidRDefault="00D6400E" w:rsidP="00D6400E">
      <w:pPr>
        <w:numPr>
          <w:ilvl w:val="0"/>
          <w:numId w:val="31"/>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lastRenderedPageBreak/>
        <w:t>En esta medida, mientras los Fondos Bursátiles corresponden a Fondos de Inversión Colectiva (es decir, requieren de un número plural de inversionistas que los integren), los ETF - dependiendo de la jurisdicción de la que se trate- no necesariamente requieren de un número plural de inversionistas</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w:t>
      </w:r>
    </w:p>
    <w:p w14:paraId="75327492"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2BAEFFB3" w14:textId="77777777" w:rsidR="00D6400E" w:rsidRPr="00D6400E" w:rsidRDefault="00D6400E" w:rsidP="00D6400E">
      <w:pPr>
        <w:numPr>
          <w:ilvl w:val="0"/>
          <w:numId w:val="32"/>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Por otro lado, frente a la diferencia referida a la personería jurídica, debe aclararse que en el exterior es posible que los vehículos que sirven como ETF no tengan la condición de un fondo de inversión colectiva sin personería jurídica, como en Colombia, sino que sean personas jurídicas cuyo capital está representado en acciones. En este punto, es importante precisar que la naturaleza del vehículo de inversión es diferente de los activos en los que invierte dicho vehículo de inversión. Es decir, los denominados activos subyacentes. En consecuencia, el valor de las acciones de la sociedad que realiza la inversión depende de los activos subyacentes, que pueden ser acciones que replican un índice</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w:t>
      </w:r>
    </w:p>
    <w:p w14:paraId="739436D6"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1808B485" w14:textId="77777777" w:rsidR="00D6400E" w:rsidRPr="00D6400E" w:rsidRDefault="00D6400E" w:rsidP="00D6400E">
      <w:pPr>
        <w:numPr>
          <w:ilvl w:val="0"/>
          <w:numId w:val="33"/>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Así, los ETF del exterior pueden adoptar diferentes formas; es decir, (i) vehículos con personería jurídica cuyo capital esté representado en acciones de la sociedad emisora o (</w:t>
      </w:r>
      <w:proofErr w:type="spellStart"/>
      <w:r w:rsidRPr="00D6400E">
        <w:rPr>
          <w:rFonts w:ascii="Verdana" w:eastAsia="Times New Roman" w:hAnsi="Verdana" w:cs="Times New Roman"/>
          <w:color w:val="000000"/>
          <w:kern w:val="0"/>
          <w:lang w:val="es-CO" w:eastAsia="es-MX"/>
          <w14:ligatures w14:val="none"/>
        </w:rPr>
        <w:t>ii</w:t>
      </w:r>
      <w:proofErr w:type="spellEnd"/>
      <w:r w:rsidRPr="00D6400E">
        <w:rPr>
          <w:rFonts w:ascii="Verdana" w:eastAsia="Times New Roman" w:hAnsi="Verdana" w:cs="Times New Roman"/>
          <w:color w:val="000000"/>
          <w:kern w:val="0"/>
          <w:lang w:val="es-CO" w:eastAsia="es-MX"/>
          <w14:ligatures w14:val="none"/>
        </w:rPr>
        <w:t>) vehículos sin personería jurídica cuyo capital esté representado en participaciones o derechos. La consulta versa sobre el primer supuesto; es decir, se trata de una sociedad del exterior que realiza inversiones en otros valores.</w:t>
      </w:r>
    </w:p>
    <w:p w14:paraId="210200B3"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64E19736" w14:textId="77777777" w:rsidR="00D6400E" w:rsidRPr="00D6400E" w:rsidRDefault="00D6400E" w:rsidP="00D6400E">
      <w:pPr>
        <w:numPr>
          <w:ilvl w:val="0"/>
          <w:numId w:val="34"/>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Tratándose de ETF extranjeros, su negociabilidad en Colombia se realiza a través de los «Sistemas de cotización de valores extranjeros», como el administrado por la Bolsa de Valores de Colombia - BVC denominado «Mercado Global Colombiano - MGC»</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para habilitar la posibilidad de comprar y vender valores extranjeros listados en mercados internacionales, a través de una sociedad comisionista de bolsa local y bajo la infraestructura del mercado de renta variable colombiano.</w:t>
      </w:r>
    </w:p>
    <w:p w14:paraId="3D72D7B2"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79C9A2C6" w14:textId="77777777" w:rsidR="00D6400E" w:rsidRPr="00D6400E" w:rsidRDefault="00D6400E" w:rsidP="00D6400E">
      <w:pPr>
        <w:numPr>
          <w:ilvl w:val="0"/>
          <w:numId w:val="35"/>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Aplicación de los beneficios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cuando se está en presencia de ETF</w:t>
      </w:r>
    </w:p>
    <w:p w14:paraId="47768156"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284CA061" w14:textId="77777777" w:rsidR="00D6400E" w:rsidRPr="00D6400E" w:rsidRDefault="00D6400E" w:rsidP="00D6400E">
      <w:pPr>
        <w:numPr>
          <w:ilvl w:val="0"/>
          <w:numId w:val="36"/>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Teniendo en cuenta lo anterior, es posible afirmar que los ETF del exterior pueden ser -en los casos en los que cumplan los requisitos para ello- beneficiarios tanto del beneficio previsto en el inciso primero, como de aquel previsto en el inciso tercero.</w:t>
      </w:r>
    </w:p>
    <w:p w14:paraId="1EB15E71"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lastRenderedPageBreak/>
        <w:br/>
      </w:r>
    </w:p>
    <w:p w14:paraId="1580C72E" w14:textId="77777777" w:rsidR="00D6400E" w:rsidRPr="00D6400E" w:rsidRDefault="00D6400E" w:rsidP="00D6400E">
      <w:pPr>
        <w:numPr>
          <w:ilvl w:val="0"/>
          <w:numId w:val="37"/>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Por una parte, frente al beneficio previsto en el inciso primero, debe reconocerse que si se trata de acciones que representan la actividad económica de un ETF (en los términos de los párrafos 21 a 23 de este Concepto), y si el mismo cumple con los requisitos del mismo inciso (cfr. párrafo 14 de este Concepto), entonces es posible que a dicho ETF le apliquen los beneficios del inciso primero.</w:t>
      </w:r>
    </w:p>
    <w:p w14:paraId="0865F70C"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AC337D6" w14:textId="77777777" w:rsidR="00D6400E" w:rsidRPr="00D6400E" w:rsidRDefault="00D6400E" w:rsidP="00D6400E">
      <w:pPr>
        <w:numPr>
          <w:ilvl w:val="0"/>
          <w:numId w:val="38"/>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Es importante resaltar que, a través del Concepto 039115 de 2013</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xml:space="preserve">, esta administración manifestó que a los fondos bursátiles (asimilándolos a su vez a los ETF) no les era aplicable el beneficio consagrado en el inciso 2 (hoy inciso primero)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ET, pues en ese caso no se cumpliría con el requisito de que el titular de las acciones sea un mismo beneficiario. Sobre esto, se afirmó:</w:t>
      </w:r>
    </w:p>
    <w:p w14:paraId="3E41FA96" w14:textId="77777777" w:rsidR="00D6400E" w:rsidRPr="00D6400E" w:rsidRDefault="00D6400E" w:rsidP="00D6400E">
      <w:pPr>
        <w:rPr>
          <w:rFonts w:ascii="Times New Roman" w:eastAsia="Times New Roman" w:hAnsi="Times New Roman" w:cs="Times New Roman"/>
          <w:kern w:val="0"/>
          <w:lang w:val="es-CO" w:eastAsia="es-MX"/>
          <w14:ligatures w14:val="none"/>
        </w:rPr>
      </w:pPr>
    </w:p>
    <w:p w14:paraId="04373146" w14:textId="77777777" w:rsidR="00D6400E" w:rsidRPr="00D6400E" w:rsidRDefault="00D6400E" w:rsidP="00D6400E">
      <w:pPr>
        <w:jc w:val="both"/>
        <w:rPr>
          <w:rFonts w:ascii="Times New Roman" w:eastAsia="Times New Roman" w:hAnsi="Times New Roman" w:cs="Times New Roman"/>
          <w:kern w:val="0"/>
          <w:lang w:val="es-CO" w:eastAsia="es-MX"/>
          <w14:ligatures w14:val="none"/>
        </w:rPr>
      </w:pPr>
      <w:r w:rsidRPr="00D6400E">
        <w:rPr>
          <w:rFonts w:ascii="Verdana" w:eastAsia="Times New Roman" w:hAnsi="Verdana" w:cs="Times New Roman"/>
          <w:color w:val="000000"/>
          <w:kern w:val="0"/>
          <w:lang w:val="es-CO" w:eastAsia="es-MX"/>
          <w14:ligatures w14:val="none"/>
        </w:rPr>
        <w:t>[L]os fondos bursátiles en desarrollo de su actividad no cumplen con la tercera condición enumerada por la doctrina transcrita en precedencia, que fundamentada en la democratización de inversiones en sociedades otorga el beneficio al tratar como ingreso no constitutivo de renta ni ganancia ocasional las utilidades provenientes de la enajenación de acciones inscritas en una Bolsa de Valores Colombiana, sobre el supuesto de que el titular de las acciones que se enajenan y dan lugar al beneficio sea el mismo beneficiario real las utilidades”.</w:t>
      </w:r>
    </w:p>
    <w:p w14:paraId="546A09A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301CAA7" w14:textId="77777777" w:rsidR="00D6400E" w:rsidRPr="00D6400E" w:rsidRDefault="00D6400E" w:rsidP="00D6400E">
      <w:pPr>
        <w:numPr>
          <w:ilvl w:val="0"/>
          <w:numId w:val="39"/>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Si bien esto es cierto frente a los fondos bursátiles locales, también es cierto que si se está en presencia de ETF extranjeros que sólo tengan un titular (cfr. párrafo 21), es posible que, de cumplirse con los demás requisitos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sea procedente el beneficio allí consagrado. En otras palabras: en el caso de los ETF extranjeros, estos podrían cumplir con la condición referida a que el titular de esas acciones sea un mismo beneficiario real. Lo anterior, precisamente porque esta podría ser una de las diferencias principales con los fondos de inversión colectiva locales, especialmente los Fondos Bursátiles de que trata el artículo </w:t>
      </w:r>
      <w:r w:rsidRPr="00D6400E">
        <w:rPr>
          <w:rFonts w:ascii="Verdana" w:eastAsia="Times New Roman" w:hAnsi="Verdana" w:cs="Times New Roman"/>
          <w:color w:val="000000"/>
          <w:kern w:val="0"/>
          <w:u w:val="single"/>
          <w:lang w:val="es-CO" w:eastAsia="es-MX"/>
          <w14:ligatures w14:val="none"/>
        </w:rPr>
        <w:t>3.4.1.1.2</w:t>
      </w:r>
      <w:r w:rsidRPr="00D6400E">
        <w:rPr>
          <w:rFonts w:ascii="Verdana" w:eastAsia="Times New Roman" w:hAnsi="Verdana" w:cs="Times New Roman"/>
          <w:color w:val="000000"/>
          <w:kern w:val="0"/>
          <w:lang w:val="es-CO" w:eastAsia="es-MX"/>
          <w14:ligatures w14:val="none"/>
        </w:rPr>
        <w:t xml:space="preserve"> del Decreto 2555 de 2010.</w:t>
      </w:r>
    </w:p>
    <w:p w14:paraId="76C820DC"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76A1A0F7" w14:textId="77777777" w:rsidR="00D6400E" w:rsidRPr="00D6400E" w:rsidRDefault="00D6400E" w:rsidP="00D6400E">
      <w:pPr>
        <w:numPr>
          <w:ilvl w:val="0"/>
          <w:numId w:val="40"/>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Por otra parte, frente al beneficio previsto en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 para analizar el problema jurídico propuesto es fundamental referirse entonces a uno de los tres supuestos de hecho previstos en la norma: el supuesto referido a las participaciones en los fondos o carteras colectivas. (cfr. párrafo 15.3. de este Concepto).</w:t>
      </w:r>
    </w:p>
    <w:p w14:paraId="31A91D0A"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lastRenderedPageBreak/>
        <w:br/>
      </w:r>
    </w:p>
    <w:p w14:paraId="3FCBE578" w14:textId="77777777" w:rsidR="00D6400E" w:rsidRPr="00D6400E" w:rsidRDefault="00D6400E" w:rsidP="00D6400E">
      <w:pPr>
        <w:numPr>
          <w:ilvl w:val="0"/>
          <w:numId w:val="41"/>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Con relación al tercer supuesto de hecho, esto es, las participaciones en fondos o carteras colectivas que reflejan el comportamiento de acciones inscritas en una bolsa de valores colombiana, es importante aclarar que la misma norma delimita los siguientes requisitos para su procedencia:</w:t>
      </w:r>
    </w:p>
    <w:p w14:paraId="0C2F0876"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3643E82" w14:textId="77777777" w:rsidR="00D6400E" w:rsidRPr="00D6400E" w:rsidRDefault="00D6400E" w:rsidP="00D6400E">
      <w:pPr>
        <w:numPr>
          <w:ilvl w:val="0"/>
          <w:numId w:val="42"/>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Que se trate de utilidades provenientes de la negociación de fondos o carteras colectivas.</w:t>
      </w:r>
    </w:p>
    <w:p w14:paraId="37BEB813"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2AA8893F" w14:textId="77777777" w:rsidR="00D6400E" w:rsidRPr="00D6400E" w:rsidRDefault="00D6400E" w:rsidP="00D6400E">
      <w:pPr>
        <w:numPr>
          <w:ilvl w:val="0"/>
          <w:numId w:val="43"/>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Que dichos fondos o carteras reflejen el comportamiento de acciones inscritas en una bolsa de valores colombiana.</w:t>
      </w:r>
    </w:p>
    <w:p w14:paraId="1EA5EF49"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5ED97C3D" w14:textId="77777777" w:rsidR="00D6400E" w:rsidRPr="00D6400E" w:rsidRDefault="00D6400E" w:rsidP="00D6400E">
      <w:pPr>
        <w:numPr>
          <w:ilvl w:val="0"/>
          <w:numId w:val="44"/>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Así pues, con relación al primer requisito (párrafo 30.1) se resalta que el artículo en mención no realiza distinción alguna entre fondos locales o extranjeros y, en esa medida, no le es dado al intérprete restringir dicho alcance. En otras palabras: el beneficio establecido le es aplicable a los “fondos o carteras colectivas” tanto locales como extranjeros. De tal suerte, el beneficio fiscal frente a dichas utilidades (y por ende del cumplimiento de los requisitos legales descritos en el párrafo 30 anterior) dependerá de si se trata de fondos locales o extranjeros.</w:t>
      </w:r>
    </w:p>
    <w:p w14:paraId="58801D41"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5EF326F" w14:textId="77777777" w:rsidR="00D6400E" w:rsidRPr="00D6400E" w:rsidRDefault="00D6400E" w:rsidP="00D6400E">
      <w:pPr>
        <w:numPr>
          <w:ilvl w:val="0"/>
          <w:numId w:val="45"/>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Frente a los fondos locales, como se ha afirmado, en Colombia existen los Fondos de inversión colectiva o fondos de inversión de capital, antes denominados Carteras colectivas. Y sobre estos, es fundamental resaltar que, en los términos del numeral 8 del artículo </w:t>
      </w:r>
      <w:r w:rsidRPr="00D6400E">
        <w:rPr>
          <w:rFonts w:ascii="Verdana" w:eastAsia="Times New Roman" w:hAnsi="Verdana" w:cs="Times New Roman"/>
          <w:color w:val="000000"/>
          <w:kern w:val="0"/>
          <w:u w:val="single"/>
          <w:lang w:val="es-CO" w:eastAsia="es-MX"/>
          <w14:ligatures w14:val="none"/>
        </w:rPr>
        <w:t>102</w:t>
      </w:r>
      <w:r w:rsidRPr="00D6400E">
        <w:rPr>
          <w:rFonts w:ascii="Verdana" w:eastAsia="Times New Roman" w:hAnsi="Verdana" w:cs="Times New Roman"/>
          <w:color w:val="000000"/>
          <w:kern w:val="0"/>
          <w:lang w:val="es-CO" w:eastAsia="es-MX"/>
          <w14:ligatures w14:val="none"/>
        </w:rPr>
        <w:t xml:space="preserve"> del Estatuto Tributario, los beneficiarios o adherentes de los mismos pueden disfrutar de los beneficios que le sean aplicables al fondo respectivo</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xml:space="preserve">. Esto también es aplicable a los Fondos Bursátiles de que trata el artículo </w:t>
      </w:r>
      <w:r w:rsidRPr="00D6400E">
        <w:rPr>
          <w:rFonts w:ascii="Verdana" w:eastAsia="Times New Roman" w:hAnsi="Verdana" w:cs="Times New Roman"/>
          <w:color w:val="000000"/>
          <w:kern w:val="0"/>
          <w:u w:val="single"/>
          <w:lang w:val="es-CO" w:eastAsia="es-MX"/>
          <w14:ligatures w14:val="none"/>
        </w:rPr>
        <w:t>3.4.1.1.2</w:t>
      </w:r>
      <w:r w:rsidRPr="00D6400E">
        <w:rPr>
          <w:rFonts w:ascii="Verdana" w:eastAsia="Times New Roman" w:hAnsi="Verdana" w:cs="Times New Roman"/>
          <w:color w:val="000000"/>
          <w:kern w:val="0"/>
          <w:lang w:val="es-CO" w:eastAsia="es-MX"/>
          <w14:ligatures w14:val="none"/>
        </w:rPr>
        <w:t xml:space="preserve"> del Decreto 2555 de 2010.</w:t>
      </w:r>
    </w:p>
    <w:p w14:paraId="046EB4C7"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2619F1B7" w14:textId="77777777" w:rsidR="00D6400E" w:rsidRPr="00D6400E" w:rsidRDefault="00D6400E" w:rsidP="00D6400E">
      <w:pPr>
        <w:numPr>
          <w:ilvl w:val="0"/>
          <w:numId w:val="46"/>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Frente a los fondos extranjeros y el cumplimiento del primer requisito, será entonces menester verificar que se trate de fondos de inversión o carteras colectivas. En el evento de que se trate de un ETF extranjero que pueda ser clasificado como un fondo de inversión, podría considerarse cumplido el primer requisito.</w:t>
      </w:r>
    </w:p>
    <w:p w14:paraId="4C5AAE87" w14:textId="77777777" w:rsidR="00D6400E" w:rsidRPr="00D6400E" w:rsidRDefault="00D6400E" w:rsidP="00D6400E">
      <w:pPr>
        <w:numPr>
          <w:ilvl w:val="0"/>
          <w:numId w:val="47"/>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Frente al segundo requisito (párrafo 30.2) y su cumplimiento, tanto para fondos locales como extranjeros, es necesario verificar que se trate </w:t>
      </w:r>
      <w:r w:rsidRPr="00D6400E">
        <w:rPr>
          <w:rFonts w:ascii="Verdana" w:eastAsia="Times New Roman" w:hAnsi="Verdana" w:cs="Times New Roman"/>
          <w:color w:val="000000"/>
          <w:kern w:val="0"/>
          <w:lang w:val="es-CO" w:eastAsia="es-MX"/>
          <w14:ligatures w14:val="none"/>
        </w:rPr>
        <w:lastRenderedPageBreak/>
        <w:t>de fondos que reflejen el comportamiento de acciones inscritas en una bolsa de valores colombiana.</w:t>
      </w:r>
    </w:p>
    <w:p w14:paraId="4DE661F6"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1A48E9F2" w14:textId="77777777" w:rsidR="00D6400E" w:rsidRPr="00D6400E" w:rsidRDefault="00D6400E" w:rsidP="00D6400E">
      <w:pPr>
        <w:numPr>
          <w:ilvl w:val="0"/>
          <w:numId w:val="48"/>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Según el inciso 2 del artículo </w:t>
      </w:r>
      <w:r w:rsidRPr="00D6400E">
        <w:rPr>
          <w:rFonts w:ascii="Verdana" w:eastAsia="Times New Roman" w:hAnsi="Verdana" w:cs="Times New Roman"/>
          <w:color w:val="000000"/>
          <w:kern w:val="0"/>
          <w:u w:val="single"/>
          <w:lang w:val="es-CO" w:eastAsia="es-MX"/>
          <w14:ligatures w14:val="none"/>
        </w:rPr>
        <w:t>3.4.1.1.5</w:t>
      </w:r>
      <w:r w:rsidRPr="00D6400E">
        <w:rPr>
          <w:rFonts w:ascii="Verdana" w:eastAsia="Times New Roman" w:hAnsi="Verdana" w:cs="Times New Roman"/>
          <w:color w:val="000000"/>
          <w:kern w:val="0"/>
          <w:lang w:val="es-CO" w:eastAsia="es-MX"/>
          <w14:ligatures w14:val="none"/>
        </w:rPr>
        <w:t xml:space="preserve"> del Decreto 2555 de 2010, los subyacentes de los fondos bursátiles tendrán la calidad de valor en los términos del artículo </w:t>
      </w:r>
      <w:r w:rsidRPr="00D6400E">
        <w:rPr>
          <w:rFonts w:ascii="Verdana" w:eastAsia="Times New Roman" w:hAnsi="Verdana" w:cs="Times New Roman"/>
          <w:color w:val="000000"/>
          <w:kern w:val="0"/>
          <w:u w:val="single"/>
          <w:lang w:val="es-CO" w:eastAsia="es-MX"/>
          <w14:ligatures w14:val="none"/>
        </w:rPr>
        <w:t>2</w:t>
      </w:r>
      <w:r w:rsidRPr="00D6400E">
        <w:rPr>
          <w:rFonts w:ascii="Verdana" w:eastAsia="Times New Roman" w:hAnsi="Verdana" w:cs="Times New Roman"/>
          <w:color w:val="000000"/>
          <w:kern w:val="0"/>
          <w:lang w:val="es-CO" w:eastAsia="es-MX"/>
          <w14:ligatures w14:val="none"/>
        </w:rPr>
        <w:t xml:space="preserve"> de la Ley 964 de 2005. Además, estos subyacentes pueden ser calificados como «valores extranjeros»</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vertAlign w:val="superscript"/>
          <w:lang w:val="es-CO" w:eastAsia="es-MX"/>
          <w14:ligatures w14:val="none"/>
        </w:rPr>
        <w:t xml:space="preserve"> </w:t>
      </w:r>
      <w:r w:rsidRPr="00D6400E">
        <w:rPr>
          <w:rFonts w:ascii="Verdana" w:eastAsia="Times New Roman" w:hAnsi="Verdana" w:cs="Times New Roman"/>
          <w:color w:val="000000"/>
          <w:kern w:val="0"/>
          <w:lang w:val="es-CO" w:eastAsia="es-MX"/>
          <w14:ligatures w14:val="none"/>
        </w:rPr>
        <w:t xml:space="preserve">cuando han sido emitidos fuera del país por emisores nacionales o extranjeros bajo la regulación de un país extranjero, siempre y cuando gocen del reconocimiento al que se refiere el artículo </w:t>
      </w:r>
      <w:r w:rsidRPr="00D6400E">
        <w:rPr>
          <w:rFonts w:ascii="Verdana" w:eastAsia="Times New Roman" w:hAnsi="Verdana" w:cs="Times New Roman"/>
          <w:color w:val="000000"/>
          <w:kern w:val="0"/>
          <w:u w:val="single"/>
          <w:lang w:val="es-CO" w:eastAsia="es-MX"/>
          <w14:ligatures w14:val="none"/>
        </w:rPr>
        <w:t>2.15.6.1.5</w:t>
      </w:r>
      <w:r w:rsidRPr="00D6400E">
        <w:rPr>
          <w:rFonts w:ascii="Verdana" w:eastAsia="Times New Roman" w:hAnsi="Verdana" w:cs="Times New Roman"/>
          <w:color w:val="000000"/>
          <w:kern w:val="0"/>
          <w:lang w:val="es-CO" w:eastAsia="es-MX"/>
          <w14:ligatures w14:val="none"/>
        </w:rPr>
        <w:t xml:space="preserve"> del Decreto 2555 de 2010.</w:t>
      </w:r>
    </w:p>
    <w:p w14:paraId="7A4398A4"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0E43C078" w14:textId="77777777" w:rsidR="00D6400E" w:rsidRPr="00D6400E" w:rsidRDefault="00D6400E" w:rsidP="00D6400E">
      <w:pPr>
        <w:numPr>
          <w:ilvl w:val="0"/>
          <w:numId w:val="49"/>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El reconocimiento como «valores extranjeros» implica que, para ser negociados en Colombia, deberá hacerse a través de los denominados «Sistemas de cotización de valores extranjeros», los cuales, según el artículo </w:t>
      </w:r>
      <w:r w:rsidRPr="00D6400E">
        <w:rPr>
          <w:rFonts w:ascii="Verdana" w:eastAsia="Times New Roman" w:hAnsi="Verdana" w:cs="Times New Roman"/>
          <w:color w:val="000000"/>
          <w:kern w:val="0"/>
          <w:u w:val="single"/>
          <w:lang w:val="es-CO" w:eastAsia="es-MX"/>
          <w14:ligatures w14:val="none"/>
        </w:rPr>
        <w:t>2.15.6.1.4</w:t>
      </w:r>
      <w:r w:rsidRPr="00D6400E">
        <w:rPr>
          <w:rFonts w:ascii="Verdana" w:eastAsia="Times New Roman" w:hAnsi="Verdana" w:cs="Times New Roman"/>
          <w:color w:val="000000"/>
          <w:kern w:val="0"/>
          <w:lang w:val="es-CO" w:eastAsia="es-MX"/>
          <w14:ligatures w14:val="none"/>
        </w:rPr>
        <w:t xml:space="preserve"> del Decreto 2555 de 2010, pueden ser administrados por las bolsas de valores, entre otros.</w:t>
      </w:r>
    </w:p>
    <w:p w14:paraId="583B7CD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7D31BF69" w14:textId="77777777" w:rsidR="00D6400E" w:rsidRPr="00D6400E" w:rsidRDefault="00D6400E" w:rsidP="00D6400E">
      <w:pPr>
        <w:numPr>
          <w:ilvl w:val="0"/>
          <w:numId w:val="50"/>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En la medida en que la Bolsa de Valores de Colombia administra el sistema de cotización de valores del extranjero denominado «Mercado Global Colombiano - MGC» y este un sistema local de cotizaciones de valores extranjeros</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es posible concluir que dichas acciones se negocian en la bolsa de valores colombiana.</w:t>
      </w:r>
    </w:p>
    <w:p w14:paraId="788927E3"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40CC1C56" w14:textId="77777777" w:rsidR="00D6400E" w:rsidRPr="00D6400E" w:rsidRDefault="00D6400E" w:rsidP="00D6400E">
      <w:pPr>
        <w:numPr>
          <w:ilvl w:val="0"/>
          <w:numId w:val="51"/>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 xml:space="preserve">Por lo anterior, es posible concluir que a las utilidades provenientes de la negociación de ETF listados en el Mercado Global Colombiano, cuyo subyacente esté representado en acciones inscritas en una bolsa de valores colombiana, podrían cumplir con el segundo requisito antes referido (párrafo 30.2) y, por lo tanto, les podría ser aplicable el beneficio tributario establecido en el inciso tercero del artículo </w:t>
      </w:r>
      <w:r w:rsidRPr="00D6400E">
        <w:rPr>
          <w:rFonts w:ascii="Verdana" w:eastAsia="Times New Roman" w:hAnsi="Verdana" w:cs="Times New Roman"/>
          <w:color w:val="000000"/>
          <w:kern w:val="0"/>
          <w:u w:val="single"/>
          <w:lang w:val="es-CO" w:eastAsia="es-MX"/>
          <w14:ligatures w14:val="none"/>
        </w:rPr>
        <w:t>36-1</w:t>
      </w:r>
      <w:r w:rsidRPr="00D6400E">
        <w:rPr>
          <w:rFonts w:ascii="Verdana" w:eastAsia="Times New Roman" w:hAnsi="Verdana" w:cs="Times New Roman"/>
          <w:color w:val="000000"/>
          <w:kern w:val="0"/>
          <w:lang w:val="es-CO" w:eastAsia="es-MX"/>
          <w14:ligatures w14:val="none"/>
        </w:rPr>
        <w:t xml:space="preserve"> del Estatuto Tributario.</w:t>
      </w:r>
    </w:p>
    <w:p w14:paraId="7167E63B"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39F86137" w14:textId="77777777" w:rsidR="00D6400E" w:rsidRPr="00D6400E" w:rsidRDefault="00D6400E" w:rsidP="00D6400E">
      <w:pPr>
        <w:numPr>
          <w:ilvl w:val="0"/>
          <w:numId w:val="52"/>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Finalmente, dado que se trata de una operación en el exterior que puede tener incidencia en el país (y si se trata de países parte de la Convención Interamericana sobre normas generales de Derecho Internacional Privado</w:t>
      </w:r>
      <w:r w:rsidRPr="00D6400E">
        <w:rPr>
          <w:rFonts w:ascii="Verdana" w:eastAsia="Times New Roman" w:hAnsi="Verdana" w:cs="Times New Roman"/>
          <w:color w:val="000000"/>
          <w:kern w:val="0"/>
          <w:u w:val="single"/>
          <w:vertAlign w:val="superscript"/>
          <w:lang w:val="es-CO" w:eastAsia="es-MX"/>
          <w14:ligatures w14:val="none"/>
        </w:rPr>
        <w:t>[]</w:t>
      </w:r>
      <w:r w:rsidRPr="00D6400E">
        <w:rPr>
          <w:rFonts w:ascii="Verdana" w:eastAsia="Times New Roman" w:hAnsi="Verdana" w:cs="Times New Roman"/>
          <w:color w:val="000000"/>
          <w:kern w:val="0"/>
          <w:lang w:val="es-CO" w:eastAsia="es-MX"/>
          <w14:ligatures w14:val="none"/>
        </w:rPr>
        <w:t xml:space="preserve">), será necesario tener en cuenta lo dispuesto en sus artículos 3 y 9, los cuales permiten la aplicación armónica de normas que no tengan figura asimilable en la jurisdicción colombiana. Esto significaría entonces que, en la medida en que los ETF son una figura atípica en Colombia, les podría ser aplicable armónicamente lo dispuesto </w:t>
      </w:r>
      <w:r w:rsidRPr="00D6400E">
        <w:rPr>
          <w:rFonts w:ascii="Verdana" w:eastAsia="Times New Roman" w:hAnsi="Verdana" w:cs="Times New Roman"/>
          <w:color w:val="000000"/>
          <w:kern w:val="0"/>
          <w:lang w:val="es-CO" w:eastAsia="es-MX"/>
          <w14:ligatures w14:val="none"/>
        </w:rPr>
        <w:lastRenderedPageBreak/>
        <w:t>para los fondos de inversión colectiva, siempre que cumplan los requisitos ampliamente analizados.</w:t>
      </w:r>
    </w:p>
    <w:p w14:paraId="08B65785" w14:textId="77777777" w:rsidR="00D6400E" w:rsidRPr="00D6400E" w:rsidRDefault="00D6400E" w:rsidP="00D6400E">
      <w:pPr>
        <w:rPr>
          <w:rFonts w:ascii="Times New Roman" w:eastAsia="Times New Roman" w:hAnsi="Times New Roman" w:cs="Times New Roman"/>
          <w:kern w:val="0"/>
          <w:lang w:val="es-CO" w:eastAsia="es-MX"/>
          <w14:ligatures w14:val="none"/>
        </w:rPr>
      </w:pPr>
      <w:r w:rsidRPr="00D6400E">
        <w:rPr>
          <w:rFonts w:ascii="Times New Roman" w:eastAsia="Times New Roman" w:hAnsi="Times New Roman" w:cs="Times New Roman"/>
          <w:kern w:val="0"/>
          <w:lang w:val="es-CO" w:eastAsia="es-MX"/>
          <w14:ligatures w14:val="none"/>
        </w:rPr>
        <w:br/>
      </w:r>
    </w:p>
    <w:p w14:paraId="5648494E" w14:textId="77777777" w:rsidR="00D6400E" w:rsidRPr="00D6400E" w:rsidRDefault="00D6400E" w:rsidP="00D6400E">
      <w:pPr>
        <w:numPr>
          <w:ilvl w:val="0"/>
          <w:numId w:val="53"/>
        </w:numPr>
        <w:jc w:val="both"/>
        <w:textAlignment w:val="baseline"/>
        <w:rPr>
          <w:rFonts w:ascii="Verdana" w:eastAsia="Times New Roman" w:hAnsi="Verdana" w:cs="Times New Roman"/>
          <w:color w:val="000000"/>
          <w:kern w:val="0"/>
          <w:lang w:val="es-CO" w:eastAsia="es-MX"/>
          <w14:ligatures w14:val="none"/>
        </w:rPr>
      </w:pPr>
      <w:r w:rsidRPr="00D6400E">
        <w:rPr>
          <w:rFonts w:ascii="Verdana" w:eastAsia="Times New Roman" w:hAnsi="Verdana" w:cs="Times New Roman"/>
          <w:color w:val="000000"/>
          <w:kern w:val="0"/>
          <w:lang w:val="es-CO" w:eastAsia="es-MX"/>
          <w14:ligatures w14:val="none"/>
        </w:rPr>
        <w:t>Por todo lo anterior, se revocan y reconsideran los Conceptos 00</w:t>
      </w:r>
      <w:r w:rsidRPr="00D6400E">
        <w:rPr>
          <w:rFonts w:ascii="Verdana" w:eastAsia="Times New Roman" w:hAnsi="Verdana" w:cs="Times New Roman"/>
          <w:color w:val="000000"/>
          <w:kern w:val="0"/>
          <w:u w:val="single"/>
          <w:lang w:val="es-CO" w:eastAsia="es-MX"/>
          <w14:ligatures w14:val="none"/>
        </w:rPr>
        <w:t>5308</w:t>
      </w:r>
      <w:r w:rsidRPr="00D6400E">
        <w:rPr>
          <w:rFonts w:ascii="Verdana" w:eastAsia="Times New Roman" w:hAnsi="Verdana" w:cs="Times New Roman"/>
          <w:color w:val="000000"/>
          <w:kern w:val="0"/>
          <w:lang w:val="es-CO" w:eastAsia="es-MX"/>
          <w14:ligatures w14:val="none"/>
        </w:rPr>
        <w:t xml:space="preserve"> </w:t>
      </w:r>
      <w:proofErr w:type="spellStart"/>
      <w:r w:rsidRPr="00D6400E">
        <w:rPr>
          <w:rFonts w:ascii="Verdana" w:eastAsia="Times New Roman" w:hAnsi="Verdana" w:cs="Times New Roman"/>
          <w:color w:val="000000"/>
          <w:kern w:val="0"/>
          <w:lang w:val="es-CO" w:eastAsia="es-MX"/>
          <w14:ligatures w14:val="none"/>
        </w:rPr>
        <w:t>int</w:t>
      </w:r>
      <w:proofErr w:type="spellEnd"/>
      <w:r w:rsidRPr="00D6400E">
        <w:rPr>
          <w:rFonts w:ascii="Verdana" w:eastAsia="Times New Roman" w:hAnsi="Verdana" w:cs="Times New Roman"/>
          <w:color w:val="000000"/>
          <w:kern w:val="0"/>
          <w:lang w:val="es-CO" w:eastAsia="es-MX"/>
          <w14:ligatures w14:val="none"/>
        </w:rPr>
        <w:t xml:space="preserve">. 604 de 2024 y 039115 de 2013, los cuales se entienden íntegramente reemplazados por lo aquí dispuesto. En cualquier caso, se resalta que, en los términos del numeral 6.1. de la Circular </w:t>
      </w:r>
      <w:r w:rsidRPr="00D6400E">
        <w:rPr>
          <w:rFonts w:ascii="Verdana" w:eastAsia="Times New Roman" w:hAnsi="Verdana" w:cs="Times New Roman"/>
          <w:color w:val="000000"/>
          <w:kern w:val="0"/>
          <w:u w:val="single"/>
          <w:lang w:val="es-CO" w:eastAsia="es-MX"/>
          <w14:ligatures w14:val="none"/>
        </w:rPr>
        <w:t>10</w:t>
      </w:r>
      <w:r w:rsidRPr="00D6400E">
        <w:rPr>
          <w:rFonts w:ascii="Verdana" w:eastAsia="Times New Roman" w:hAnsi="Verdana" w:cs="Times New Roman"/>
          <w:color w:val="000000"/>
          <w:kern w:val="0"/>
          <w:lang w:val="es-CO" w:eastAsia="es-MX"/>
          <w14:ligatures w14:val="none"/>
        </w:rPr>
        <w:t xml:space="preserve"> de 2022 de esta Entidad –y de acuerdo con el planteamiento jurisprudencial del Consejo de Estado–, “los conceptos expedidos por la DIAN, en ejercicio de las funciones (...) sólo producen efectos jurídicos hacia el futuro una vez se han publicado” en concordancia con el artículo </w:t>
      </w:r>
      <w:r w:rsidRPr="00D6400E">
        <w:rPr>
          <w:rFonts w:ascii="Verdana" w:eastAsia="Times New Roman" w:hAnsi="Verdana" w:cs="Times New Roman"/>
          <w:color w:val="000000"/>
          <w:kern w:val="0"/>
          <w:u w:val="single"/>
          <w:lang w:val="es-CO" w:eastAsia="es-MX"/>
          <w14:ligatures w14:val="none"/>
        </w:rPr>
        <w:t>131</w:t>
      </w:r>
      <w:r w:rsidRPr="00D6400E">
        <w:rPr>
          <w:rFonts w:ascii="Verdana" w:eastAsia="Times New Roman" w:hAnsi="Verdana" w:cs="Times New Roman"/>
          <w:color w:val="000000"/>
          <w:kern w:val="0"/>
          <w:lang w:val="es-CO" w:eastAsia="es-MX"/>
          <w14:ligatures w14:val="none"/>
        </w:rPr>
        <w:t xml:space="preserve"> de la Ley 2010 de 2019.</w:t>
      </w:r>
    </w:p>
    <w:p w14:paraId="52C843CE" w14:textId="2E3113D2" w:rsidR="00537D8F" w:rsidRDefault="00D6400E" w:rsidP="00D6400E">
      <w:r w:rsidRPr="00D6400E">
        <w:rPr>
          <w:rFonts w:ascii="Times New Roman" w:eastAsia="Times New Roman" w:hAnsi="Times New Roman" w:cs="Times New Roman"/>
          <w:kern w:val="0"/>
          <w:lang w:val="es-CO" w:eastAsia="es-MX"/>
          <w14:ligatures w14:val="none"/>
        </w:rPr>
        <w:br/>
      </w:r>
      <w:r w:rsidRPr="00D6400E">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D6400E">
          <w:rPr>
            <w:rFonts w:ascii="Verdana" w:eastAsia="Times New Roman" w:hAnsi="Verdana" w:cs="Times New Roman"/>
            <w:color w:val="000000"/>
            <w:kern w:val="0"/>
            <w:u w:val="single"/>
            <w:lang w:val="es-CO" w:eastAsia="es-MX"/>
            <w14:ligatures w14:val="none"/>
          </w:rPr>
          <w:t>https://normograma.dian.gov.co/dian/.</w:t>
        </w:r>
      </w:hyperlink>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33A0"/>
    <w:multiLevelType w:val="multilevel"/>
    <w:tmpl w:val="83444358"/>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B46000"/>
    <w:multiLevelType w:val="multilevel"/>
    <w:tmpl w:val="3F66915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F65E38"/>
    <w:multiLevelType w:val="multilevel"/>
    <w:tmpl w:val="A04AE1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F93EA4"/>
    <w:multiLevelType w:val="multilevel"/>
    <w:tmpl w:val="B6C2E0C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7C7937"/>
    <w:multiLevelType w:val="multilevel"/>
    <w:tmpl w:val="E500D12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7C54A4"/>
    <w:multiLevelType w:val="multilevel"/>
    <w:tmpl w:val="C7E2DC52"/>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7B0BC0"/>
    <w:multiLevelType w:val="multilevel"/>
    <w:tmpl w:val="F5FAFD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30549B"/>
    <w:multiLevelType w:val="multilevel"/>
    <w:tmpl w:val="158AB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22026D"/>
    <w:multiLevelType w:val="multilevel"/>
    <w:tmpl w:val="8A5C705E"/>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9C213B"/>
    <w:multiLevelType w:val="multilevel"/>
    <w:tmpl w:val="219CAB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B123B5A"/>
    <w:multiLevelType w:val="multilevel"/>
    <w:tmpl w:val="4F7CC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743F16"/>
    <w:multiLevelType w:val="multilevel"/>
    <w:tmpl w:val="C008746A"/>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F507C0"/>
    <w:multiLevelType w:val="multilevel"/>
    <w:tmpl w:val="1EB466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FF40B22"/>
    <w:multiLevelType w:val="multilevel"/>
    <w:tmpl w:val="B6CC49A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1BE2DA9"/>
    <w:multiLevelType w:val="multilevel"/>
    <w:tmpl w:val="D0CCCE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70C2D6C"/>
    <w:multiLevelType w:val="multilevel"/>
    <w:tmpl w:val="8AD0E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9670276"/>
    <w:multiLevelType w:val="multilevel"/>
    <w:tmpl w:val="43AC94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9ED363A"/>
    <w:multiLevelType w:val="multilevel"/>
    <w:tmpl w:val="191244F2"/>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B872393"/>
    <w:multiLevelType w:val="multilevel"/>
    <w:tmpl w:val="FE20D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CD06A84"/>
    <w:multiLevelType w:val="multilevel"/>
    <w:tmpl w:val="44143B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D6B2E79"/>
    <w:multiLevelType w:val="multilevel"/>
    <w:tmpl w:val="3F6096FC"/>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6B73DAE"/>
    <w:multiLevelType w:val="multilevel"/>
    <w:tmpl w:val="E70C3946"/>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604958"/>
    <w:multiLevelType w:val="hybridMultilevel"/>
    <w:tmpl w:val="F822D162"/>
    <w:lvl w:ilvl="0" w:tplc="59A8FB96">
      <w:start w:val="2"/>
      <w:numFmt w:val="lowerRoman"/>
      <w:lvlText w:val="%1."/>
      <w:lvlJc w:val="right"/>
      <w:pPr>
        <w:tabs>
          <w:tab w:val="num" w:pos="720"/>
        </w:tabs>
        <w:ind w:left="720" w:hanging="360"/>
      </w:pPr>
    </w:lvl>
    <w:lvl w:ilvl="1" w:tplc="66064E5A" w:tentative="1">
      <w:start w:val="1"/>
      <w:numFmt w:val="decimal"/>
      <w:lvlText w:val="%2."/>
      <w:lvlJc w:val="left"/>
      <w:pPr>
        <w:tabs>
          <w:tab w:val="num" w:pos="1440"/>
        </w:tabs>
        <w:ind w:left="1440" w:hanging="360"/>
      </w:pPr>
    </w:lvl>
    <w:lvl w:ilvl="2" w:tplc="4A064916" w:tentative="1">
      <w:start w:val="1"/>
      <w:numFmt w:val="decimal"/>
      <w:lvlText w:val="%3."/>
      <w:lvlJc w:val="left"/>
      <w:pPr>
        <w:tabs>
          <w:tab w:val="num" w:pos="2160"/>
        </w:tabs>
        <w:ind w:left="2160" w:hanging="360"/>
      </w:pPr>
    </w:lvl>
    <w:lvl w:ilvl="3" w:tplc="5184BA56" w:tentative="1">
      <w:start w:val="1"/>
      <w:numFmt w:val="decimal"/>
      <w:lvlText w:val="%4."/>
      <w:lvlJc w:val="left"/>
      <w:pPr>
        <w:tabs>
          <w:tab w:val="num" w:pos="2880"/>
        </w:tabs>
        <w:ind w:left="2880" w:hanging="360"/>
      </w:pPr>
    </w:lvl>
    <w:lvl w:ilvl="4" w:tplc="017E9D1A" w:tentative="1">
      <w:start w:val="1"/>
      <w:numFmt w:val="decimal"/>
      <w:lvlText w:val="%5."/>
      <w:lvlJc w:val="left"/>
      <w:pPr>
        <w:tabs>
          <w:tab w:val="num" w:pos="3600"/>
        </w:tabs>
        <w:ind w:left="3600" w:hanging="360"/>
      </w:pPr>
    </w:lvl>
    <w:lvl w:ilvl="5" w:tplc="73C243D2" w:tentative="1">
      <w:start w:val="1"/>
      <w:numFmt w:val="decimal"/>
      <w:lvlText w:val="%6."/>
      <w:lvlJc w:val="left"/>
      <w:pPr>
        <w:tabs>
          <w:tab w:val="num" w:pos="4320"/>
        </w:tabs>
        <w:ind w:left="4320" w:hanging="360"/>
      </w:pPr>
    </w:lvl>
    <w:lvl w:ilvl="6" w:tplc="649420A6" w:tentative="1">
      <w:start w:val="1"/>
      <w:numFmt w:val="decimal"/>
      <w:lvlText w:val="%7."/>
      <w:lvlJc w:val="left"/>
      <w:pPr>
        <w:tabs>
          <w:tab w:val="num" w:pos="5040"/>
        </w:tabs>
        <w:ind w:left="5040" w:hanging="360"/>
      </w:pPr>
    </w:lvl>
    <w:lvl w:ilvl="7" w:tplc="DB2232CC" w:tentative="1">
      <w:start w:val="1"/>
      <w:numFmt w:val="decimal"/>
      <w:lvlText w:val="%8."/>
      <w:lvlJc w:val="left"/>
      <w:pPr>
        <w:tabs>
          <w:tab w:val="num" w:pos="5760"/>
        </w:tabs>
        <w:ind w:left="5760" w:hanging="360"/>
      </w:pPr>
    </w:lvl>
    <w:lvl w:ilvl="8" w:tplc="0862F176" w:tentative="1">
      <w:start w:val="1"/>
      <w:numFmt w:val="decimal"/>
      <w:lvlText w:val="%9."/>
      <w:lvlJc w:val="left"/>
      <w:pPr>
        <w:tabs>
          <w:tab w:val="num" w:pos="6480"/>
        </w:tabs>
        <w:ind w:left="6480" w:hanging="360"/>
      </w:pPr>
    </w:lvl>
  </w:abstractNum>
  <w:abstractNum w:abstractNumId="23" w15:restartNumberingAfterBreak="0">
    <w:nsid w:val="3D1641CC"/>
    <w:multiLevelType w:val="multilevel"/>
    <w:tmpl w:val="CD26D0A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B63F5F"/>
    <w:multiLevelType w:val="multilevel"/>
    <w:tmpl w:val="B9FEBF1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F042DAB"/>
    <w:multiLevelType w:val="multilevel"/>
    <w:tmpl w:val="5B125B50"/>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F2C353D"/>
    <w:multiLevelType w:val="multilevel"/>
    <w:tmpl w:val="5CC8E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3D57FCE"/>
    <w:multiLevelType w:val="multilevel"/>
    <w:tmpl w:val="B56CA88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42B682E"/>
    <w:multiLevelType w:val="multilevel"/>
    <w:tmpl w:val="E528DFFA"/>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78751E3"/>
    <w:multiLevelType w:val="multilevel"/>
    <w:tmpl w:val="62AE0D6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87162AB"/>
    <w:multiLevelType w:val="hybridMultilevel"/>
    <w:tmpl w:val="FA007334"/>
    <w:lvl w:ilvl="0" w:tplc="11462712">
      <w:start w:val="3"/>
      <w:numFmt w:val="lowerRoman"/>
      <w:lvlText w:val="%1."/>
      <w:lvlJc w:val="right"/>
      <w:pPr>
        <w:tabs>
          <w:tab w:val="num" w:pos="720"/>
        </w:tabs>
        <w:ind w:left="720" w:hanging="360"/>
      </w:pPr>
    </w:lvl>
    <w:lvl w:ilvl="1" w:tplc="5BBE2602" w:tentative="1">
      <w:start w:val="1"/>
      <w:numFmt w:val="decimal"/>
      <w:lvlText w:val="%2."/>
      <w:lvlJc w:val="left"/>
      <w:pPr>
        <w:tabs>
          <w:tab w:val="num" w:pos="1440"/>
        </w:tabs>
        <w:ind w:left="1440" w:hanging="360"/>
      </w:pPr>
    </w:lvl>
    <w:lvl w:ilvl="2" w:tplc="7C2E8316" w:tentative="1">
      <w:start w:val="1"/>
      <w:numFmt w:val="decimal"/>
      <w:lvlText w:val="%3."/>
      <w:lvlJc w:val="left"/>
      <w:pPr>
        <w:tabs>
          <w:tab w:val="num" w:pos="2160"/>
        </w:tabs>
        <w:ind w:left="2160" w:hanging="360"/>
      </w:pPr>
    </w:lvl>
    <w:lvl w:ilvl="3" w:tplc="7826AF60" w:tentative="1">
      <w:start w:val="1"/>
      <w:numFmt w:val="decimal"/>
      <w:lvlText w:val="%4."/>
      <w:lvlJc w:val="left"/>
      <w:pPr>
        <w:tabs>
          <w:tab w:val="num" w:pos="2880"/>
        </w:tabs>
        <w:ind w:left="2880" w:hanging="360"/>
      </w:pPr>
    </w:lvl>
    <w:lvl w:ilvl="4" w:tplc="944EE376" w:tentative="1">
      <w:start w:val="1"/>
      <w:numFmt w:val="decimal"/>
      <w:lvlText w:val="%5."/>
      <w:lvlJc w:val="left"/>
      <w:pPr>
        <w:tabs>
          <w:tab w:val="num" w:pos="3600"/>
        </w:tabs>
        <w:ind w:left="3600" w:hanging="360"/>
      </w:pPr>
    </w:lvl>
    <w:lvl w:ilvl="5" w:tplc="B3508596" w:tentative="1">
      <w:start w:val="1"/>
      <w:numFmt w:val="decimal"/>
      <w:lvlText w:val="%6."/>
      <w:lvlJc w:val="left"/>
      <w:pPr>
        <w:tabs>
          <w:tab w:val="num" w:pos="4320"/>
        </w:tabs>
        <w:ind w:left="4320" w:hanging="360"/>
      </w:pPr>
    </w:lvl>
    <w:lvl w:ilvl="6" w:tplc="3E1C1412" w:tentative="1">
      <w:start w:val="1"/>
      <w:numFmt w:val="decimal"/>
      <w:lvlText w:val="%7."/>
      <w:lvlJc w:val="left"/>
      <w:pPr>
        <w:tabs>
          <w:tab w:val="num" w:pos="5040"/>
        </w:tabs>
        <w:ind w:left="5040" w:hanging="360"/>
      </w:pPr>
    </w:lvl>
    <w:lvl w:ilvl="7" w:tplc="6C264F8C" w:tentative="1">
      <w:start w:val="1"/>
      <w:numFmt w:val="decimal"/>
      <w:lvlText w:val="%8."/>
      <w:lvlJc w:val="left"/>
      <w:pPr>
        <w:tabs>
          <w:tab w:val="num" w:pos="5760"/>
        </w:tabs>
        <w:ind w:left="5760" w:hanging="360"/>
      </w:pPr>
    </w:lvl>
    <w:lvl w:ilvl="8" w:tplc="01E60CEC" w:tentative="1">
      <w:start w:val="1"/>
      <w:numFmt w:val="decimal"/>
      <w:lvlText w:val="%9."/>
      <w:lvlJc w:val="left"/>
      <w:pPr>
        <w:tabs>
          <w:tab w:val="num" w:pos="6480"/>
        </w:tabs>
        <w:ind w:left="6480" w:hanging="360"/>
      </w:pPr>
    </w:lvl>
  </w:abstractNum>
  <w:abstractNum w:abstractNumId="31" w15:restartNumberingAfterBreak="0">
    <w:nsid w:val="4A265A37"/>
    <w:multiLevelType w:val="multilevel"/>
    <w:tmpl w:val="4C6C2E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02030CB"/>
    <w:multiLevelType w:val="multilevel"/>
    <w:tmpl w:val="17546630"/>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02A18A3"/>
    <w:multiLevelType w:val="multilevel"/>
    <w:tmpl w:val="94B66F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7314646"/>
    <w:multiLevelType w:val="multilevel"/>
    <w:tmpl w:val="7E9ED2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BF353A0"/>
    <w:multiLevelType w:val="multilevel"/>
    <w:tmpl w:val="B218D1DC"/>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E731C60"/>
    <w:multiLevelType w:val="multilevel"/>
    <w:tmpl w:val="7FC663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5FE08D5"/>
    <w:multiLevelType w:val="multilevel"/>
    <w:tmpl w:val="1B8403BC"/>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62C7247"/>
    <w:multiLevelType w:val="multilevel"/>
    <w:tmpl w:val="DB2CD99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8AD11BA"/>
    <w:multiLevelType w:val="multilevel"/>
    <w:tmpl w:val="91284D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99078A1"/>
    <w:multiLevelType w:val="multilevel"/>
    <w:tmpl w:val="1ADCEC2C"/>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A534917"/>
    <w:multiLevelType w:val="multilevel"/>
    <w:tmpl w:val="8F10F782"/>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AFF1685"/>
    <w:multiLevelType w:val="multilevel"/>
    <w:tmpl w:val="4E2E8E1E"/>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F113A2E"/>
    <w:multiLevelType w:val="multilevel"/>
    <w:tmpl w:val="58D4133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FBD70CA"/>
    <w:multiLevelType w:val="hybridMultilevel"/>
    <w:tmpl w:val="9AA8A772"/>
    <w:lvl w:ilvl="0" w:tplc="6752238C">
      <w:start w:val="2"/>
      <w:numFmt w:val="upperLetter"/>
      <w:lvlText w:val="%1."/>
      <w:lvlJc w:val="left"/>
      <w:pPr>
        <w:tabs>
          <w:tab w:val="num" w:pos="720"/>
        </w:tabs>
        <w:ind w:left="720" w:hanging="360"/>
      </w:pPr>
    </w:lvl>
    <w:lvl w:ilvl="1" w:tplc="39D031C8" w:tentative="1">
      <w:start w:val="1"/>
      <w:numFmt w:val="decimal"/>
      <w:lvlText w:val="%2."/>
      <w:lvlJc w:val="left"/>
      <w:pPr>
        <w:tabs>
          <w:tab w:val="num" w:pos="1440"/>
        </w:tabs>
        <w:ind w:left="1440" w:hanging="360"/>
      </w:pPr>
    </w:lvl>
    <w:lvl w:ilvl="2" w:tplc="3EE06DF2" w:tentative="1">
      <w:start w:val="1"/>
      <w:numFmt w:val="decimal"/>
      <w:lvlText w:val="%3."/>
      <w:lvlJc w:val="left"/>
      <w:pPr>
        <w:tabs>
          <w:tab w:val="num" w:pos="2160"/>
        </w:tabs>
        <w:ind w:left="2160" w:hanging="360"/>
      </w:pPr>
    </w:lvl>
    <w:lvl w:ilvl="3" w:tplc="4B242F9E" w:tentative="1">
      <w:start w:val="1"/>
      <w:numFmt w:val="decimal"/>
      <w:lvlText w:val="%4."/>
      <w:lvlJc w:val="left"/>
      <w:pPr>
        <w:tabs>
          <w:tab w:val="num" w:pos="2880"/>
        </w:tabs>
        <w:ind w:left="2880" w:hanging="360"/>
      </w:pPr>
    </w:lvl>
    <w:lvl w:ilvl="4" w:tplc="313ADEE4" w:tentative="1">
      <w:start w:val="1"/>
      <w:numFmt w:val="decimal"/>
      <w:lvlText w:val="%5."/>
      <w:lvlJc w:val="left"/>
      <w:pPr>
        <w:tabs>
          <w:tab w:val="num" w:pos="3600"/>
        </w:tabs>
        <w:ind w:left="3600" w:hanging="360"/>
      </w:pPr>
    </w:lvl>
    <w:lvl w:ilvl="5" w:tplc="8AE0550C" w:tentative="1">
      <w:start w:val="1"/>
      <w:numFmt w:val="decimal"/>
      <w:lvlText w:val="%6."/>
      <w:lvlJc w:val="left"/>
      <w:pPr>
        <w:tabs>
          <w:tab w:val="num" w:pos="4320"/>
        </w:tabs>
        <w:ind w:left="4320" w:hanging="360"/>
      </w:pPr>
    </w:lvl>
    <w:lvl w:ilvl="6" w:tplc="2EE0C558" w:tentative="1">
      <w:start w:val="1"/>
      <w:numFmt w:val="decimal"/>
      <w:lvlText w:val="%7."/>
      <w:lvlJc w:val="left"/>
      <w:pPr>
        <w:tabs>
          <w:tab w:val="num" w:pos="5040"/>
        </w:tabs>
        <w:ind w:left="5040" w:hanging="360"/>
      </w:pPr>
    </w:lvl>
    <w:lvl w:ilvl="7" w:tplc="3762191A" w:tentative="1">
      <w:start w:val="1"/>
      <w:numFmt w:val="decimal"/>
      <w:lvlText w:val="%8."/>
      <w:lvlJc w:val="left"/>
      <w:pPr>
        <w:tabs>
          <w:tab w:val="num" w:pos="5760"/>
        </w:tabs>
        <w:ind w:left="5760" w:hanging="360"/>
      </w:pPr>
    </w:lvl>
    <w:lvl w:ilvl="8" w:tplc="5CB6079C" w:tentative="1">
      <w:start w:val="1"/>
      <w:numFmt w:val="decimal"/>
      <w:lvlText w:val="%9."/>
      <w:lvlJc w:val="left"/>
      <w:pPr>
        <w:tabs>
          <w:tab w:val="num" w:pos="6480"/>
        </w:tabs>
        <w:ind w:left="6480" w:hanging="360"/>
      </w:pPr>
    </w:lvl>
  </w:abstractNum>
  <w:abstractNum w:abstractNumId="45" w15:restartNumberingAfterBreak="0">
    <w:nsid w:val="71EC3F6E"/>
    <w:multiLevelType w:val="multilevel"/>
    <w:tmpl w:val="5224B09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3A379A8"/>
    <w:multiLevelType w:val="multilevel"/>
    <w:tmpl w:val="D2F6E2E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6322494"/>
    <w:multiLevelType w:val="multilevel"/>
    <w:tmpl w:val="D1B8F63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A95019D"/>
    <w:multiLevelType w:val="multilevel"/>
    <w:tmpl w:val="374004AE"/>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E636E72"/>
    <w:multiLevelType w:val="multilevel"/>
    <w:tmpl w:val="D3805E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F163934"/>
    <w:multiLevelType w:val="multilevel"/>
    <w:tmpl w:val="778E0122"/>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75939026">
    <w:abstractNumId w:val="18"/>
  </w:num>
  <w:num w:numId="2" w16cid:durableId="1583291309">
    <w:abstractNumId w:val="36"/>
    <w:lvlOverride w:ilvl="0">
      <w:lvl w:ilvl="0">
        <w:numFmt w:val="upperLetter"/>
        <w:lvlText w:val="%1."/>
        <w:lvlJc w:val="left"/>
      </w:lvl>
    </w:lvlOverride>
  </w:num>
  <w:num w:numId="3" w16cid:durableId="570121012">
    <w:abstractNumId w:val="6"/>
    <w:lvlOverride w:ilvl="0">
      <w:lvl w:ilvl="0">
        <w:numFmt w:val="decimal"/>
        <w:lvlText w:val="%1."/>
        <w:lvlJc w:val="left"/>
      </w:lvl>
    </w:lvlOverride>
  </w:num>
  <w:num w:numId="4" w16cid:durableId="1401446494">
    <w:abstractNumId w:val="16"/>
    <w:lvlOverride w:ilvl="0">
      <w:lvl w:ilvl="0">
        <w:numFmt w:val="decimal"/>
        <w:lvlText w:val="%1."/>
        <w:lvlJc w:val="left"/>
      </w:lvl>
    </w:lvlOverride>
  </w:num>
  <w:num w:numId="5" w16cid:durableId="369064542">
    <w:abstractNumId w:val="14"/>
    <w:lvlOverride w:ilvl="0">
      <w:lvl w:ilvl="0">
        <w:numFmt w:val="decimal"/>
        <w:lvlText w:val="%1."/>
        <w:lvlJc w:val="left"/>
      </w:lvl>
    </w:lvlOverride>
  </w:num>
  <w:num w:numId="6" w16cid:durableId="213010709">
    <w:abstractNumId w:val="39"/>
    <w:lvlOverride w:ilvl="0">
      <w:lvl w:ilvl="0">
        <w:numFmt w:val="decimal"/>
        <w:lvlText w:val="%1."/>
        <w:lvlJc w:val="left"/>
      </w:lvl>
    </w:lvlOverride>
  </w:num>
  <w:num w:numId="7" w16cid:durableId="630016394">
    <w:abstractNumId w:val="27"/>
    <w:lvlOverride w:ilvl="0">
      <w:lvl w:ilvl="0">
        <w:numFmt w:val="decimal"/>
        <w:lvlText w:val="%1."/>
        <w:lvlJc w:val="left"/>
      </w:lvl>
    </w:lvlOverride>
  </w:num>
  <w:num w:numId="8" w16cid:durableId="489248853">
    <w:abstractNumId w:val="49"/>
    <w:lvlOverride w:ilvl="0">
      <w:lvl w:ilvl="0">
        <w:numFmt w:val="decimal"/>
        <w:lvlText w:val="%1."/>
        <w:lvlJc w:val="left"/>
      </w:lvl>
    </w:lvlOverride>
  </w:num>
  <w:num w:numId="9" w16cid:durableId="494996406">
    <w:abstractNumId w:val="29"/>
    <w:lvlOverride w:ilvl="0">
      <w:lvl w:ilvl="0">
        <w:numFmt w:val="decimal"/>
        <w:lvlText w:val="%1."/>
        <w:lvlJc w:val="left"/>
      </w:lvl>
    </w:lvlOverride>
  </w:num>
  <w:num w:numId="10" w16cid:durableId="431437336">
    <w:abstractNumId w:val="44"/>
  </w:num>
  <w:num w:numId="11" w16cid:durableId="1874994924">
    <w:abstractNumId w:val="45"/>
    <w:lvlOverride w:ilvl="0">
      <w:lvl w:ilvl="0">
        <w:numFmt w:val="decimal"/>
        <w:lvlText w:val="%1."/>
        <w:lvlJc w:val="left"/>
      </w:lvl>
    </w:lvlOverride>
  </w:num>
  <w:num w:numId="12" w16cid:durableId="1261183556">
    <w:abstractNumId w:val="12"/>
    <w:lvlOverride w:ilvl="0">
      <w:lvl w:ilvl="0">
        <w:numFmt w:val="decimal"/>
        <w:lvlText w:val="%1."/>
        <w:lvlJc w:val="left"/>
      </w:lvl>
    </w:lvlOverride>
  </w:num>
  <w:num w:numId="13" w16cid:durableId="2016880495">
    <w:abstractNumId w:val="9"/>
    <w:lvlOverride w:ilvl="0">
      <w:lvl w:ilvl="0">
        <w:numFmt w:val="decimal"/>
        <w:lvlText w:val="%1."/>
        <w:lvlJc w:val="left"/>
      </w:lvl>
    </w:lvlOverride>
  </w:num>
  <w:num w:numId="14" w16cid:durableId="1491631287">
    <w:abstractNumId w:val="4"/>
    <w:lvlOverride w:ilvl="0">
      <w:lvl w:ilvl="0">
        <w:numFmt w:val="decimal"/>
        <w:lvlText w:val="%1."/>
        <w:lvlJc w:val="left"/>
      </w:lvl>
    </w:lvlOverride>
  </w:num>
  <w:num w:numId="15" w16cid:durableId="211700847">
    <w:abstractNumId w:val="26"/>
    <w:lvlOverride w:ilvl="0">
      <w:lvl w:ilvl="0">
        <w:numFmt w:val="lowerRoman"/>
        <w:lvlText w:val="%1."/>
        <w:lvlJc w:val="right"/>
      </w:lvl>
    </w:lvlOverride>
  </w:num>
  <w:num w:numId="16" w16cid:durableId="1898082162">
    <w:abstractNumId w:val="24"/>
    <w:lvlOverride w:ilvl="0">
      <w:lvl w:ilvl="0">
        <w:numFmt w:val="decimal"/>
        <w:lvlText w:val="%1."/>
        <w:lvlJc w:val="left"/>
      </w:lvl>
    </w:lvlOverride>
  </w:num>
  <w:num w:numId="17" w16cid:durableId="1596673348">
    <w:abstractNumId w:val="13"/>
    <w:lvlOverride w:ilvl="0">
      <w:lvl w:ilvl="0">
        <w:numFmt w:val="decimal"/>
        <w:lvlText w:val="%1."/>
        <w:lvlJc w:val="left"/>
      </w:lvl>
    </w:lvlOverride>
  </w:num>
  <w:num w:numId="18" w16cid:durableId="545485138">
    <w:abstractNumId w:val="10"/>
  </w:num>
  <w:num w:numId="19" w16cid:durableId="1150168737">
    <w:abstractNumId w:val="19"/>
    <w:lvlOverride w:ilvl="0">
      <w:lvl w:ilvl="0">
        <w:numFmt w:val="decimal"/>
        <w:lvlText w:val="%1."/>
        <w:lvlJc w:val="left"/>
      </w:lvl>
    </w:lvlOverride>
  </w:num>
  <w:num w:numId="20" w16cid:durableId="2097169376">
    <w:abstractNumId w:val="34"/>
    <w:lvlOverride w:ilvl="0">
      <w:lvl w:ilvl="0">
        <w:numFmt w:val="decimal"/>
        <w:lvlText w:val="%1."/>
        <w:lvlJc w:val="left"/>
      </w:lvl>
    </w:lvlOverride>
  </w:num>
  <w:num w:numId="21" w16cid:durableId="1225067355">
    <w:abstractNumId w:val="47"/>
    <w:lvlOverride w:ilvl="0">
      <w:lvl w:ilvl="0">
        <w:numFmt w:val="decimal"/>
        <w:lvlText w:val="%1."/>
        <w:lvlJc w:val="left"/>
      </w:lvl>
    </w:lvlOverride>
  </w:num>
  <w:num w:numId="22" w16cid:durableId="1629167060">
    <w:abstractNumId w:val="7"/>
  </w:num>
  <w:num w:numId="23" w16cid:durableId="1781142374">
    <w:abstractNumId w:val="2"/>
    <w:lvlOverride w:ilvl="0">
      <w:lvl w:ilvl="0">
        <w:numFmt w:val="decimal"/>
        <w:lvlText w:val="%1."/>
        <w:lvlJc w:val="left"/>
      </w:lvl>
    </w:lvlOverride>
  </w:num>
  <w:num w:numId="24" w16cid:durableId="313948858">
    <w:abstractNumId w:val="33"/>
    <w:lvlOverride w:ilvl="0">
      <w:lvl w:ilvl="0">
        <w:numFmt w:val="decimal"/>
        <w:lvlText w:val="%1."/>
        <w:lvlJc w:val="left"/>
      </w:lvl>
    </w:lvlOverride>
  </w:num>
  <w:num w:numId="25" w16cid:durableId="1174799455">
    <w:abstractNumId w:val="38"/>
    <w:lvlOverride w:ilvl="0">
      <w:lvl w:ilvl="0">
        <w:numFmt w:val="decimal"/>
        <w:lvlText w:val="%1."/>
        <w:lvlJc w:val="left"/>
      </w:lvl>
    </w:lvlOverride>
  </w:num>
  <w:num w:numId="26" w16cid:durableId="2039506339">
    <w:abstractNumId w:val="22"/>
  </w:num>
  <w:num w:numId="27" w16cid:durableId="74787593">
    <w:abstractNumId w:val="46"/>
    <w:lvlOverride w:ilvl="0">
      <w:lvl w:ilvl="0">
        <w:numFmt w:val="decimal"/>
        <w:lvlText w:val="%1."/>
        <w:lvlJc w:val="left"/>
      </w:lvl>
    </w:lvlOverride>
  </w:num>
  <w:num w:numId="28" w16cid:durableId="19623191">
    <w:abstractNumId w:val="43"/>
    <w:lvlOverride w:ilvl="0">
      <w:lvl w:ilvl="0">
        <w:numFmt w:val="decimal"/>
        <w:lvlText w:val="%1."/>
        <w:lvlJc w:val="left"/>
      </w:lvl>
    </w:lvlOverride>
  </w:num>
  <w:num w:numId="29" w16cid:durableId="1604531569">
    <w:abstractNumId w:val="1"/>
    <w:lvlOverride w:ilvl="0">
      <w:lvl w:ilvl="0">
        <w:numFmt w:val="decimal"/>
        <w:lvlText w:val="%1."/>
        <w:lvlJc w:val="left"/>
      </w:lvl>
    </w:lvlOverride>
  </w:num>
  <w:num w:numId="30" w16cid:durableId="1819303610">
    <w:abstractNumId w:val="17"/>
    <w:lvlOverride w:ilvl="0">
      <w:lvl w:ilvl="0">
        <w:numFmt w:val="decimal"/>
        <w:lvlText w:val="%1."/>
        <w:lvlJc w:val="left"/>
      </w:lvl>
    </w:lvlOverride>
  </w:num>
  <w:num w:numId="31" w16cid:durableId="721558215">
    <w:abstractNumId w:val="17"/>
    <w:lvlOverride w:ilvl="0">
      <w:lvl w:ilvl="0">
        <w:numFmt w:val="decimal"/>
        <w:lvlText w:val="%1."/>
        <w:lvlJc w:val="left"/>
      </w:lvl>
    </w:lvlOverride>
  </w:num>
  <w:num w:numId="32" w16cid:durableId="480655943">
    <w:abstractNumId w:val="35"/>
    <w:lvlOverride w:ilvl="0">
      <w:lvl w:ilvl="0">
        <w:numFmt w:val="decimal"/>
        <w:lvlText w:val="%1."/>
        <w:lvlJc w:val="left"/>
      </w:lvl>
    </w:lvlOverride>
  </w:num>
  <w:num w:numId="33" w16cid:durableId="694422359">
    <w:abstractNumId w:val="3"/>
    <w:lvlOverride w:ilvl="0">
      <w:lvl w:ilvl="0">
        <w:numFmt w:val="decimal"/>
        <w:lvlText w:val="%1."/>
        <w:lvlJc w:val="left"/>
      </w:lvl>
    </w:lvlOverride>
  </w:num>
  <w:num w:numId="34" w16cid:durableId="744642246">
    <w:abstractNumId w:val="23"/>
    <w:lvlOverride w:ilvl="0">
      <w:lvl w:ilvl="0">
        <w:numFmt w:val="decimal"/>
        <w:lvlText w:val="%1."/>
        <w:lvlJc w:val="left"/>
      </w:lvl>
    </w:lvlOverride>
  </w:num>
  <w:num w:numId="35" w16cid:durableId="297414112">
    <w:abstractNumId w:val="30"/>
  </w:num>
  <w:num w:numId="36" w16cid:durableId="2023313088">
    <w:abstractNumId w:val="11"/>
    <w:lvlOverride w:ilvl="0">
      <w:lvl w:ilvl="0">
        <w:numFmt w:val="decimal"/>
        <w:lvlText w:val="%1."/>
        <w:lvlJc w:val="left"/>
      </w:lvl>
    </w:lvlOverride>
  </w:num>
  <w:num w:numId="37" w16cid:durableId="89815563">
    <w:abstractNumId w:val="41"/>
    <w:lvlOverride w:ilvl="0">
      <w:lvl w:ilvl="0">
        <w:numFmt w:val="decimal"/>
        <w:lvlText w:val="%1."/>
        <w:lvlJc w:val="left"/>
      </w:lvl>
    </w:lvlOverride>
  </w:num>
  <w:num w:numId="38" w16cid:durableId="1368334915">
    <w:abstractNumId w:val="50"/>
    <w:lvlOverride w:ilvl="0">
      <w:lvl w:ilvl="0">
        <w:numFmt w:val="decimal"/>
        <w:lvlText w:val="%1."/>
        <w:lvlJc w:val="left"/>
      </w:lvl>
    </w:lvlOverride>
  </w:num>
  <w:num w:numId="39" w16cid:durableId="134638641">
    <w:abstractNumId w:val="5"/>
    <w:lvlOverride w:ilvl="0">
      <w:lvl w:ilvl="0">
        <w:numFmt w:val="decimal"/>
        <w:lvlText w:val="%1."/>
        <w:lvlJc w:val="left"/>
      </w:lvl>
    </w:lvlOverride>
  </w:num>
  <w:num w:numId="40" w16cid:durableId="748770812">
    <w:abstractNumId w:val="48"/>
    <w:lvlOverride w:ilvl="0">
      <w:lvl w:ilvl="0">
        <w:numFmt w:val="decimal"/>
        <w:lvlText w:val="%1."/>
        <w:lvlJc w:val="left"/>
      </w:lvl>
    </w:lvlOverride>
  </w:num>
  <w:num w:numId="41" w16cid:durableId="756444207">
    <w:abstractNumId w:val="21"/>
    <w:lvlOverride w:ilvl="0">
      <w:lvl w:ilvl="0">
        <w:numFmt w:val="decimal"/>
        <w:lvlText w:val="%1."/>
        <w:lvlJc w:val="left"/>
      </w:lvl>
    </w:lvlOverride>
  </w:num>
  <w:num w:numId="42" w16cid:durableId="913470423">
    <w:abstractNumId w:val="15"/>
  </w:num>
  <w:num w:numId="43" w16cid:durableId="1694451754">
    <w:abstractNumId w:val="31"/>
    <w:lvlOverride w:ilvl="0">
      <w:lvl w:ilvl="0">
        <w:numFmt w:val="decimal"/>
        <w:lvlText w:val="%1."/>
        <w:lvlJc w:val="left"/>
      </w:lvl>
    </w:lvlOverride>
  </w:num>
  <w:num w:numId="44" w16cid:durableId="1941791579">
    <w:abstractNumId w:val="8"/>
    <w:lvlOverride w:ilvl="0">
      <w:lvl w:ilvl="0">
        <w:numFmt w:val="decimal"/>
        <w:lvlText w:val="%1."/>
        <w:lvlJc w:val="left"/>
      </w:lvl>
    </w:lvlOverride>
  </w:num>
  <w:num w:numId="45" w16cid:durableId="1210723676">
    <w:abstractNumId w:val="28"/>
    <w:lvlOverride w:ilvl="0">
      <w:lvl w:ilvl="0">
        <w:numFmt w:val="decimal"/>
        <w:lvlText w:val="%1."/>
        <w:lvlJc w:val="left"/>
      </w:lvl>
    </w:lvlOverride>
  </w:num>
  <w:num w:numId="46" w16cid:durableId="1487357982">
    <w:abstractNumId w:val="42"/>
    <w:lvlOverride w:ilvl="0">
      <w:lvl w:ilvl="0">
        <w:numFmt w:val="decimal"/>
        <w:lvlText w:val="%1."/>
        <w:lvlJc w:val="left"/>
      </w:lvl>
    </w:lvlOverride>
  </w:num>
  <w:num w:numId="47" w16cid:durableId="1130901497">
    <w:abstractNumId w:val="42"/>
    <w:lvlOverride w:ilvl="0">
      <w:lvl w:ilvl="0">
        <w:numFmt w:val="decimal"/>
        <w:lvlText w:val="%1."/>
        <w:lvlJc w:val="left"/>
      </w:lvl>
    </w:lvlOverride>
  </w:num>
  <w:num w:numId="48" w16cid:durableId="854920134">
    <w:abstractNumId w:val="0"/>
    <w:lvlOverride w:ilvl="0">
      <w:lvl w:ilvl="0">
        <w:numFmt w:val="decimal"/>
        <w:lvlText w:val="%1."/>
        <w:lvlJc w:val="left"/>
      </w:lvl>
    </w:lvlOverride>
  </w:num>
  <w:num w:numId="49" w16cid:durableId="1362394819">
    <w:abstractNumId w:val="25"/>
    <w:lvlOverride w:ilvl="0">
      <w:lvl w:ilvl="0">
        <w:numFmt w:val="decimal"/>
        <w:lvlText w:val="%1."/>
        <w:lvlJc w:val="left"/>
      </w:lvl>
    </w:lvlOverride>
  </w:num>
  <w:num w:numId="50" w16cid:durableId="1384599322">
    <w:abstractNumId w:val="32"/>
    <w:lvlOverride w:ilvl="0">
      <w:lvl w:ilvl="0">
        <w:numFmt w:val="decimal"/>
        <w:lvlText w:val="%1."/>
        <w:lvlJc w:val="left"/>
      </w:lvl>
    </w:lvlOverride>
  </w:num>
  <w:num w:numId="51" w16cid:durableId="1724331809">
    <w:abstractNumId w:val="20"/>
    <w:lvlOverride w:ilvl="0">
      <w:lvl w:ilvl="0">
        <w:numFmt w:val="decimal"/>
        <w:lvlText w:val="%1."/>
        <w:lvlJc w:val="left"/>
      </w:lvl>
    </w:lvlOverride>
  </w:num>
  <w:num w:numId="52" w16cid:durableId="2002002756">
    <w:abstractNumId w:val="37"/>
    <w:lvlOverride w:ilvl="0">
      <w:lvl w:ilvl="0">
        <w:numFmt w:val="decimal"/>
        <w:lvlText w:val="%1."/>
        <w:lvlJc w:val="left"/>
      </w:lvl>
    </w:lvlOverride>
  </w:num>
  <w:num w:numId="53" w16cid:durableId="945235103">
    <w:abstractNumId w:val="4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00E"/>
    <w:rsid w:val="000B2285"/>
    <w:rsid w:val="0044004F"/>
    <w:rsid w:val="00537D8F"/>
    <w:rsid w:val="00B83A7B"/>
    <w:rsid w:val="00D6400E"/>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7E547D3"/>
  <w14:defaultImageDpi w14:val="32767"/>
  <w15:chartTrackingRefBased/>
  <w15:docId w15:val="{6DFAC27B-362B-4345-A7B5-900712ACE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640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640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6400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6400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6400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6400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6400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6400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6400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400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6400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6400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6400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6400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6400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6400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6400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6400E"/>
    <w:rPr>
      <w:rFonts w:eastAsiaTheme="majorEastAsia" w:cstheme="majorBidi"/>
      <w:color w:val="272727" w:themeColor="text1" w:themeTint="D8"/>
    </w:rPr>
  </w:style>
  <w:style w:type="paragraph" w:styleId="Ttulo">
    <w:name w:val="Title"/>
    <w:basedOn w:val="Normal"/>
    <w:next w:val="Normal"/>
    <w:link w:val="TtuloCar"/>
    <w:uiPriority w:val="10"/>
    <w:qFormat/>
    <w:rsid w:val="00D6400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6400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6400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6400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6400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6400E"/>
    <w:rPr>
      <w:i/>
      <w:iCs/>
      <w:color w:val="404040" w:themeColor="text1" w:themeTint="BF"/>
    </w:rPr>
  </w:style>
  <w:style w:type="paragraph" w:styleId="Prrafodelista">
    <w:name w:val="List Paragraph"/>
    <w:basedOn w:val="Normal"/>
    <w:uiPriority w:val="34"/>
    <w:qFormat/>
    <w:rsid w:val="00D6400E"/>
    <w:pPr>
      <w:ind w:left="720"/>
      <w:contextualSpacing/>
    </w:pPr>
  </w:style>
  <w:style w:type="character" w:styleId="nfasisintenso">
    <w:name w:val="Intense Emphasis"/>
    <w:basedOn w:val="Fuentedeprrafopredeter"/>
    <w:uiPriority w:val="21"/>
    <w:qFormat/>
    <w:rsid w:val="00D6400E"/>
    <w:rPr>
      <w:i/>
      <w:iCs/>
      <w:color w:val="2F5496" w:themeColor="accent1" w:themeShade="BF"/>
    </w:rPr>
  </w:style>
  <w:style w:type="paragraph" w:styleId="Citadestacada">
    <w:name w:val="Intense Quote"/>
    <w:basedOn w:val="Normal"/>
    <w:next w:val="Normal"/>
    <w:link w:val="CitadestacadaCar"/>
    <w:uiPriority w:val="30"/>
    <w:qFormat/>
    <w:rsid w:val="00D640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6400E"/>
    <w:rPr>
      <w:i/>
      <w:iCs/>
      <w:color w:val="2F5496" w:themeColor="accent1" w:themeShade="BF"/>
    </w:rPr>
  </w:style>
  <w:style w:type="character" w:styleId="Referenciaintensa">
    <w:name w:val="Intense Reference"/>
    <w:basedOn w:val="Fuentedeprrafopredeter"/>
    <w:uiPriority w:val="32"/>
    <w:qFormat/>
    <w:rsid w:val="00D6400E"/>
    <w:rPr>
      <w:b/>
      <w:bCs/>
      <w:smallCaps/>
      <w:color w:val="2F5496" w:themeColor="accent1" w:themeShade="BF"/>
      <w:spacing w:val="5"/>
    </w:rPr>
  </w:style>
  <w:style w:type="paragraph" w:styleId="NormalWeb">
    <w:name w:val="Normal (Web)"/>
    <w:basedOn w:val="Normal"/>
    <w:uiPriority w:val="99"/>
    <w:semiHidden/>
    <w:unhideWhenUsed/>
    <w:rsid w:val="00D6400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6400E"/>
  </w:style>
  <w:style w:type="character" w:styleId="Hipervnculo">
    <w:name w:val="Hyperlink"/>
    <w:basedOn w:val="Fuentedeprrafopredeter"/>
    <w:uiPriority w:val="99"/>
    <w:semiHidden/>
    <w:unhideWhenUsed/>
    <w:rsid w:val="00D640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3297</Words>
  <Characters>18136</Characters>
  <Application>Microsoft Office Word</Application>
  <DocSecurity>0</DocSecurity>
  <Lines>151</Lines>
  <Paragraphs>42</Paragraphs>
  <ScaleCrop>false</ScaleCrop>
  <Company/>
  <LinksUpToDate>false</LinksUpToDate>
  <CharactersWithSpaces>21391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2025-12-12T21:11:00Z</dcterms:created>
  <dcterms:modified xsi:type="dcterms:W3CDTF">2025-12-12T21:13:00Z</dcterms:modified>
</cp:coreProperties>
</file>