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11B33"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b/>
          <w:bCs/>
          <w:color w:val="000000"/>
          <w:kern w:val="0"/>
          <w:lang w:val="es-CO" w:eastAsia="es-MX"/>
          <w14:ligatures w14:val="none"/>
        </w:rPr>
        <w:t>CONCEPTO DIAN 1674 DEL 14 DE OCTUBRE DE 2025</w:t>
      </w:r>
    </w:p>
    <w:p w14:paraId="6F1D5D9D"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b/>
          <w:bCs/>
          <w:color w:val="000000"/>
          <w:kern w:val="0"/>
          <w:lang w:val="es-CO" w:eastAsia="es-MX"/>
          <w14:ligatures w14:val="none"/>
        </w:rPr>
        <w:t>DIRECCIÓN DE IMPUESTOS Y ADUANAS NACIONALES</w:t>
      </w:r>
    </w:p>
    <w:p w14:paraId="549D48BE"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30FC92D7"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Bogotá D.C.,</w:t>
      </w:r>
    </w:p>
    <w:p w14:paraId="649A1892"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06AD8A69"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Señores</w:t>
      </w:r>
    </w:p>
    <w:p w14:paraId="4AA38ACD"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b/>
          <w:bCs/>
          <w:color w:val="000000"/>
          <w:kern w:val="0"/>
          <w:lang w:val="es-CO" w:eastAsia="es-MX"/>
          <w14:ligatures w14:val="none"/>
        </w:rPr>
        <w:t>CONTRIBUYENTES</w:t>
      </w:r>
    </w:p>
    <w:p w14:paraId="7F10BE33"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hyperlink r:id="rId4" w:history="1">
        <w:r w:rsidRPr="00863E70">
          <w:rPr>
            <w:rFonts w:ascii="Verdana" w:eastAsia="Times New Roman" w:hAnsi="Verdana" w:cs="Times New Roman"/>
            <w:color w:val="000000"/>
            <w:kern w:val="0"/>
            <w:u w:val="single"/>
            <w:lang w:val="es-CO" w:eastAsia="es-MX"/>
            <w14:ligatures w14:val="none"/>
          </w:rPr>
          <w:t>juridicanormativa@dian.gov.co</w:t>
        </w:r>
      </w:hyperlink>
    </w:p>
    <w:p w14:paraId="405DA1AA"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630FC941"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Ref.:</w:t>
      </w:r>
      <w:r w:rsidRPr="00863E70">
        <w:rPr>
          <w:rFonts w:ascii="Verdana" w:eastAsia="Times New Roman" w:hAnsi="Verdana" w:cs="Times New Roman"/>
          <w:color w:val="000000"/>
          <w:kern w:val="0"/>
          <w:lang w:val="es-CO" w:eastAsia="es-MX"/>
          <w14:ligatures w14:val="none"/>
        </w:rPr>
        <w:tab/>
        <w:t>Aclaración al Concepto Unificado No. 0106 de agosto 19 de 2022 - Obligación de facturar y Sistema de Facturación Electrónica</w:t>
      </w:r>
    </w:p>
    <w:p w14:paraId="6FA89BED"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3272C0B8"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Cordial saludo.</w:t>
      </w:r>
    </w:p>
    <w:p w14:paraId="775822CA"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0B3B9852"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084F3BB6"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62B27840"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Mediante el presente pronunciamiento se aclara el Concepto Unificado de la referencia, en relación con la procedencia del Documento Soporte de pago de Nómina Electrónica (DSNE) como soporte de costos y deducciones en el impuesto sobre la renta y complementarios en los contratos de aprendizaje una vez expedida la Ley 2466 de 2025, que otorga naturaleza laboral especial al citado contrato.</w:t>
      </w:r>
    </w:p>
    <w:p w14:paraId="73BC25DC"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1405575F"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b/>
          <w:bCs/>
          <w:color w:val="000000"/>
          <w:kern w:val="0"/>
          <w:lang w:val="es-CO" w:eastAsia="es-MX"/>
          <w14:ligatures w14:val="none"/>
        </w:rPr>
        <w:t>Modificación del Descriptor 4.2.3. SUJETOS OBLIGADOS A GENERAR EL DOCUMENTO SOPORTE DE PAGO DE NÓMINA ELECTRÓNICA.</w:t>
      </w:r>
    </w:p>
    <w:p w14:paraId="2BF580F3"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0460AEEA"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b/>
          <w:bCs/>
          <w:color w:val="000000"/>
          <w:kern w:val="0"/>
          <w:lang w:val="es-CO" w:eastAsia="es-MX"/>
          <w14:ligatures w14:val="none"/>
        </w:rPr>
        <w:t>4.2.3.6. ¿Deben soportarse los contratos de aprendizaje con el documento soporte de pago de nómina electrónica?</w:t>
      </w:r>
    </w:p>
    <w:p w14:paraId="0C23092C"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37239F5F"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 xml:space="preserve">La Ley 2466 de 2025 en el artículo 21 modifico el artículo 81 del Código Sustantivo del Trabajo (CST) para establecer que </w:t>
      </w:r>
      <w:r w:rsidRPr="00863E70">
        <w:rPr>
          <w:rFonts w:ascii="Verdana" w:eastAsia="Times New Roman" w:hAnsi="Verdana" w:cs="Times New Roman"/>
          <w:i/>
          <w:iCs/>
          <w:color w:val="000000"/>
          <w:kern w:val="0"/>
          <w:lang w:val="es-CO" w:eastAsia="es-MX"/>
          <w14:ligatures w14:val="none"/>
        </w:rPr>
        <w:t>el contrato de aprendizaje es un contrato laboral especial a término fijo, reconociendo derechos laborales como salario, prestaciones sociales (prima de servicios, cesantías, intereses a las cesantías y dotación), afiliación al sistema de seguridad social y demás obligaciones propias del empleador.</w:t>
      </w:r>
    </w:p>
    <w:p w14:paraId="6CA5D6CD"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312E67C4"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 xml:space="preserve">Por su parte, el artículo 4 de la Resolución DIAN No. 000013 de 2021, determina que los sujetos obligados a implementar el DSNE son aquellos contribuyentes del impuesto sobre la renta y complementarios, que </w:t>
      </w:r>
      <w:r w:rsidRPr="00863E70">
        <w:rPr>
          <w:rFonts w:ascii="Verdana" w:eastAsia="Times New Roman" w:hAnsi="Verdana" w:cs="Times New Roman"/>
          <w:color w:val="000000"/>
          <w:kern w:val="0"/>
          <w:lang w:val="es-CO" w:eastAsia="es-MX"/>
          <w14:ligatures w14:val="none"/>
        </w:rPr>
        <w:lastRenderedPageBreak/>
        <w:t xml:space="preserve">realizan pagos o abonos en cuenta que se derivan de una vinculación, por una </w:t>
      </w:r>
      <w:r w:rsidRPr="00863E70">
        <w:rPr>
          <w:rFonts w:ascii="Verdana" w:eastAsia="Times New Roman" w:hAnsi="Verdana" w:cs="Times New Roman"/>
          <w:color w:val="000000"/>
          <w:kern w:val="0"/>
          <w:u w:val="single"/>
          <w:lang w:val="es-CO" w:eastAsia="es-MX"/>
          <w14:ligatures w14:val="none"/>
        </w:rPr>
        <w:t>relación laboral</w:t>
      </w:r>
      <w:r w:rsidRPr="00863E70">
        <w:rPr>
          <w:rFonts w:ascii="Verdana" w:eastAsia="Times New Roman" w:hAnsi="Verdana" w:cs="Times New Roman"/>
          <w:color w:val="000000"/>
          <w:kern w:val="0"/>
          <w:lang w:val="es-CO" w:eastAsia="es-MX"/>
          <w14:ligatures w14:val="none"/>
        </w:rPr>
        <w:t xml:space="preserve"> o legal y reglamentaria y por pagos a los pensionados </w:t>
      </w:r>
      <w:r w:rsidRPr="00863E70">
        <w:rPr>
          <w:rFonts w:ascii="Verdana" w:eastAsia="Times New Roman" w:hAnsi="Verdana" w:cs="Times New Roman"/>
          <w:color w:val="000000"/>
          <w:kern w:val="0"/>
          <w:u w:val="single"/>
          <w:lang w:val="es-CO" w:eastAsia="es-MX"/>
          <w14:ligatures w14:val="none"/>
        </w:rPr>
        <w:t>a cargo del empleador, que requieran soportar los costos y deducciones en el impuesto</w:t>
      </w:r>
      <w:r w:rsidRPr="00863E70">
        <w:rPr>
          <w:rFonts w:ascii="Verdana" w:eastAsia="Times New Roman" w:hAnsi="Verdana" w:cs="Times New Roman"/>
          <w:color w:val="000000"/>
          <w:kern w:val="0"/>
          <w:lang w:val="es-CO" w:eastAsia="es-MX"/>
          <w14:ligatures w14:val="none"/>
        </w:rPr>
        <w:t xml:space="preserve"> </w:t>
      </w:r>
      <w:r w:rsidRPr="00863E70">
        <w:rPr>
          <w:rFonts w:ascii="Verdana" w:eastAsia="Times New Roman" w:hAnsi="Verdana" w:cs="Times New Roman"/>
          <w:color w:val="000000"/>
          <w:kern w:val="0"/>
          <w:u w:val="single"/>
          <w:lang w:val="es-CO" w:eastAsia="es-MX"/>
          <w14:ligatures w14:val="none"/>
        </w:rPr>
        <w:t>sobre la renta y complementarios</w:t>
      </w:r>
      <w:r w:rsidRPr="00863E70">
        <w:rPr>
          <w:rFonts w:ascii="Verdana" w:eastAsia="Times New Roman" w:hAnsi="Verdana" w:cs="Times New Roman"/>
          <w:color w:val="000000"/>
          <w:kern w:val="0"/>
          <w:lang w:val="es-CO" w:eastAsia="es-MX"/>
          <w14:ligatures w14:val="none"/>
        </w:rPr>
        <w:t xml:space="preserve"> e impuestos descontables en el impuesto sobre las ventas –IVA, según corresponda.</w:t>
      </w:r>
    </w:p>
    <w:p w14:paraId="5C4F9641"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74442376"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Así, con la entrada en vigor de la mencionada Ley 2466 de 2025 se implementó un cambio sustancial en la naturaleza jurídica del contrato de aprendizaje al reconocer expresamente su naturaleza laboral especial, lo que conlleva la generación de un vínculo laboral y, por tanto, la obligación de soportar los pagos asociados a éste a través del DSNE, para que sean imputados como costo o deducción en el impuesto sobre la renta y complementarios.</w:t>
      </w:r>
    </w:p>
    <w:p w14:paraId="75115CA0"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361B6295"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Por lo tanto, con la entrada en vigor de la Ley 2466, los contratos de aprendizaje materializan una relación laboral especial a término fijo y deben ser soportados mediante el DSNE.</w:t>
      </w:r>
    </w:p>
    <w:p w14:paraId="53A1BCBA"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7ED21A29"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 xml:space="preserve">En los anteriores términos, se modifica el descriptor 4.2.3.6. del Concepto 911428- </w:t>
      </w:r>
      <w:proofErr w:type="spellStart"/>
      <w:r w:rsidRPr="00863E70">
        <w:rPr>
          <w:rFonts w:ascii="Verdana" w:eastAsia="Times New Roman" w:hAnsi="Verdana" w:cs="Times New Roman"/>
          <w:color w:val="000000"/>
          <w:kern w:val="0"/>
          <w:lang w:val="es-CO" w:eastAsia="es-MX"/>
          <w14:ligatures w14:val="none"/>
        </w:rPr>
        <w:t>int</w:t>
      </w:r>
      <w:proofErr w:type="spellEnd"/>
      <w:r w:rsidRPr="00863E70">
        <w:rPr>
          <w:rFonts w:ascii="Verdana" w:eastAsia="Times New Roman" w:hAnsi="Verdana" w:cs="Times New Roman"/>
          <w:color w:val="000000"/>
          <w:kern w:val="0"/>
          <w:lang w:val="es-CO" w:eastAsia="es-MX"/>
          <w14:ligatures w14:val="none"/>
        </w:rPr>
        <w:t xml:space="preserve"> 0106 de 2022 aclarando la procedencia del DSNE en los contratos de aprendizaje en virtud de la expedición de la Ley 2466 de 2025.</w:t>
      </w:r>
    </w:p>
    <w:p w14:paraId="5D429AFE"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5F40E51A"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Atentamente,</w:t>
      </w:r>
    </w:p>
    <w:p w14:paraId="57A206B0"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7DE76B85"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b/>
          <w:bCs/>
          <w:color w:val="000000"/>
          <w:kern w:val="0"/>
          <w:lang w:val="es-CO" w:eastAsia="es-MX"/>
          <w14:ligatures w14:val="none"/>
        </w:rPr>
        <w:t>INGRID CASTAÑEDA CEPEDA</w:t>
      </w:r>
    </w:p>
    <w:p w14:paraId="3214C880"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Subdirectora de Normativa y Doctrina (A)</w:t>
      </w:r>
    </w:p>
    <w:p w14:paraId="625CA1A7"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Subdirección de Normativa y Doctrina</w:t>
      </w:r>
    </w:p>
    <w:p w14:paraId="16B264A1"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lang w:val="es-CO" w:eastAsia="es-MX"/>
          <w14:ligatures w14:val="none"/>
        </w:rPr>
        <w:t>Dirección de Gestión Jurídica</w:t>
      </w:r>
    </w:p>
    <w:p w14:paraId="54CB299D"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u w:val="single"/>
          <w:lang w:val="es-CO" w:eastAsia="es-MX"/>
          <w14:ligatures w14:val="none"/>
        </w:rPr>
        <w:t>www.dian.gov.co</w:t>
      </w:r>
    </w:p>
    <w:p w14:paraId="11083D8F" w14:textId="77777777" w:rsidR="00863E70" w:rsidRPr="00863E70" w:rsidRDefault="00863E70" w:rsidP="00863E70">
      <w:pPr>
        <w:jc w:val="both"/>
        <w:rPr>
          <w:rFonts w:ascii="Times New Roman" w:eastAsia="Times New Roman" w:hAnsi="Times New Roman" w:cs="Times New Roman"/>
          <w:kern w:val="0"/>
          <w:lang w:val="es-CO" w:eastAsia="es-MX"/>
          <w14:ligatures w14:val="none"/>
        </w:rPr>
      </w:pPr>
      <w:r w:rsidRPr="00863E70">
        <w:rPr>
          <w:rFonts w:ascii="Verdana" w:eastAsia="Times New Roman" w:hAnsi="Verdana" w:cs="Times New Roman"/>
          <w:color w:val="000000"/>
          <w:kern w:val="0"/>
          <w:sz w:val="20"/>
          <w:szCs w:val="20"/>
          <w:lang w:val="es-CO" w:eastAsia="es-MX"/>
          <w14:ligatures w14:val="none"/>
        </w:rPr>
        <w:t>Radicados No. 000974- 2025DP000176396 del 17/07/2025, 000973- 2025DP000194571 del 17/07/2025.</w:t>
      </w:r>
    </w:p>
    <w:p w14:paraId="042E6268" w14:textId="77777777" w:rsidR="00863E70" w:rsidRPr="00863E70" w:rsidRDefault="00863E70" w:rsidP="00863E70">
      <w:pPr>
        <w:rPr>
          <w:rFonts w:ascii="Times New Roman" w:eastAsia="Times New Roman" w:hAnsi="Times New Roman" w:cs="Times New Roman"/>
          <w:kern w:val="0"/>
          <w:lang w:val="es-CO" w:eastAsia="es-MX"/>
          <w14:ligatures w14:val="none"/>
        </w:rPr>
      </w:pPr>
    </w:p>
    <w:p w14:paraId="5CECF06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E70"/>
    <w:rsid w:val="000B2285"/>
    <w:rsid w:val="00537D8F"/>
    <w:rsid w:val="00863E70"/>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8CB10E6"/>
  <w14:defaultImageDpi w14:val="32767"/>
  <w15:chartTrackingRefBased/>
  <w15:docId w15:val="{C854EF45-4032-D148-9C72-08F570860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63E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63E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63E7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63E7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63E7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63E7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63E7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63E7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63E7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63E7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63E7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63E7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63E7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63E7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63E7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63E7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63E7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63E70"/>
    <w:rPr>
      <w:rFonts w:eastAsiaTheme="majorEastAsia" w:cstheme="majorBidi"/>
      <w:color w:val="272727" w:themeColor="text1" w:themeTint="D8"/>
    </w:rPr>
  </w:style>
  <w:style w:type="paragraph" w:styleId="Ttulo">
    <w:name w:val="Title"/>
    <w:basedOn w:val="Normal"/>
    <w:next w:val="Normal"/>
    <w:link w:val="TtuloCar"/>
    <w:uiPriority w:val="10"/>
    <w:qFormat/>
    <w:rsid w:val="00863E7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63E7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63E7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63E7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63E7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63E70"/>
    <w:rPr>
      <w:i/>
      <w:iCs/>
      <w:color w:val="404040" w:themeColor="text1" w:themeTint="BF"/>
    </w:rPr>
  </w:style>
  <w:style w:type="paragraph" w:styleId="Prrafodelista">
    <w:name w:val="List Paragraph"/>
    <w:basedOn w:val="Normal"/>
    <w:uiPriority w:val="34"/>
    <w:qFormat/>
    <w:rsid w:val="00863E70"/>
    <w:pPr>
      <w:ind w:left="720"/>
      <w:contextualSpacing/>
    </w:pPr>
  </w:style>
  <w:style w:type="character" w:styleId="nfasisintenso">
    <w:name w:val="Intense Emphasis"/>
    <w:basedOn w:val="Fuentedeprrafopredeter"/>
    <w:uiPriority w:val="21"/>
    <w:qFormat/>
    <w:rsid w:val="00863E70"/>
    <w:rPr>
      <w:i/>
      <w:iCs/>
      <w:color w:val="2F5496" w:themeColor="accent1" w:themeShade="BF"/>
    </w:rPr>
  </w:style>
  <w:style w:type="paragraph" w:styleId="Citadestacada">
    <w:name w:val="Intense Quote"/>
    <w:basedOn w:val="Normal"/>
    <w:next w:val="Normal"/>
    <w:link w:val="CitadestacadaCar"/>
    <w:uiPriority w:val="30"/>
    <w:qFormat/>
    <w:rsid w:val="00863E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63E70"/>
    <w:rPr>
      <w:i/>
      <w:iCs/>
      <w:color w:val="2F5496" w:themeColor="accent1" w:themeShade="BF"/>
    </w:rPr>
  </w:style>
  <w:style w:type="character" w:styleId="Referenciaintensa">
    <w:name w:val="Intense Reference"/>
    <w:basedOn w:val="Fuentedeprrafopredeter"/>
    <w:uiPriority w:val="32"/>
    <w:qFormat/>
    <w:rsid w:val="00863E70"/>
    <w:rPr>
      <w:b/>
      <w:bCs/>
      <w:smallCaps/>
      <w:color w:val="2F5496" w:themeColor="accent1" w:themeShade="BF"/>
      <w:spacing w:val="5"/>
    </w:rPr>
  </w:style>
  <w:style w:type="paragraph" w:styleId="NormalWeb">
    <w:name w:val="Normal (Web)"/>
    <w:basedOn w:val="Normal"/>
    <w:uiPriority w:val="99"/>
    <w:semiHidden/>
    <w:unhideWhenUsed/>
    <w:rsid w:val="00863E7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863E70"/>
    <w:rPr>
      <w:color w:val="0000FF"/>
      <w:u w:val="single"/>
    </w:rPr>
  </w:style>
  <w:style w:type="character" w:customStyle="1" w:styleId="apple-tab-span">
    <w:name w:val="apple-tab-span"/>
    <w:basedOn w:val="Fuentedeprrafopredeter"/>
    <w:rsid w:val="00863E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uridicanormativa@dian.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535</Words>
  <Characters>2944</Characters>
  <Application>Microsoft Office Word</Application>
  <DocSecurity>0</DocSecurity>
  <Lines>24</Lines>
  <Paragraphs>6</Paragraphs>
  <ScaleCrop>false</ScaleCrop>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2025-12-19T17:27:00Z</dcterms:created>
  <dcterms:modified xsi:type="dcterms:W3CDTF">2025-12-19T17:29:00Z</dcterms:modified>
</cp:coreProperties>
</file>