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E7F25"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b/>
          <w:bCs/>
          <w:color w:val="000000"/>
          <w:kern w:val="0"/>
          <w:lang w:val="es-CO" w:eastAsia="es-MX"/>
          <w14:ligatures w14:val="none"/>
        </w:rPr>
        <w:t>CONCEPTO DIAN 1745 DEL 20 DE OCTUBRE DE 2025</w:t>
      </w:r>
    </w:p>
    <w:p w14:paraId="45608116"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b/>
          <w:bCs/>
          <w:color w:val="000000"/>
          <w:kern w:val="0"/>
          <w:lang w:val="es-CO" w:eastAsia="es-MX"/>
          <w14:ligatures w14:val="none"/>
        </w:rPr>
        <w:t>DIRECCIÓN DE IMPUESTOS Y ADUANAS NACIONALES</w:t>
      </w:r>
    </w:p>
    <w:p w14:paraId="2245103F"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4E8CFFE7"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Bogotá D.C., 20 de octubre de 2025</w:t>
      </w:r>
    </w:p>
    <w:p w14:paraId="1242118B"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0BA7C60F"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Tema:</w:t>
      </w:r>
      <w:r w:rsidRPr="001A6707">
        <w:rPr>
          <w:rFonts w:ascii="Verdana" w:eastAsia="Times New Roman" w:hAnsi="Verdana" w:cs="Times New Roman"/>
          <w:color w:val="000000"/>
          <w:kern w:val="0"/>
          <w:lang w:val="es-CO" w:eastAsia="es-MX"/>
          <w14:ligatures w14:val="none"/>
        </w:rPr>
        <w:tab/>
        <w:t>Impuestos descontables en IVA</w:t>
      </w:r>
    </w:p>
    <w:p w14:paraId="3E65E8A5"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Descriptores:</w:t>
      </w:r>
      <w:r w:rsidRPr="001A6707">
        <w:rPr>
          <w:rFonts w:ascii="Verdana" w:eastAsia="Times New Roman" w:hAnsi="Verdana" w:cs="Times New Roman"/>
          <w:color w:val="000000"/>
          <w:kern w:val="0"/>
          <w:lang w:val="es-CO" w:eastAsia="es-MX"/>
          <w14:ligatures w14:val="none"/>
        </w:rPr>
        <w:tab/>
        <w:t>Responsables de IVA No responsables de IVA</w:t>
      </w:r>
    </w:p>
    <w:p w14:paraId="669AC872"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Fuentes formales:</w:t>
      </w:r>
      <w:r w:rsidRPr="001A6707">
        <w:rPr>
          <w:rFonts w:ascii="Verdana" w:eastAsia="Times New Roman" w:hAnsi="Verdana" w:cs="Times New Roman"/>
          <w:color w:val="000000"/>
          <w:kern w:val="0"/>
          <w:lang w:val="es-CO" w:eastAsia="es-MX"/>
          <w14:ligatures w14:val="none"/>
        </w:rPr>
        <w:tab/>
        <w:t>Artículos 437, 485, 488, 496, 508-2, 771-2, 771-5 del Estatuto Tributario</w:t>
      </w:r>
    </w:p>
    <w:p w14:paraId="5B08BAB1" w14:textId="77777777" w:rsidR="001A6707" w:rsidRPr="001A6707" w:rsidRDefault="001A6707" w:rsidP="001A6707">
      <w:pPr>
        <w:ind w:left="2268"/>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Artículo 1.3.1.15.1 y 1.3.1.15.2 del Decreto 1625 de 2016</w:t>
      </w:r>
    </w:p>
    <w:p w14:paraId="78EF0D1C"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05D6F232"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Cordial saludo.</w:t>
      </w:r>
    </w:p>
    <w:p w14:paraId="221627C8"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4700DF4D" w14:textId="77777777" w:rsidR="001A6707" w:rsidRPr="001A6707" w:rsidRDefault="001A6707" w:rsidP="001A6707">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w:t>
      </w:r>
      <w:r w:rsidRPr="001A6707">
        <w:rPr>
          <w:rFonts w:ascii="Verdana" w:eastAsia="Times New Roman" w:hAnsi="Verdana" w:cs="Times New Roman"/>
          <w:color w:val="000000"/>
          <w:kern w:val="0"/>
          <w:sz w:val="14"/>
          <w:szCs w:val="14"/>
          <w:vertAlign w:val="superscript"/>
          <w:lang w:val="es-CO" w:eastAsia="es-MX"/>
          <w14:ligatures w14:val="none"/>
        </w:rPr>
        <w:t>1</w:t>
      </w:r>
      <w:r w:rsidRPr="001A6707">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1A6707">
        <w:rPr>
          <w:rFonts w:ascii="Verdana" w:eastAsia="Times New Roman" w:hAnsi="Verdana" w:cs="Times New Roman"/>
          <w:color w:val="000000"/>
          <w:kern w:val="0"/>
          <w:sz w:val="14"/>
          <w:szCs w:val="14"/>
          <w:vertAlign w:val="superscript"/>
          <w:lang w:val="es-CO" w:eastAsia="es-MX"/>
          <w14:ligatures w14:val="none"/>
        </w:rPr>
        <w:t>2</w:t>
      </w:r>
      <w:r w:rsidRPr="001A6707">
        <w:rPr>
          <w:rFonts w:ascii="Verdana" w:eastAsia="Times New Roman" w:hAnsi="Verdana" w:cs="Times New Roman"/>
          <w:color w:val="000000"/>
          <w:kern w:val="0"/>
          <w:lang w:val="es-CO" w:eastAsia="es-MX"/>
          <w14:ligatures w14:val="none"/>
        </w:rPr>
        <w:t>.</w:t>
      </w:r>
    </w:p>
    <w:p w14:paraId="078356EE"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54AAA6A7" w14:textId="77777777" w:rsidR="001A6707" w:rsidRPr="001A6707" w:rsidRDefault="001A6707" w:rsidP="001A6707">
      <w:pPr>
        <w:numPr>
          <w:ilvl w:val="0"/>
          <w:numId w:val="2"/>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Las facultades de esta dependencia se concretan en la interpretación de las normas mencionadas, razón por la cual no corresponde en ejercicio de dichas funciones prestar asesoría específica para atender casos particulares, ni juzgar, calificar, avalar o atender procesos o procedimientos que son tramitados ante otras entidades o dependencias, ni examinar las decisiones tomadas en dicho contexto; menos confirmar, validar o aprobar las interpretaciones que realicen los contribuyentes sobre las disposiciones normativas dentro de actuaciones administrativas específicas.</w:t>
      </w:r>
    </w:p>
    <w:p w14:paraId="31C8255E"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664E52AD" w14:textId="77777777" w:rsidR="001A6707" w:rsidRPr="001A6707" w:rsidRDefault="001A6707" w:rsidP="001A6707">
      <w:pPr>
        <w:jc w:val="both"/>
        <w:outlineLvl w:val="1"/>
        <w:rPr>
          <w:rFonts w:ascii="Times New Roman" w:eastAsia="Times New Roman" w:hAnsi="Times New Roman" w:cs="Times New Roman"/>
          <w:b/>
          <w:bCs/>
          <w:kern w:val="0"/>
          <w:sz w:val="36"/>
          <w:szCs w:val="36"/>
          <w:lang w:val="es-CO" w:eastAsia="es-MX"/>
          <w14:ligatures w14:val="none"/>
        </w:rPr>
      </w:pPr>
      <w:r w:rsidRPr="001A6707">
        <w:rPr>
          <w:rFonts w:ascii="Verdana" w:eastAsia="Times New Roman" w:hAnsi="Verdana" w:cs="Times New Roman"/>
          <w:b/>
          <w:bCs/>
          <w:color w:val="000000"/>
          <w:kern w:val="0"/>
          <w:lang w:val="es-CO" w:eastAsia="es-MX"/>
          <w14:ligatures w14:val="none"/>
        </w:rPr>
        <w:t>PROBLEMA JURÍDICO</w:t>
      </w:r>
    </w:p>
    <w:p w14:paraId="65C69448"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0E337B68" w14:textId="77777777" w:rsidR="001A6707" w:rsidRPr="001A6707" w:rsidRDefault="001A6707" w:rsidP="001A6707">
      <w:pPr>
        <w:numPr>
          <w:ilvl w:val="0"/>
          <w:numId w:val="3"/>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¿Puede un contribuyente que, siendo anteriormente no responsable del IVA, al pasar a ser responsable, llevar como descontable, en su primera declaración del impuesto, el IVA pagado en la adquisición de bienes que permanecen en inventario al momento del cambio de condición?</w:t>
      </w:r>
    </w:p>
    <w:p w14:paraId="6811F1D0"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137698C6" w14:textId="77777777" w:rsidR="001A6707" w:rsidRPr="001A6707" w:rsidRDefault="001A6707" w:rsidP="001A6707">
      <w:pPr>
        <w:jc w:val="both"/>
        <w:outlineLvl w:val="1"/>
        <w:rPr>
          <w:rFonts w:ascii="Times New Roman" w:eastAsia="Times New Roman" w:hAnsi="Times New Roman" w:cs="Times New Roman"/>
          <w:b/>
          <w:bCs/>
          <w:kern w:val="0"/>
          <w:sz w:val="36"/>
          <w:szCs w:val="36"/>
          <w:lang w:val="es-CO" w:eastAsia="es-MX"/>
          <w14:ligatures w14:val="none"/>
        </w:rPr>
      </w:pPr>
      <w:r w:rsidRPr="001A6707">
        <w:rPr>
          <w:rFonts w:ascii="Verdana" w:eastAsia="Times New Roman" w:hAnsi="Verdana" w:cs="Times New Roman"/>
          <w:b/>
          <w:bCs/>
          <w:color w:val="000000"/>
          <w:kern w:val="0"/>
          <w:lang w:val="es-CO" w:eastAsia="es-MX"/>
          <w14:ligatures w14:val="none"/>
        </w:rPr>
        <w:t>TESIS JURÍDICA</w:t>
      </w:r>
    </w:p>
    <w:p w14:paraId="47CFA019"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033DB375" w14:textId="77777777" w:rsidR="001A6707" w:rsidRPr="001A6707" w:rsidRDefault="001A6707" w:rsidP="001A6707">
      <w:pPr>
        <w:numPr>
          <w:ilvl w:val="0"/>
          <w:numId w:val="4"/>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lastRenderedPageBreak/>
        <w:t>El IVA pagado en adquisiciones realizadas por un contribuyente que, al momento de la compra tenía la calidad de no responsable, puede ser tratado como impuesto descontable al adquirir posteriormente la calidad de responsable, siempre que los bienes adquiridos permanezcan en inventario, se destinen a operaciones gravadas o exentas y se cumplan los requisitos de soporte y trazabilidad previstos en los artículos 771-2 y 771-5 del E.T.</w:t>
      </w:r>
    </w:p>
    <w:p w14:paraId="711A30D8"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14D0C828" w14:textId="77777777" w:rsidR="001A6707" w:rsidRPr="001A6707" w:rsidRDefault="001A6707" w:rsidP="001A6707">
      <w:pPr>
        <w:jc w:val="both"/>
        <w:outlineLvl w:val="0"/>
        <w:rPr>
          <w:rFonts w:ascii="Times New Roman" w:eastAsia="Times New Roman" w:hAnsi="Times New Roman" w:cs="Times New Roman"/>
          <w:b/>
          <w:bCs/>
          <w:kern w:val="36"/>
          <w:sz w:val="48"/>
          <w:szCs w:val="48"/>
          <w:lang w:val="es-CO" w:eastAsia="es-MX"/>
          <w14:ligatures w14:val="none"/>
        </w:rPr>
      </w:pPr>
      <w:r w:rsidRPr="001A6707">
        <w:rPr>
          <w:rFonts w:ascii="Verdana" w:eastAsia="Times New Roman" w:hAnsi="Verdana" w:cs="Times New Roman"/>
          <w:b/>
          <w:bCs/>
          <w:color w:val="000000"/>
          <w:kern w:val="36"/>
          <w:lang w:val="es-CO" w:eastAsia="es-MX"/>
          <w14:ligatures w14:val="none"/>
        </w:rPr>
        <w:t>FUNDAMENTACIÓN</w:t>
      </w:r>
    </w:p>
    <w:p w14:paraId="289B7056"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6E3169DB" w14:textId="77777777" w:rsidR="001A6707" w:rsidRPr="001A6707" w:rsidRDefault="001A6707" w:rsidP="001A6707">
      <w:pPr>
        <w:numPr>
          <w:ilvl w:val="0"/>
          <w:numId w:val="5"/>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El artículo 508-2 del E.T.</w:t>
      </w:r>
      <w:r w:rsidRPr="001A6707">
        <w:rPr>
          <w:rFonts w:ascii="Verdana" w:eastAsia="Times New Roman" w:hAnsi="Verdana" w:cs="Times New Roman"/>
          <w:color w:val="000000"/>
          <w:kern w:val="0"/>
          <w:sz w:val="14"/>
          <w:szCs w:val="14"/>
          <w:vertAlign w:val="superscript"/>
          <w:lang w:val="es-CO" w:eastAsia="es-MX"/>
          <w14:ligatures w14:val="none"/>
        </w:rPr>
        <w:t>3</w:t>
      </w:r>
      <w:r w:rsidRPr="001A6707">
        <w:rPr>
          <w:rFonts w:ascii="Verdana" w:eastAsia="Times New Roman" w:hAnsi="Verdana" w:cs="Times New Roman"/>
          <w:color w:val="000000"/>
          <w:kern w:val="0"/>
          <w:lang w:val="es-CO" w:eastAsia="es-MX"/>
          <w14:ligatures w14:val="none"/>
        </w:rPr>
        <w:t xml:space="preserve"> regula el tránsito a la condición de responsables del impuesto sobre las ventas (IVA), así:</w:t>
      </w:r>
    </w:p>
    <w:p w14:paraId="78B6F5DC"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1E02EA24" w14:textId="77777777" w:rsidR="001A6707" w:rsidRPr="001A6707" w:rsidRDefault="001A6707" w:rsidP="001A6707">
      <w:pPr>
        <w:ind w:left="567"/>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i/>
          <w:iCs/>
          <w:color w:val="000000"/>
          <w:kern w:val="0"/>
          <w:lang w:val="es-CO" w:eastAsia="es-MX"/>
          <w14:ligatures w14:val="none"/>
        </w:rPr>
        <w:t>“Los no responsables del impuesto sobre las ventas (IVA</w:t>
      </w:r>
      <w:r w:rsidRPr="001A6707">
        <w:rPr>
          <w:rFonts w:ascii="Verdana" w:eastAsia="Times New Roman" w:hAnsi="Verdana" w:cs="Times New Roman"/>
          <w:b/>
          <w:bCs/>
          <w:i/>
          <w:iCs/>
          <w:color w:val="000000"/>
          <w:kern w:val="0"/>
          <w:lang w:val="es-CO" w:eastAsia="es-MX"/>
          <w14:ligatures w14:val="none"/>
        </w:rPr>
        <w:t>) pasarán a ser responsables a partir de la iniciación del período inmediatamente siguiente a aquel en el cual dejen de cumplir los requisitos establecidos en el parágrafo 3 del artículo 437 de este Estatuto</w:t>
      </w:r>
      <w:r w:rsidRPr="001A6707">
        <w:rPr>
          <w:rFonts w:ascii="Verdana" w:eastAsia="Times New Roman" w:hAnsi="Verdana" w:cs="Times New Roman"/>
          <w:i/>
          <w:iCs/>
          <w:color w:val="000000"/>
          <w:kern w:val="0"/>
          <w:lang w:val="es-CO" w:eastAsia="es-MX"/>
          <w14:ligatures w14:val="none"/>
        </w:rPr>
        <w:t xml:space="preserve">, salvo lo previsto en el inciso 2 de dicho parágrafo, en cuyo caso deberán inscribirse previamente a la celebración del contrato correspondiente.” </w:t>
      </w:r>
      <w:r w:rsidRPr="001A6707">
        <w:rPr>
          <w:rFonts w:ascii="Verdana" w:eastAsia="Times New Roman" w:hAnsi="Verdana" w:cs="Times New Roman"/>
          <w:color w:val="000000"/>
          <w:kern w:val="0"/>
          <w:lang w:val="es-CO" w:eastAsia="es-MX"/>
          <w14:ligatures w14:val="none"/>
        </w:rPr>
        <w:t>(Énfasis propio)</w:t>
      </w:r>
    </w:p>
    <w:p w14:paraId="70DD2C3C"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6FF6ECBC" w14:textId="77777777" w:rsidR="001A6707" w:rsidRPr="001A6707" w:rsidRDefault="001A6707" w:rsidP="001A6707">
      <w:pPr>
        <w:numPr>
          <w:ilvl w:val="0"/>
          <w:numId w:val="6"/>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u w:val="single"/>
          <w:lang w:val="es-CO" w:eastAsia="es-MX"/>
          <w14:ligatures w14:val="none"/>
        </w:rPr>
        <w:t>Mientras conserven la calidad de no responsables de IVA</w:t>
      </w:r>
      <w:r w:rsidRPr="001A6707">
        <w:rPr>
          <w:rFonts w:ascii="Verdana" w:eastAsia="Times New Roman" w:hAnsi="Verdana" w:cs="Times New Roman"/>
          <w:color w:val="000000"/>
          <w:kern w:val="0"/>
          <w:lang w:val="es-CO" w:eastAsia="es-MX"/>
          <w14:ligatures w14:val="none"/>
        </w:rPr>
        <w:t>, el artículo 1.3.1.15.2 del Decreto 1625 de 2016 les prohíbe: (i) Presentar declaración de ventas</w:t>
      </w:r>
      <w:r w:rsidRPr="001A6707">
        <w:rPr>
          <w:rFonts w:ascii="Verdana" w:eastAsia="Times New Roman" w:hAnsi="Verdana" w:cs="Times New Roman"/>
          <w:color w:val="000000"/>
          <w:kern w:val="0"/>
          <w:sz w:val="14"/>
          <w:szCs w:val="14"/>
          <w:vertAlign w:val="superscript"/>
          <w:lang w:val="es-CO" w:eastAsia="es-MX"/>
          <w14:ligatures w14:val="none"/>
        </w:rPr>
        <w:t>4</w:t>
      </w:r>
      <w:r w:rsidRPr="001A6707">
        <w:rPr>
          <w:rFonts w:ascii="Verdana" w:eastAsia="Times New Roman" w:hAnsi="Verdana" w:cs="Times New Roman"/>
          <w:color w:val="000000"/>
          <w:kern w:val="0"/>
          <w:lang w:val="es-CO" w:eastAsia="es-MX"/>
          <w14:ligatures w14:val="none"/>
        </w:rPr>
        <w:t xml:space="preserve"> y (</w:t>
      </w:r>
      <w:proofErr w:type="spellStart"/>
      <w:r w:rsidRPr="001A6707">
        <w:rPr>
          <w:rFonts w:ascii="Verdana" w:eastAsia="Times New Roman" w:hAnsi="Verdana" w:cs="Times New Roman"/>
          <w:color w:val="000000"/>
          <w:kern w:val="0"/>
          <w:lang w:val="es-CO" w:eastAsia="es-MX"/>
          <w14:ligatures w14:val="none"/>
        </w:rPr>
        <w:t>ii</w:t>
      </w:r>
      <w:proofErr w:type="spellEnd"/>
      <w:r w:rsidRPr="001A6707">
        <w:rPr>
          <w:rFonts w:ascii="Verdana" w:eastAsia="Times New Roman" w:hAnsi="Verdana" w:cs="Times New Roman"/>
          <w:color w:val="000000"/>
          <w:kern w:val="0"/>
          <w:lang w:val="es-CO" w:eastAsia="es-MX"/>
          <w14:ligatures w14:val="none"/>
        </w:rPr>
        <w:t>) Determinar el IVA a cargo y solicitar impuestos descontables.</w:t>
      </w:r>
    </w:p>
    <w:p w14:paraId="6EE4DA8F"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5CA1A04D" w14:textId="77777777" w:rsidR="001A6707" w:rsidRPr="001A6707" w:rsidRDefault="001A6707" w:rsidP="001A6707">
      <w:pPr>
        <w:numPr>
          <w:ilvl w:val="0"/>
          <w:numId w:val="7"/>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Así, mientras se ostente la calidad de no responsable de IVA no es posible adicionar al precio de los bienes que se vendan o de los servicios que se presten, suma alguna por concepto de este impuesto</w:t>
      </w:r>
      <w:r w:rsidRPr="001A6707">
        <w:rPr>
          <w:rFonts w:ascii="Verdana" w:eastAsia="Times New Roman" w:hAnsi="Verdana" w:cs="Times New Roman"/>
          <w:color w:val="000000"/>
          <w:kern w:val="0"/>
          <w:sz w:val="14"/>
          <w:szCs w:val="14"/>
          <w:vertAlign w:val="superscript"/>
          <w:lang w:val="es-CO" w:eastAsia="es-MX"/>
          <w14:ligatures w14:val="none"/>
        </w:rPr>
        <w:t>5</w:t>
      </w:r>
      <w:r w:rsidRPr="001A6707">
        <w:rPr>
          <w:rFonts w:ascii="Verdana" w:eastAsia="Times New Roman" w:hAnsi="Verdana" w:cs="Times New Roman"/>
          <w:color w:val="000000"/>
          <w:kern w:val="0"/>
          <w:lang w:val="es-CO" w:eastAsia="es-MX"/>
          <w14:ligatures w14:val="none"/>
        </w:rPr>
        <w:t>. Por consiguiente, en los términos del artículo 1.3.1.15.1 del Decreto 1625 de 2016, podrá llevarse como costo o gasto en el impuesto sobre la renta el IVA pagado en la adquisición de bienes y servicios gravados.</w:t>
      </w:r>
    </w:p>
    <w:p w14:paraId="3F8F89A8"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00A0CA27" w14:textId="77777777" w:rsidR="001A6707" w:rsidRPr="001A6707" w:rsidRDefault="001A6707" w:rsidP="001A6707">
      <w:pPr>
        <w:numPr>
          <w:ilvl w:val="0"/>
          <w:numId w:val="8"/>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 xml:space="preserve">Ahora bien, el literal a) del artículo 485 del E.T., en concordancia con el literal c) del artículo 617 del E.T., establece que es impuesto descontable el IVA discriminado en la correspondiente factura correspondiente </w:t>
      </w:r>
      <w:r w:rsidRPr="001A6707">
        <w:rPr>
          <w:rFonts w:ascii="Verdana" w:eastAsia="Times New Roman" w:hAnsi="Verdana" w:cs="Times New Roman"/>
          <w:b/>
          <w:bCs/>
          <w:color w:val="000000"/>
          <w:kern w:val="0"/>
          <w:lang w:val="es-CO" w:eastAsia="es-MX"/>
          <w14:ligatures w14:val="none"/>
        </w:rPr>
        <w:t xml:space="preserve">al responsable </w:t>
      </w:r>
      <w:r w:rsidRPr="001A6707">
        <w:rPr>
          <w:rFonts w:ascii="Verdana" w:eastAsia="Times New Roman" w:hAnsi="Verdana" w:cs="Times New Roman"/>
          <w:color w:val="000000"/>
          <w:kern w:val="0"/>
          <w:lang w:val="es-CO" w:eastAsia="es-MX"/>
          <w14:ligatures w14:val="none"/>
        </w:rPr>
        <w:t>por la adquisición de bienes corporales muebles y servicios.</w:t>
      </w:r>
    </w:p>
    <w:p w14:paraId="3377DEA9"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18A5BE7B" w14:textId="77777777" w:rsidR="001A6707" w:rsidRPr="001A6707" w:rsidRDefault="001A6707" w:rsidP="001A6707">
      <w:pPr>
        <w:numPr>
          <w:ilvl w:val="0"/>
          <w:numId w:val="9"/>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lastRenderedPageBreak/>
        <w:t>En este punto, se precisa que la disposición mencionada no puede interpretarse literalmente, pues se transgrediría el principio de neutralidad del IVA convirtiéndolo en un costo para los agentes económicos, en lugar de trasladarlo al consumidor final. En consecuencia, se estima que el artículo 485 del E.T. no exige que el adquirente sea responsable al momento de la compra, sino que lo sea al momento de imputar el descuento.</w:t>
      </w:r>
    </w:p>
    <w:p w14:paraId="298945CC"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12475B6C" w14:textId="77777777" w:rsidR="001A6707" w:rsidRPr="001A6707" w:rsidRDefault="001A6707" w:rsidP="001A6707">
      <w:pPr>
        <w:numPr>
          <w:ilvl w:val="0"/>
          <w:numId w:val="10"/>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Al respecto, de acuerdo con el artículo 488 ibidem, sólo se otorga este derecho si se cumplen dos condiciones: (i) Que se trate de adquisiciones de bienes o servicios que resulten computables como costo o gasto para efectos del impuesto sobre la renta y (</w:t>
      </w:r>
      <w:proofErr w:type="spellStart"/>
      <w:r w:rsidRPr="001A6707">
        <w:rPr>
          <w:rFonts w:ascii="Verdana" w:eastAsia="Times New Roman" w:hAnsi="Verdana" w:cs="Times New Roman"/>
          <w:color w:val="000000"/>
          <w:kern w:val="0"/>
          <w:lang w:val="es-CO" w:eastAsia="es-MX"/>
          <w14:ligatures w14:val="none"/>
        </w:rPr>
        <w:t>ii</w:t>
      </w:r>
      <w:proofErr w:type="spellEnd"/>
      <w:r w:rsidRPr="001A6707">
        <w:rPr>
          <w:rFonts w:ascii="Verdana" w:eastAsia="Times New Roman" w:hAnsi="Verdana" w:cs="Times New Roman"/>
          <w:color w:val="000000"/>
          <w:kern w:val="0"/>
          <w:lang w:val="es-CO" w:eastAsia="es-MX"/>
          <w14:ligatures w14:val="none"/>
        </w:rPr>
        <w:t>) Que se destinen a operaciones gravadas con el IVA.</w:t>
      </w:r>
    </w:p>
    <w:p w14:paraId="568AF1D2"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2B6BF499" w14:textId="77777777" w:rsidR="001A6707" w:rsidRPr="001A6707" w:rsidRDefault="001A6707" w:rsidP="001A6707">
      <w:pPr>
        <w:numPr>
          <w:ilvl w:val="0"/>
          <w:numId w:val="11"/>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De esta disposición se infiere que el IVA generado en las adquisiciones de bienes y servicios solamente asume el tratamiento de impuesto descontable, en la medida en que se destine a la realización de operaciones gravadas con IVA o exentas del mismo, presupuesto que condiciona su efectivo reconocimiento como impuesto descontable.</w:t>
      </w:r>
    </w:p>
    <w:p w14:paraId="679351A5"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19B00C66" w14:textId="77777777" w:rsidR="001A6707" w:rsidRPr="001A6707" w:rsidRDefault="001A6707" w:rsidP="001A6707">
      <w:pPr>
        <w:numPr>
          <w:ilvl w:val="0"/>
          <w:numId w:val="12"/>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Por lo anterior, no se podrá llevar como descontable el IVA pagado en la adquisición de bienes o contratación de servicios que no se encuentran destinados a la producción o prestación de servicios gravados con o exentos del impuesto mencionado.</w:t>
      </w:r>
    </w:p>
    <w:p w14:paraId="11D85649"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3372EEF5" w14:textId="77777777" w:rsidR="001A6707" w:rsidRPr="001A6707" w:rsidRDefault="001A6707" w:rsidP="001A6707">
      <w:pPr>
        <w:numPr>
          <w:ilvl w:val="0"/>
          <w:numId w:val="13"/>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De igual forma, en los términos del artículo 771-2 del E.T., la factura de venta</w:t>
      </w:r>
      <w:r w:rsidRPr="001A6707">
        <w:rPr>
          <w:rFonts w:ascii="Verdana" w:eastAsia="Times New Roman" w:hAnsi="Verdana" w:cs="Times New Roman"/>
          <w:color w:val="000000"/>
          <w:kern w:val="0"/>
          <w:sz w:val="14"/>
          <w:szCs w:val="14"/>
          <w:vertAlign w:val="superscript"/>
          <w:lang w:val="es-CO" w:eastAsia="es-MX"/>
          <w14:ligatures w14:val="none"/>
        </w:rPr>
        <w:t>6</w:t>
      </w:r>
      <w:r w:rsidRPr="001A6707">
        <w:rPr>
          <w:rFonts w:ascii="Verdana" w:eastAsia="Times New Roman" w:hAnsi="Verdana" w:cs="Times New Roman"/>
          <w:color w:val="000000"/>
          <w:kern w:val="0"/>
          <w:lang w:val="es-CO" w:eastAsia="es-MX"/>
          <w14:ligatures w14:val="none"/>
        </w:rPr>
        <w:t xml:space="preserve"> soporta impuestos descontables en IVA, siempre que se cumplan los demás requisitos previstos en la legislación tributaria, como son: (i) Las condiciones del artículo 107 del E.T. para efectos de las deducciones en el impuesto sobre la renta y (</w:t>
      </w:r>
      <w:proofErr w:type="spellStart"/>
      <w:r w:rsidRPr="001A6707">
        <w:rPr>
          <w:rFonts w:ascii="Verdana" w:eastAsia="Times New Roman" w:hAnsi="Verdana" w:cs="Times New Roman"/>
          <w:color w:val="000000"/>
          <w:kern w:val="0"/>
          <w:lang w:val="es-CO" w:eastAsia="es-MX"/>
          <w14:ligatures w14:val="none"/>
        </w:rPr>
        <w:t>ii</w:t>
      </w:r>
      <w:proofErr w:type="spellEnd"/>
      <w:r w:rsidRPr="001A6707">
        <w:rPr>
          <w:rFonts w:ascii="Verdana" w:eastAsia="Times New Roman" w:hAnsi="Verdana" w:cs="Times New Roman"/>
          <w:color w:val="000000"/>
          <w:kern w:val="0"/>
          <w:lang w:val="es-CO" w:eastAsia="es-MX"/>
          <w14:ligatures w14:val="none"/>
        </w:rPr>
        <w:t>) Los presupuestos señalados en los artículos 771-2</w:t>
      </w:r>
      <w:r w:rsidRPr="001A6707">
        <w:rPr>
          <w:rFonts w:ascii="Verdana" w:eastAsia="Times New Roman" w:hAnsi="Verdana" w:cs="Times New Roman"/>
          <w:color w:val="000000"/>
          <w:kern w:val="0"/>
          <w:sz w:val="14"/>
          <w:szCs w:val="14"/>
          <w:vertAlign w:val="superscript"/>
          <w:lang w:val="es-CO" w:eastAsia="es-MX"/>
          <w14:ligatures w14:val="none"/>
        </w:rPr>
        <w:t>7</w:t>
      </w:r>
      <w:r w:rsidRPr="001A6707">
        <w:rPr>
          <w:rFonts w:ascii="Verdana" w:eastAsia="Times New Roman" w:hAnsi="Verdana" w:cs="Times New Roman"/>
          <w:color w:val="000000"/>
          <w:kern w:val="0"/>
          <w:lang w:val="es-CO" w:eastAsia="es-MX"/>
          <w14:ligatures w14:val="none"/>
        </w:rPr>
        <w:t xml:space="preserve"> y 771-5 del E.T., en lo que tiene que ver con los medios de pago para el reconocimiento fiscal de impuestos descontables.</w:t>
      </w:r>
      <w:r w:rsidRPr="001A6707">
        <w:rPr>
          <w:rFonts w:ascii="Verdana" w:eastAsia="Times New Roman" w:hAnsi="Verdana" w:cs="Times New Roman"/>
          <w:color w:val="000000"/>
          <w:kern w:val="0"/>
          <w:sz w:val="14"/>
          <w:szCs w:val="14"/>
          <w:vertAlign w:val="superscript"/>
          <w:lang w:val="es-CO" w:eastAsia="es-MX"/>
          <w14:ligatures w14:val="none"/>
        </w:rPr>
        <w:t>8</w:t>
      </w:r>
    </w:p>
    <w:p w14:paraId="5B460EEF"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29B7D02D" w14:textId="77777777" w:rsidR="001A6707" w:rsidRPr="001A6707" w:rsidRDefault="001A6707" w:rsidP="001A6707">
      <w:pPr>
        <w:numPr>
          <w:ilvl w:val="0"/>
          <w:numId w:val="14"/>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Conforme a lo anterior, se colige lo siguiente:</w:t>
      </w:r>
    </w:p>
    <w:p w14:paraId="0BBA10AA"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7C1DF3B7" w14:textId="77777777" w:rsidR="001A6707" w:rsidRPr="001A6707" w:rsidRDefault="001A6707" w:rsidP="001A6707">
      <w:pPr>
        <w:numPr>
          <w:ilvl w:val="0"/>
          <w:numId w:val="15"/>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 xml:space="preserve">Por regla general el IVA es </w:t>
      </w:r>
      <w:proofErr w:type="spellStart"/>
      <w:r w:rsidRPr="001A6707">
        <w:rPr>
          <w:rFonts w:ascii="Verdana" w:eastAsia="Times New Roman" w:hAnsi="Verdana" w:cs="Times New Roman"/>
          <w:color w:val="000000"/>
          <w:kern w:val="0"/>
          <w:lang w:val="es-CO" w:eastAsia="es-MX"/>
          <w14:ligatures w14:val="none"/>
        </w:rPr>
        <w:t>plurifásico</w:t>
      </w:r>
      <w:proofErr w:type="spellEnd"/>
      <w:r w:rsidRPr="001A6707">
        <w:rPr>
          <w:rFonts w:ascii="Verdana" w:eastAsia="Times New Roman" w:hAnsi="Verdana" w:cs="Times New Roman"/>
          <w:color w:val="000000"/>
          <w:kern w:val="0"/>
          <w:lang w:val="es-CO" w:eastAsia="es-MX"/>
          <w14:ligatures w14:val="none"/>
        </w:rPr>
        <w:t xml:space="preserve"> o de etapas múltiples, sobre el valor agregado, es decir que el impuesto se causa en cada una de las </w:t>
      </w:r>
      <w:r w:rsidRPr="001A6707">
        <w:rPr>
          <w:rFonts w:ascii="Verdana" w:eastAsia="Times New Roman" w:hAnsi="Verdana" w:cs="Times New Roman"/>
          <w:color w:val="000000"/>
          <w:kern w:val="0"/>
          <w:lang w:val="es-CO" w:eastAsia="es-MX"/>
          <w14:ligatures w14:val="none"/>
        </w:rPr>
        <w:lastRenderedPageBreak/>
        <w:t>fases sucesivas de los ciclos de producción, distribución y venta, y en cada oportunidad sobre el valor agregado.</w:t>
      </w:r>
    </w:p>
    <w:p w14:paraId="241BA8E5"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542B24F1" w14:textId="77777777" w:rsidR="001A6707" w:rsidRPr="001A6707" w:rsidRDefault="001A6707" w:rsidP="001A6707">
      <w:pPr>
        <w:numPr>
          <w:ilvl w:val="0"/>
          <w:numId w:val="16"/>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La condición de responsable de IVA</w:t>
      </w:r>
      <w:r w:rsidRPr="001A6707">
        <w:rPr>
          <w:rFonts w:ascii="Verdana" w:eastAsia="Times New Roman" w:hAnsi="Verdana" w:cs="Times New Roman"/>
          <w:color w:val="000000"/>
          <w:kern w:val="0"/>
          <w:sz w:val="14"/>
          <w:szCs w:val="14"/>
          <w:vertAlign w:val="superscript"/>
          <w:lang w:val="es-CO" w:eastAsia="es-MX"/>
          <w14:ligatures w14:val="none"/>
        </w:rPr>
        <w:t>9</w:t>
      </w:r>
      <w:r w:rsidRPr="001A6707">
        <w:rPr>
          <w:rFonts w:ascii="Verdana" w:eastAsia="Times New Roman" w:hAnsi="Verdana" w:cs="Times New Roman"/>
          <w:color w:val="000000"/>
          <w:kern w:val="0"/>
          <w:lang w:val="es-CO" w:eastAsia="es-MX"/>
          <w14:ligatures w14:val="none"/>
        </w:rPr>
        <w:t>, y la obligación de registrarse como tal, se predica, por regla general, de aquellos que realicen actividades gravadas con el impuesto, cuando no cumplan con la totalidad de las condiciones señaladas en los parágrafos tercero y cuarto del artículo 437 del E.T. para ser catalogados como no responsables.</w:t>
      </w:r>
      <w:r w:rsidRPr="001A6707">
        <w:rPr>
          <w:rFonts w:ascii="Verdana" w:eastAsia="Times New Roman" w:hAnsi="Verdana" w:cs="Times New Roman"/>
          <w:color w:val="000000"/>
          <w:kern w:val="0"/>
          <w:sz w:val="14"/>
          <w:szCs w:val="14"/>
          <w:vertAlign w:val="superscript"/>
          <w:lang w:val="es-CO" w:eastAsia="es-MX"/>
          <w14:ligatures w14:val="none"/>
        </w:rPr>
        <w:t>10</w:t>
      </w:r>
    </w:p>
    <w:p w14:paraId="163523E5"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0FAEC2B7" w14:textId="77777777" w:rsidR="001A6707" w:rsidRPr="001A6707" w:rsidRDefault="001A6707" w:rsidP="001A6707">
      <w:pPr>
        <w:numPr>
          <w:ilvl w:val="0"/>
          <w:numId w:val="17"/>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La posibilidad de tomar el IVA pagado como descontable en la adquisición de bienes corporales muebles y servicios únicamente está reconocida para aquellos adquirentes que son responsables de este impuesto</w:t>
      </w:r>
      <w:r w:rsidRPr="001A6707">
        <w:rPr>
          <w:rFonts w:ascii="Verdana" w:eastAsia="Times New Roman" w:hAnsi="Verdana" w:cs="Times New Roman"/>
          <w:color w:val="000000"/>
          <w:kern w:val="0"/>
          <w:sz w:val="14"/>
          <w:szCs w:val="14"/>
          <w:vertAlign w:val="superscript"/>
          <w:lang w:val="es-CO" w:eastAsia="es-MX"/>
          <w14:ligatures w14:val="none"/>
        </w:rPr>
        <w:t>11</w:t>
      </w:r>
      <w:r w:rsidRPr="001A6707">
        <w:rPr>
          <w:rFonts w:ascii="Verdana" w:eastAsia="Times New Roman" w:hAnsi="Verdana" w:cs="Times New Roman"/>
          <w:color w:val="000000"/>
          <w:kern w:val="0"/>
          <w:lang w:val="es-CO" w:eastAsia="es-MX"/>
          <w14:ligatures w14:val="none"/>
        </w:rPr>
        <w:t>, con independencia de la calidad de responsable o no en el momento de la compra del bien o la prestación del servicio, y previo cumplimiento de lo previsto en los artículos 485, 488, 496, 771-2 y 771-5 del E.T.</w:t>
      </w:r>
      <w:r w:rsidRPr="001A6707">
        <w:rPr>
          <w:rFonts w:ascii="Verdana" w:eastAsia="Times New Roman" w:hAnsi="Verdana" w:cs="Times New Roman"/>
          <w:color w:val="000000"/>
          <w:kern w:val="0"/>
          <w:sz w:val="14"/>
          <w:szCs w:val="14"/>
          <w:vertAlign w:val="superscript"/>
          <w:lang w:val="es-CO" w:eastAsia="es-MX"/>
          <w14:ligatures w14:val="none"/>
        </w:rPr>
        <w:t>12</w:t>
      </w:r>
    </w:p>
    <w:p w14:paraId="3E7094A3"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000306DD" w14:textId="77777777" w:rsidR="001A6707" w:rsidRPr="001A6707" w:rsidRDefault="001A6707" w:rsidP="001A6707">
      <w:pPr>
        <w:numPr>
          <w:ilvl w:val="0"/>
          <w:numId w:val="18"/>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Durante el tiempo en que un contribuyente tenga la calidad de no responsable no pueden determinar el IVA a cargo y menos, solicitar impuestos descontables. Sin embargo, pueden llevar como costo o gasto en renta el impuesto pagado en la adquisición de bienes y servicios gravados, con el cumplimiento de los presupuestos del artículo 1.3.1.15.1 del Decreto 1625 de 2016.</w:t>
      </w:r>
    </w:p>
    <w:p w14:paraId="0F2AF101"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7D6C66FD" w14:textId="77777777" w:rsidR="001A6707" w:rsidRPr="001A6707" w:rsidRDefault="001A6707" w:rsidP="001A6707">
      <w:pPr>
        <w:numPr>
          <w:ilvl w:val="0"/>
          <w:numId w:val="19"/>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El IVA pagado en la adquisición de bienes cuando el contribuyente era no responsable puede ser llevado como impuesto descontable en la primera declaración de IVA presentada, tras adquirir la calidad de responsable; siempre que dichos bienes: (i) permanezcan en su inventario, (</w:t>
      </w:r>
      <w:proofErr w:type="spellStart"/>
      <w:r w:rsidRPr="001A6707">
        <w:rPr>
          <w:rFonts w:ascii="Verdana" w:eastAsia="Times New Roman" w:hAnsi="Verdana" w:cs="Times New Roman"/>
          <w:color w:val="000000"/>
          <w:kern w:val="0"/>
          <w:lang w:val="es-CO" w:eastAsia="es-MX"/>
          <w14:ligatures w14:val="none"/>
        </w:rPr>
        <w:t>ii</w:t>
      </w:r>
      <w:proofErr w:type="spellEnd"/>
      <w:r w:rsidRPr="001A6707">
        <w:rPr>
          <w:rFonts w:ascii="Verdana" w:eastAsia="Times New Roman" w:hAnsi="Verdana" w:cs="Times New Roman"/>
          <w:color w:val="000000"/>
          <w:kern w:val="0"/>
          <w:lang w:val="es-CO" w:eastAsia="es-MX"/>
          <w14:ligatures w14:val="none"/>
        </w:rPr>
        <w:t>) se destinen a operaciones gravadas o exentas y (</w:t>
      </w:r>
      <w:proofErr w:type="spellStart"/>
      <w:r w:rsidRPr="001A6707">
        <w:rPr>
          <w:rFonts w:ascii="Verdana" w:eastAsia="Times New Roman" w:hAnsi="Verdana" w:cs="Times New Roman"/>
          <w:color w:val="000000"/>
          <w:kern w:val="0"/>
          <w:lang w:val="es-CO" w:eastAsia="es-MX"/>
          <w14:ligatures w14:val="none"/>
        </w:rPr>
        <w:t>iii</w:t>
      </w:r>
      <w:proofErr w:type="spellEnd"/>
      <w:r w:rsidRPr="001A6707">
        <w:rPr>
          <w:rFonts w:ascii="Verdana" w:eastAsia="Times New Roman" w:hAnsi="Verdana" w:cs="Times New Roman"/>
          <w:color w:val="000000"/>
          <w:kern w:val="0"/>
          <w:lang w:val="es-CO" w:eastAsia="es-MX"/>
          <w14:ligatures w14:val="none"/>
        </w:rPr>
        <w:t>) se encuentren soportados en factura o documento equivalente que cumpla los requisitos de los artículos 771-2 y 771-5 del E.T.</w:t>
      </w:r>
    </w:p>
    <w:p w14:paraId="42B7E55D"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23E6EA97" w14:textId="77777777" w:rsidR="001A6707" w:rsidRPr="001A6707" w:rsidRDefault="001A6707" w:rsidP="001A6707">
      <w:pPr>
        <w:numPr>
          <w:ilvl w:val="0"/>
          <w:numId w:val="20"/>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En ningún caso el IVA pagado en la adquisición de bienes antes de convertirse en responsable – que deba ser tratado como descontable por el ahora responsable – podrá ser tomado como costo o gasto en el impuesto sobre la renta.</w:t>
      </w:r>
    </w:p>
    <w:p w14:paraId="6CC27978" w14:textId="77777777" w:rsidR="001A6707" w:rsidRPr="001A6707" w:rsidRDefault="001A6707" w:rsidP="001A6707">
      <w:pPr>
        <w:rPr>
          <w:rFonts w:ascii="Times New Roman" w:eastAsia="Times New Roman" w:hAnsi="Times New Roman" w:cs="Times New Roman"/>
          <w:kern w:val="0"/>
          <w:lang w:val="es-CO" w:eastAsia="es-MX"/>
          <w14:ligatures w14:val="none"/>
        </w:rPr>
      </w:pPr>
      <w:r w:rsidRPr="001A6707">
        <w:rPr>
          <w:rFonts w:ascii="Times New Roman" w:eastAsia="Times New Roman" w:hAnsi="Times New Roman" w:cs="Times New Roman"/>
          <w:kern w:val="0"/>
          <w:lang w:val="es-CO" w:eastAsia="es-MX"/>
          <w14:ligatures w14:val="none"/>
        </w:rPr>
        <w:br/>
      </w:r>
    </w:p>
    <w:p w14:paraId="7BBAEFE5" w14:textId="77777777" w:rsidR="001A6707" w:rsidRPr="001A6707" w:rsidRDefault="001A6707" w:rsidP="001A6707">
      <w:pPr>
        <w:numPr>
          <w:ilvl w:val="0"/>
          <w:numId w:val="21"/>
        </w:numPr>
        <w:jc w:val="both"/>
        <w:textAlignment w:val="baseline"/>
        <w:rPr>
          <w:rFonts w:ascii="Verdana" w:eastAsia="Times New Roman" w:hAnsi="Verdana" w:cs="Times New Roman"/>
          <w:color w:val="000000"/>
          <w:kern w:val="0"/>
          <w:lang w:val="es-CO" w:eastAsia="es-MX"/>
          <w14:ligatures w14:val="none"/>
        </w:rPr>
      </w:pPr>
      <w:r w:rsidRPr="001A6707">
        <w:rPr>
          <w:rFonts w:ascii="Verdana" w:eastAsia="Times New Roman" w:hAnsi="Verdana" w:cs="Times New Roman"/>
          <w:color w:val="000000"/>
          <w:kern w:val="0"/>
          <w:lang w:val="es-CO" w:eastAsia="es-MX"/>
          <w14:ligatures w14:val="none"/>
        </w:rPr>
        <w:t xml:space="preserve">En los anteriores términos se resuelve su petición y se recuerda que la normativa, jurisprudencia y doctrina en materia tributaria, aduanera y </w:t>
      </w:r>
      <w:r w:rsidRPr="001A6707">
        <w:rPr>
          <w:rFonts w:ascii="Verdana" w:eastAsia="Times New Roman" w:hAnsi="Verdana" w:cs="Times New Roman"/>
          <w:color w:val="000000"/>
          <w:kern w:val="0"/>
          <w:lang w:val="es-CO" w:eastAsia="es-MX"/>
          <w14:ligatures w14:val="none"/>
        </w:rPr>
        <w:lastRenderedPageBreak/>
        <w:t xml:space="preserve">de fiscalización cambiaria, en lo de competencia de esta Entidad, puede consultarse en el normograma DIAN: </w:t>
      </w:r>
      <w:hyperlink r:id="rId5" w:history="1">
        <w:r w:rsidRPr="001A6707">
          <w:rPr>
            <w:rFonts w:ascii="Verdana" w:eastAsia="Times New Roman" w:hAnsi="Verdana" w:cs="Times New Roman"/>
            <w:color w:val="000000"/>
            <w:kern w:val="0"/>
            <w:lang w:val="es-CO" w:eastAsia="es-MX"/>
            <w14:ligatures w14:val="none"/>
          </w:rPr>
          <w:t>https://normograma.dian.gov.co/dian/</w:t>
        </w:r>
      </w:hyperlink>
    </w:p>
    <w:p w14:paraId="4D921568"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784C224D"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Atentamente,</w:t>
      </w:r>
    </w:p>
    <w:p w14:paraId="1BCCD6EA"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1C5D9AEA" w14:textId="77777777" w:rsidR="001A6707" w:rsidRPr="001A6707" w:rsidRDefault="001A6707" w:rsidP="001A6707">
      <w:pPr>
        <w:jc w:val="both"/>
        <w:outlineLvl w:val="1"/>
        <w:rPr>
          <w:rFonts w:ascii="Times New Roman" w:eastAsia="Times New Roman" w:hAnsi="Times New Roman" w:cs="Times New Roman"/>
          <w:b/>
          <w:bCs/>
          <w:kern w:val="0"/>
          <w:sz w:val="36"/>
          <w:szCs w:val="36"/>
          <w:lang w:val="es-CO" w:eastAsia="es-MX"/>
          <w14:ligatures w14:val="none"/>
        </w:rPr>
      </w:pPr>
      <w:r w:rsidRPr="001A6707">
        <w:rPr>
          <w:rFonts w:ascii="Verdana" w:eastAsia="Times New Roman" w:hAnsi="Verdana" w:cs="Times New Roman"/>
          <w:b/>
          <w:bCs/>
          <w:color w:val="000000"/>
          <w:kern w:val="0"/>
          <w:lang w:val="es-CO" w:eastAsia="es-MX"/>
          <w14:ligatures w14:val="none"/>
        </w:rPr>
        <w:t>INGRID CASTAÑEDA CEPEDA</w:t>
      </w:r>
    </w:p>
    <w:p w14:paraId="4E0CB68F"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Subdirectora de Normativa y Doctrina (A) </w:t>
      </w:r>
    </w:p>
    <w:p w14:paraId="58C46497"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Dirección de Gestión Jurídica</w:t>
      </w:r>
    </w:p>
    <w:p w14:paraId="0153CA21"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U.A.E. Dirección de Impuestos y Aduanas Nacionales – DIAN </w:t>
      </w:r>
    </w:p>
    <w:p w14:paraId="067DFC3B"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 xml:space="preserve">Dirección: </w:t>
      </w:r>
      <w:proofErr w:type="spellStart"/>
      <w:r w:rsidRPr="001A6707">
        <w:rPr>
          <w:rFonts w:ascii="Verdana" w:eastAsia="Times New Roman" w:hAnsi="Verdana" w:cs="Times New Roman"/>
          <w:color w:val="000000"/>
          <w:kern w:val="0"/>
          <w:lang w:val="es-CO" w:eastAsia="es-MX"/>
          <w14:ligatures w14:val="none"/>
        </w:rPr>
        <w:t>Cra</w:t>
      </w:r>
      <w:proofErr w:type="spellEnd"/>
      <w:r w:rsidRPr="001A6707">
        <w:rPr>
          <w:rFonts w:ascii="Verdana" w:eastAsia="Times New Roman" w:hAnsi="Verdana" w:cs="Times New Roman"/>
          <w:color w:val="000000"/>
          <w:kern w:val="0"/>
          <w:lang w:val="es-CO" w:eastAsia="es-MX"/>
          <w14:ligatures w14:val="none"/>
        </w:rPr>
        <w:t>. 8 # 6C-38 Edificio San Agustín - Piso 4 </w:t>
      </w:r>
    </w:p>
    <w:p w14:paraId="2A42054E"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r w:rsidRPr="001A6707">
        <w:rPr>
          <w:rFonts w:ascii="Verdana" w:eastAsia="Times New Roman" w:hAnsi="Verdana" w:cs="Times New Roman"/>
          <w:color w:val="000000"/>
          <w:kern w:val="0"/>
          <w:lang w:val="es-CO" w:eastAsia="es-MX"/>
          <w14:ligatures w14:val="none"/>
        </w:rPr>
        <w:t>Bogotá, D.C.</w:t>
      </w:r>
    </w:p>
    <w:p w14:paraId="41D24436" w14:textId="77777777" w:rsidR="001A6707" w:rsidRPr="001A6707" w:rsidRDefault="001A6707" w:rsidP="001A6707">
      <w:pPr>
        <w:jc w:val="both"/>
        <w:rPr>
          <w:rFonts w:ascii="Times New Roman" w:eastAsia="Times New Roman" w:hAnsi="Times New Roman" w:cs="Times New Roman"/>
          <w:kern w:val="0"/>
          <w:lang w:val="es-CO" w:eastAsia="es-MX"/>
          <w14:ligatures w14:val="none"/>
        </w:rPr>
      </w:pPr>
      <w:hyperlink r:id="rId6" w:history="1">
        <w:r w:rsidRPr="001A6707">
          <w:rPr>
            <w:rFonts w:ascii="Verdana" w:eastAsia="Times New Roman" w:hAnsi="Verdana" w:cs="Times New Roman"/>
            <w:color w:val="000000"/>
            <w:kern w:val="0"/>
            <w:u w:val="single"/>
            <w:lang w:val="es-CO" w:eastAsia="es-MX"/>
            <w14:ligatures w14:val="none"/>
          </w:rPr>
          <w:t>www.dian.gov.co</w:t>
        </w:r>
      </w:hyperlink>
    </w:p>
    <w:p w14:paraId="3A8F96A9" w14:textId="77777777" w:rsidR="001A6707" w:rsidRPr="001A6707" w:rsidRDefault="001A6707" w:rsidP="001A6707">
      <w:pPr>
        <w:rPr>
          <w:rFonts w:ascii="Times New Roman" w:eastAsia="Times New Roman" w:hAnsi="Times New Roman" w:cs="Times New Roman"/>
          <w:kern w:val="0"/>
          <w:lang w:val="es-CO" w:eastAsia="es-MX"/>
          <w14:ligatures w14:val="none"/>
        </w:rPr>
      </w:pPr>
    </w:p>
    <w:p w14:paraId="137E100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D1C8A"/>
    <w:multiLevelType w:val="multilevel"/>
    <w:tmpl w:val="217852D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CC64CE"/>
    <w:multiLevelType w:val="multilevel"/>
    <w:tmpl w:val="F7DA0BD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E90EE2"/>
    <w:multiLevelType w:val="multilevel"/>
    <w:tmpl w:val="5AF022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325A01"/>
    <w:multiLevelType w:val="multilevel"/>
    <w:tmpl w:val="42F04E4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1D63"/>
    <w:multiLevelType w:val="multilevel"/>
    <w:tmpl w:val="4E9C132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3F4485"/>
    <w:multiLevelType w:val="multilevel"/>
    <w:tmpl w:val="AD3EA9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0650BB"/>
    <w:multiLevelType w:val="multilevel"/>
    <w:tmpl w:val="CF2088B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D07F6E"/>
    <w:multiLevelType w:val="multilevel"/>
    <w:tmpl w:val="DCBCC54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F52F61"/>
    <w:multiLevelType w:val="multilevel"/>
    <w:tmpl w:val="C0A2986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BD0032"/>
    <w:multiLevelType w:val="multilevel"/>
    <w:tmpl w:val="5734C21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EF5CF4"/>
    <w:multiLevelType w:val="multilevel"/>
    <w:tmpl w:val="75AE2D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3D270C8"/>
    <w:multiLevelType w:val="multilevel"/>
    <w:tmpl w:val="0876FDE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9F0EA9"/>
    <w:multiLevelType w:val="multilevel"/>
    <w:tmpl w:val="4C40AAB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F21142"/>
    <w:multiLevelType w:val="multilevel"/>
    <w:tmpl w:val="825C9C2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F90E5D"/>
    <w:multiLevelType w:val="multilevel"/>
    <w:tmpl w:val="4A7C071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152D20"/>
    <w:multiLevelType w:val="multilevel"/>
    <w:tmpl w:val="D37CD4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12158D"/>
    <w:multiLevelType w:val="multilevel"/>
    <w:tmpl w:val="E45C3AD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811B78"/>
    <w:multiLevelType w:val="multilevel"/>
    <w:tmpl w:val="F8849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9672692"/>
    <w:multiLevelType w:val="multilevel"/>
    <w:tmpl w:val="CBBC7006"/>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6E5687"/>
    <w:multiLevelType w:val="multilevel"/>
    <w:tmpl w:val="A5DA47A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F2329B7"/>
    <w:multiLevelType w:val="multilevel"/>
    <w:tmpl w:val="37D09C3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1610058">
    <w:abstractNumId w:val="17"/>
  </w:num>
  <w:num w:numId="2" w16cid:durableId="1909916287">
    <w:abstractNumId w:val="5"/>
    <w:lvlOverride w:ilvl="0">
      <w:lvl w:ilvl="0">
        <w:numFmt w:val="decimal"/>
        <w:lvlText w:val="%1."/>
        <w:lvlJc w:val="left"/>
      </w:lvl>
    </w:lvlOverride>
  </w:num>
  <w:num w:numId="3" w16cid:durableId="440106554">
    <w:abstractNumId w:val="10"/>
    <w:lvlOverride w:ilvl="0">
      <w:lvl w:ilvl="0">
        <w:numFmt w:val="decimal"/>
        <w:lvlText w:val="%1."/>
        <w:lvlJc w:val="left"/>
      </w:lvl>
    </w:lvlOverride>
  </w:num>
  <w:num w:numId="4" w16cid:durableId="1345209696">
    <w:abstractNumId w:val="15"/>
    <w:lvlOverride w:ilvl="0">
      <w:lvl w:ilvl="0">
        <w:numFmt w:val="decimal"/>
        <w:lvlText w:val="%1."/>
        <w:lvlJc w:val="left"/>
      </w:lvl>
    </w:lvlOverride>
  </w:num>
  <w:num w:numId="5" w16cid:durableId="2053919612">
    <w:abstractNumId w:val="12"/>
    <w:lvlOverride w:ilvl="0">
      <w:lvl w:ilvl="0">
        <w:numFmt w:val="decimal"/>
        <w:lvlText w:val="%1."/>
        <w:lvlJc w:val="left"/>
      </w:lvl>
    </w:lvlOverride>
  </w:num>
  <w:num w:numId="6" w16cid:durableId="856963337">
    <w:abstractNumId w:val="2"/>
    <w:lvlOverride w:ilvl="0">
      <w:lvl w:ilvl="0">
        <w:numFmt w:val="decimal"/>
        <w:lvlText w:val="%1."/>
        <w:lvlJc w:val="left"/>
      </w:lvl>
    </w:lvlOverride>
  </w:num>
  <w:num w:numId="7" w16cid:durableId="1508402178">
    <w:abstractNumId w:val="3"/>
    <w:lvlOverride w:ilvl="0">
      <w:lvl w:ilvl="0">
        <w:numFmt w:val="decimal"/>
        <w:lvlText w:val="%1."/>
        <w:lvlJc w:val="left"/>
      </w:lvl>
    </w:lvlOverride>
  </w:num>
  <w:num w:numId="8" w16cid:durableId="1224948658">
    <w:abstractNumId w:val="19"/>
    <w:lvlOverride w:ilvl="0">
      <w:lvl w:ilvl="0">
        <w:numFmt w:val="decimal"/>
        <w:lvlText w:val="%1."/>
        <w:lvlJc w:val="left"/>
      </w:lvl>
    </w:lvlOverride>
  </w:num>
  <w:num w:numId="9" w16cid:durableId="658074777">
    <w:abstractNumId w:val="14"/>
    <w:lvlOverride w:ilvl="0">
      <w:lvl w:ilvl="0">
        <w:numFmt w:val="decimal"/>
        <w:lvlText w:val="%1."/>
        <w:lvlJc w:val="left"/>
      </w:lvl>
    </w:lvlOverride>
  </w:num>
  <w:num w:numId="10" w16cid:durableId="1839809418">
    <w:abstractNumId w:val="11"/>
    <w:lvlOverride w:ilvl="0">
      <w:lvl w:ilvl="0">
        <w:numFmt w:val="decimal"/>
        <w:lvlText w:val="%1."/>
        <w:lvlJc w:val="left"/>
      </w:lvl>
    </w:lvlOverride>
  </w:num>
  <w:num w:numId="11" w16cid:durableId="1862475713">
    <w:abstractNumId w:val="8"/>
    <w:lvlOverride w:ilvl="0">
      <w:lvl w:ilvl="0">
        <w:numFmt w:val="decimal"/>
        <w:lvlText w:val="%1."/>
        <w:lvlJc w:val="left"/>
      </w:lvl>
    </w:lvlOverride>
  </w:num>
  <w:num w:numId="12" w16cid:durableId="1275088943">
    <w:abstractNumId w:val="20"/>
    <w:lvlOverride w:ilvl="0">
      <w:lvl w:ilvl="0">
        <w:numFmt w:val="decimal"/>
        <w:lvlText w:val="%1."/>
        <w:lvlJc w:val="left"/>
      </w:lvl>
    </w:lvlOverride>
  </w:num>
  <w:num w:numId="13" w16cid:durableId="1496919380">
    <w:abstractNumId w:val="0"/>
    <w:lvlOverride w:ilvl="0">
      <w:lvl w:ilvl="0">
        <w:numFmt w:val="decimal"/>
        <w:lvlText w:val="%1."/>
        <w:lvlJc w:val="left"/>
      </w:lvl>
    </w:lvlOverride>
  </w:num>
  <w:num w:numId="14" w16cid:durableId="1041324636">
    <w:abstractNumId w:val="13"/>
    <w:lvlOverride w:ilvl="0">
      <w:lvl w:ilvl="0">
        <w:numFmt w:val="decimal"/>
        <w:lvlText w:val="%1."/>
        <w:lvlJc w:val="left"/>
      </w:lvl>
    </w:lvlOverride>
  </w:num>
  <w:num w:numId="15" w16cid:durableId="345206049">
    <w:abstractNumId w:val="6"/>
    <w:lvlOverride w:ilvl="0">
      <w:lvl w:ilvl="0">
        <w:numFmt w:val="decimal"/>
        <w:lvlText w:val="%1."/>
        <w:lvlJc w:val="left"/>
      </w:lvl>
    </w:lvlOverride>
  </w:num>
  <w:num w:numId="16" w16cid:durableId="126242656">
    <w:abstractNumId w:val="1"/>
    <w:lvlOverride w:ilvl="0">
      <w:lvl w:ilvl="0">
        <w:numFmt w:val="decimal"/>
        <w:lvlText w:val="%1."/>
        <w:lvlJc w:val="left"/>
      </w:lvl>
    </w:lvlOverride>
  </w:num>
  <w:num w:numId="17" w16cid:durableId="1234512772">
    <w:abstractNumId w:val="4"/>
    <w:lvlOverride w:ilvl="0">
      <w:lvl w:ilvl="0">
        <w:numFmt w:val="decimal"/>
        <w:lvlText w:val="%1."/>
        <w:lvlJc w:val="left"/>
      </w:lvl>
    </w:lvlOverride>
  </w:num>
  <w:num w:numId="18" w16cid:durableId="601304201">
    <w:abstractNumId w:val="18"/>
    <w:lvlOverride w:ilvl="0">
      <w:lvl w:ilvl="0">
        <w:numFmt w:val="decimal"/>
        <w:lvlText w:val="%1."/>
        <w:lvlJc w:val="left"/>
      </w:lvl>
    </w:lvlOverride>
  </w:num>
  <w:num w:numId="19" w16cid:durableId="1815901960">
    <w:abstractNumId w:val="7"/>
    <w:lvlOverride w:ilvl="0">
      <w:lvl w:ilvl="0">
        <w:numFmt w:val="decimal"/>
        <w:lvlText w:val="%1."/>
        <w:lvlJc w:val="left"/>
      </w:lvl>
    </w:lvlOverride>
  </w:num>
  <w:num w:numId="20" w16cid:durableId="1824587982">
    <w:abstractNumId w:val="9"/>
    <w:lvlOverride w:ilvl="0">
      <w:lvl w:ilvl="0">
        <w:numFmt w:val="decimal"/>
        <w:lvlText w:val="%1."/>
        <w:lvlJc w:val="left"/>
      </w:lvl>
    </w:lvlOverride>
  </w:num>
  <w:num w:numId="21" w16cid:durableId="401950543">
    <w:abstractNumId w:val="1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707"/>
    <w:rsid w:val="000B2285"/>
    <w:rsid w:val="001A6707"/>
    <w:rsid w:val="00537D8F"/>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4209F6B"/>
  <w14:defaultImageDpi w14:val="32767"/>
  <w15:chartTrackingRefBased/>
  <w15:docId w15:val="{F578D90E-A20D-7B41-A9F5-34A05BA03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A67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A67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A670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A670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A670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A670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A670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A670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A670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A670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A670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A670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A670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A670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A670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A670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A670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A6707"/>
    <w:rPr>
      <w:rFonts w:eastAsiaTheme="majorEastAsia" w:cstheme="majorBidi"/>
      <w:color w:val="272727" w:themeColor="text1" w:themeTint="D8"/>
    </w:rPr>
  </w:style>
  <w:style w:type="paragraph" w:styleId="Ttulo">
    <w:name w:val="Title"/>
    <w:basedOn w:val="Normal"/>
    <w:next w:val="Normal"/>
    <w:link w:val="TtuloCar"/>
    <w:uiPriority w:val="10"/>
    <w:qFormat/>
    <w:rsid w:val="001A670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A670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A670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A670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A670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A6707"/>
    <w:rPr>
      <w:i/>
      <w:iCs/>
      <w:color w:val="404040" w:themeColor="text1" w:themeTint="BF"/>
    </w:rPr>
  </w:style>
  <w:style w:type="paragraph" w:styleId="Prrafodelista">
    <w:name w:val="List Paragraph"/>
    <w:basedOn w:val="Normal"/>
    <w:uiPriority w:val="34"/>
    <w:qFormat/>
    <w:rsid w:val="001A6707"/>
    <w:pPr>
      <w:ind w:left="720"/>
      <w:contextualSpacing/>
    </w:pPr>
  </w:style>
  <w:style w:type="character" w:styleId="nfasisintenso">
    <w:name w:val="Intense Emphasis"/>
    <w:basedOn w:val="Fuentedeprrafopredeter"/>
    <w:uiPriority w:val="21"/>
    <w:qFormat/>
    <w:rsid w:val="001A6707"/>
    <w:rPr>
      <w:i/>
      <w:iCs/>
      <w:color w:val="2F5496" w:themeColor="accent1" w:themeShade="BF"/>
    </w:rPr>
  </w:style>
  <w:style w:type="paragraph" w:styleId="Citadestacada">
    <w:name w:val="Intense Quote"/>
    <w:basedOn w:val="Normal"/>
    <w:next w:val="Normal"/>
    <w:link w:val="CitadestacadaCar"/>
    <w:uiPriority w:val="30"/>
    <w:qFormat/>
    <w:rsid w:val="001A67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A6707"/>
    <w:rPr>
      <w:i/>
      <w:iCs/>
      <w:color w:val="2F5496" w:themeColor="accent1" w:themeShade="BF"/>
    </w:rPr>
  </w:style>
  <w:style w:type="character" w:styleId="Referenciaintensa">
    <w:name w:val="Intense Reference"/>
    <w:basedOn w:val="Fuentedeprrafopredeter"/>
    <w:uiPriority w:val="32"/>
    <w:qFormat/>
    <w:rsid w:val="001A6707"/>
    <w:rPr>
      <w:b/>
      <w:bCs/>
      <w:smallCaps/>
      <w:color w:val="2F5496" w:themeColor="accent1" w:themeShade="BF"/>
      <w:spacing w:val="5"/>
    </w:rPr>
  </w:style>
  <w:style w:type="paragraph" w:styleId="NormalWeb">
    <w:name w:val="Normal (Web)"/>
    <w:basedOn w:val="Normal"/>
    <w:uiPriority w:val="99"/>
    <w:semiHidden/>
    <w:unhideWhenUsed/>
    <w:rsid w:val="001A6707"/>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A6707"/>
  </w:style>
  <w:style w:type="character" w:styleId="Hipervnculo">
    <w:name w:val="Hyperlink"/>
    <w:basedOn w:val="Fuentedeprrafopredeter"/>
    <w:uiPriority w:val="99"/>
    <w:semiHidden/>
    <w:unhideWhenUsed/>
    <w:rsid w:val="001A67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1266</Words>
  <Characters>6967</Characters>
  <Application>Microsoft Office Word</Application>
  <DocSecurity>0</DocSecurity>
  <Lines>58</Lines>
  <Paragraphs>16</Paragraphs>
  <ScaleCrop>false</ScaleCrop>
  <Company/>
  <LinksUpToDate>false</LinksUpToDate>
  <CharactersWithSpaces>8217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2026-01-08T16:26:00Z</dcterms:created>
  <dcterms:modified xsi:type="dcterms:W3CDTF">2026-01-08T16:27:00Z</dcterms:modified>
</cp:coreProperties>
</file>