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D5E25"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CONCEPTO DIAN 1801 DEL 29 DE OCTUBRE DE 2025</w:t>
      </w:r>
    </w:p>
    <w:p w14:paraId="2751721B"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DIRECCIÓN DE IMPUESTOS Y ADUANAS NACIONALES</w:t>
      </w:r>
    </w:p>
    <w:p w14:paraId="7A934647"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7EFC1524"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Bogotá D.C.,</w:t>
      </w:r>
    </w:p>
    <w:p w14:paraId="27C3EFF4"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22D93072"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Tema:</w:t>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color w:val="000000"/>
          <w:kern w:val="0"/>
          <w:lang w:val="es-CO" w:eastAsia="es-MX"/>
          <w14:ligatures w14:val="none"/>
        </w:rPr>
        <w:t xml:space="preserve"> Impuesto sobre la renta y Complementarios</w:t>
      </w:r>
    </w:p>
    <w:p w14:paraId="01243FDD"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Descriptores:</w:t>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color w:val="000000"/>
          <w:kern w:val="0"/>
          <w:lang w:val="es-CO" w:eastAsia="es-MX"/>
          <w14:ligatures w14:val="none"/>
        </w:rPr>
        <w:t>Aportes parafiscales a favor del ICBF y SENA</w:t>
      </w:r>
    </w:p>
    <w:p w14:paraId="66B2A878" w14:textId="77777777" w:rsidR="00173F68" w:rsidRPr="00173F68" w:rsidRDefault="00173F68" w:rsidP="00173F68">
      <w:pPr>
        <w:ind w:left="2160" w:firstLine="720"/>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Exención aportes parafiscales</w:t>
      </w:r>
    </w:p>
    <w:p w14:paraId="6EF603B8" w14:textId="77777777" w:rsidR="00173F68" w:rsidRPr="00173F68" w:rsidRDefault="00173F68" w:rsidP="00173F68">
      <w:pPr>
        <w:ind w:left="2160" w:firstLine="720"/>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Entidades no contribuyentes</w:t>
      </w:r>
    </w:p>
    <w:p w14:paraId="6EF9A65F"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Fuentes formales:</w:t>
      </w:r>
      <w:r w:rsidRPr="00173F68">
        <w:rPr>
          <w:rFonts w:ascii="Verdana" w:eastAsia="Times New Roman" w:hAnsi="Verdana" w:cs="Times New Roman"/>
          <w:b/>
          <w:bCs/>
          <w:color w:val="000000"/>
          <w:kern w:val="0"/>
          <w:lang w:val="es-CO" w:eastAsia="es-MX"/>
          <w14:ligatures w14:val="none"/>
        </w:rPr>
        <w:tab/>
      </w:r>
      <w:r w:rsidRPr="00173F68">
        <w:rPr>
          <w:rFonts w:ascii="Verdana" w:eastAsia="Times New Roman" w:hAnsi="Verdana" w:cs="Times New Roman"/>
          <w:color w:val="000000"/>
          <w:kern w:val="0"/>
          <w:lang w:val="es-CO" w:eastAsia="es-MX"/>
          <w14:ligatures w14:val="none"/>
        </w:rPr>
        <w:t>Artículos 22, 23 y 114-1 del Estatuto Tributario.</w:t>
      </w:r>
    </w:p>
    <w:p w14:paraId="7A70865D" w14:textId="77777777" w:rsidR="00173F68" w:rsidRPr="00173F68" w:rsidRDefault="00173F68" w:rsidP="00173F68">
      <w:pPr>
        <w:ind w:left="2160" w:firstLine="720"/>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Artículos 29 y 125 del Decreto 111 de 1996.</w:t>
      </w:r>
    </w:p>
    <w:p w14:paraId="49DFA7BA"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243273D9"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Cordial saludo,</w:t>
      </w:r>
    </w:p>
    <w:p w14:paraId="3E93072D"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29871DCB" w14:textId="77777777" w:rsidR="00173F68" w:rsidRPr="00173F68" w:rsidRDefault="00173F68" w:rsidP="00173F68">
      <w:pPr>
        <w:numPr>
          <w:ilvl w:val="0"/>
          <w:numId w:val="1"/>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F8EC36C"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62EBD56F"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PROBLEMA JURÍDICO.</w:t>
      </w:r>
    </w:p>
    <w:p w14:paraId="0C67DCF1"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0793C652" w14:textId="77777777" w:rsidR="00173F68" w:rsidRPr="00173F68" w:rsidRDefault="00173F68" w:rsidP="00173F68">
      <w:pPr>
        <w:numPr>
          <w:ilvl w:val="0"/>
          <w:numId w:val="2"/>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¿Las Juntas de Acción Comunal (JAC) y los cabildos indígenas se encuentran exoneradas del pago de aportes parafiscales conforme al artículo 114-1 del Estatuto Tributario, en razón de su naturaleza jurídica como entidades no contribuyentes y no declarantes del impuesto sobre la renta?</w:t>
      </w:r>
    </w:p>
    <w:p w14:paraId="4B2BF72E"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70B66CCF"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TESIS JURÍDICA.</w:t>
      </w:r>
    </w:p>
    <w:p w14:paraId="21793DE2"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4347C42B" w14:textId="77777777" w:rsidR="00173F68" w:rsidRPr="00173F68" w:rsidRDefault="00173F68" w:rsidP="00173F68">
      <w:pPr>
        <w:numPr>
          <w:ilvl w:val="0"/>
          <w:numId w:val="3"/>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No. Las Juntas de Acción Comunal y los cabildos indígenas no se encuentran amparados por la exoneración de aportes parafiscales prevista en el artículo 114-1 del Estatuto Tributario (E.T.), por cuanto dicha disposición únicamente cobija a los empleadores que sean contribuyentes declarantes del impuesto sobre la renta y complementarios.</w:t>
      </w:r>
    </w:p>
    <w:p w14:paraId="333D80E3"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59864115"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FUNDAMENTACIÓN.</w:t>
      </w:r>
    </w:p>
    <w:p w14:paraId="0E7B9A73" w14:textId="77777777" w:rsidR="00173F68" w:rsidRPr="00173F68" w:rsidRDefault="00173F68" w:rsidP="00173F68">
      <w:pPr>
        <w:numPr>
          <w:ilvl w:val="0"/>
          <w:numId w:val="4"/>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 xml:space="preserve">Las contribuciones, conforme al artículo 29 del Decreto 111 de 1996, son gravámenes obligatorios que afectan a un grupo social o </w:t>
      </w:r>
      <w:r w:rsidRPr="00173F68">
        <w:rPr>
          <w:rFonts w:ascii="Verdana" w:eastAsia="Times New Roman" w:hAnsi="Verdana" w:cs="Times New Roman"/>
          <w:color w:val="000000"/>
          <w:kern w:val="0"/>
          <w:lang w:val="es-CO" w:eastAsia="es-MX"/>
          <w14:ligatures w14:val="none"/>
        </w:rPr>
        <w:lastRenderedPageBreak/>
        <w:t xml:space="preserve">económico específico y se destinan al beneficio del mismo sector. El artículo 125 </w:t>
      </w:r>
      <w:r w:rsidRPr="00173F68">
        <w:rPr>
          <w:rFonts w:ascii="Verdana" w:eastAsia="Times New Roman" w:hAnsi="Verdana" w:cs="Times New Roman"/>
          <w:i/>
          <w:iCs/>
          <w:color w:val="000000"/>
          <w:kern w:val="0"/>
          <w:lang w:val="es-CO" w:eastAsia="es-MX"/>
          <w14:ligatures w14:val="none"/>
        </w:rPr>
        <w:t xml:space="preserve">ibidem </w:t>
      </w:r>
      <w:r w:rsidRPr="00173F68">
        <w:rPr>
          <w:rFonts w:ascii="Verdana" w:eastAsia="Times New Roman" w:hAnsi="Verdana" w:cs="Times New Roman"/>
          <w:color w:val="000000"/>
          <w:kern w:val="0"/>
          <w:lang w:val="es-CO" w:eastAsia="es-MX"/>
          <w14:ligatures w14:val="none"/>
        </w:rPr>
        <w:t>califica como contribuciones parafiscales los aportes previstos en el artículo 39 de la Ley 7 de 1979, modificado por la Ley 89 de 1988, y el artículo 30 de la Ley 119 de 1994, a favor del Instituto Colombiano de Bienestar Familiar (ICBF) y del Servicio Nacional de Aprendizaje (SENA).</w:t>
      </w:r>
    </w:p>
    <w:p w14:paraId="36E0DCC2"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6B81D40B" w14:textId="77777777" w:rsidR="00173F68" w:rsidRPr="00173F68" w:rsidRDefault="00173F68" w:rsidP="00173F68">
      <w:pPr>
        <w:numPr>
          <w:ilvl w:val="0"/>
          <w:numId w:val="5"/>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Estos gravámenes son establecidos en cabeza de los empleadores, tanto del sector público como del privado, a razón de los trabajadores que tengan vinculados mediante contrato de trabajo. Por esta razón, su cálculo se realiza sobre su nómina mensual de salarios.</w:t>
      </w:r>
    </w:p>
    <w:p w14:paraId="6EB09477"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073C9DC8" w14:textId="77777777" w:rsidR="00173F68" w:rsidRPr="00173F68" w:rsidRDefault="00173F68" w:rsidP="00173F68">
      <w:pPr>
        <w:numPr>
          <w:ilvl w:val="0"/>
          <w:numId w:val="6"/>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En ese sentido, la regla general es que todo empleador que tenga trabajadores vinculados laboralmente debe efectuar los aportes parafiscales correspondientes, independientemente de si se trata de una entidad pública, privada, sin ánimo de lucro o de naturaleza especial.</w:t>
      </w:r>
    </w:p>
    <w:p w14:paraId="3B7DC192"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6277D58E" w14:textId="77777777" w:rsidR="00173F68" w:rsidRPr="00173F68" w:rsidRDefault="00173F68" w:rsidP="00173F68">
      <w:pPr>
        <w:numPr>
          <w:ilvl w:val="0"/>
          <w:numId w:val="7"/>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Ahora bien, el artículo 114-1 del E.T. señala que estarán exonerados del pago de los aportes parafiscales a favor del ICBF y SENA: (i) las sociedades y personas jurídicas y asimiladas contribuyentes declarantes del impuesto sobre la renta respecto de los trabajadores que devenguen, individualmente, menos de 10 salarios mínimos mensuales legales vigentes (SMMLV); y (</w:t>
      </w:r>
      <w:proofErr w:type="spellStart"/>
      <w:r w:rsidRPr="00173F68">
        <w:rPr>
          <w:rFonts w:ascii="Verdana" w:eastAsia="Times New Roman" w:hAnsi="Verdana" w:cs="Times New Roman"/>
          <w:color w:val="000000"/>
          <w:kern w:val="0"/>
          <w:lang w:val="es-CO" w:eastAsia="es-MX"/>
          <w14:ligatures w14:val="none"/>
        </w:rPr>
        <w:t>ii</w:t>
      </w:r>
      <w:proofErr w:type="spellEnd"/>
      <w:r w:rsidRPr="00173F68">
        <w:rPr>
          <w:rFonts w:ascii="Verdana" w:eastAsia="Times New Roman" w:hAnsi="Verdana" w:cs="Times New Roman"/>
          <w:color w:val="000000"/>
          <w:kern w:val="0"/>
          <w:lang w:val="es-CO" w:eastAsia="es-MX"/>
          <w14:ligatures w14:val="none"/>
        </w:rPr>
        <w:t>) las personas naturales empleadoras por los empleados que devenguen menos de 10 SMMLV, siempre que se empleen más de 2 trabajadores.</w:t>
      </w:r>
    </w:p>
    <w:p w14:paraId="2A48886C"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3BA656ED" w14:textId="77777777" w:rsidR="00173F68" w:rsidRPr="00173F68" w:rsidRDefault="00173F68" w:rsidP="00173F68">
      <w:pPr>
        <w:numPr>
          <w:ilvl w:val="0"/>
          <w:numId w:val="8"/>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Esta exoneración imperativa, que se estableció desde un inicio como alivio de las personas jurídicas contribuyentes del impuesto sobre la renta, tiene un alcance restrictivo, pues la norma excluye a ciertos sujetos que, por su naturaleza o régimen especial, no se ajustan a los criterios de exoneración – ser declarante del impuesto sobre las rentas-.</w:t>
      </w:r>
    </w:p>
    <w:p w14:paraId="776184B5"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732CFFF3" w14:textId="77777777" w:rsidR="00173F68" w:rsidRPr="00173F68" w:rsidRDefault="00173F68" w:rsidP="00173F68">
      <w:pPr>
        <w:numPr>
          <w:ilvl w:val="0"/>
          <w:numId w:val="9"/>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 xml:space="preserve">Tal es el caso de los sujetos no contribuyentes del impuesto sobre la renta y complementarios. En efecto, la doctrina de esta entidad ha interpretado que la exoneración del artículo 114-1 del E.T. no resulta aplicable a las entidades no contribuyentes (artículo 22 del E.T.) ni a las no contribuyentes declarantes (artículo 23 </w:t>
      </w:r>
      <w:proofErr w:type="spellStart"/>
      <w:r w:rsidRPr="00173F68">
        <w:rPr>
          <w:rFonts w:ascii="Verdana" w:eastAsia="Times New Roman" w:hAnsi="Verdana" w:cs="Times New Roman"/>
          <w:i/>
          <w:iCs/>
          <w:color w:val="000000"/>
          <w:kern w:val="0"/>
          <w:lang w:val="es-CO" w:eastAsia="es-MX"/>
          <w14:ligatures w14:val="none"/>
        </w:rPr>
        <w:t>ibídem</w:t>
      </w:r>
      <w:proofErr w:type="spellEnd"/>
      <w:r w:rsidRPr="00173F68">
        <w:rPr>
          <w:rFonts w:ascii="Verdana" w:eastAsia="Times New Roman" w:hAnsi="Verdana" w:cs="Times New Roman"/>
          <w:color w:val="000000"/>
          <w:kern w:val="0"/>
          <w:lang w:val="es-CO" w:eastAsia="es-MX"/>
          <w14:ligatures w14:val="none"/>
        </w:rPr>
        <w:t>), pues tales sujetos carecen de la calidad exigida por la norma como presupuesto habilitante del beneficio.</w:t>
      </w:r>
    </w:p>
    <w:p w14:paraId="2063F235"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lastRenderedPageBreak/>
        <w:br/>
      </w:r>
    </w:p>
    <w:p w14:paraId="354FA882" w14:textId="77777777" w:rsidR="00173F68" w:rsidRPr="00173F68" w:rsidRDefault="00173F68" w:rsidP="00173F68">
      <w:pPr>
        <w:numPr>
          <w:ilvl w:val="0"/>
          <w:numId w:val="10"/>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Así, atendiendo que dentro del catálogo de entidades no contribuyentes del artículo 22 se encuentran, entre otras, las Juntas de Acción Comunal y los cabildos indígenas, es dable concluir que, al no ser contribuyentes del impuesto sobre la renta, no cumplen con el requisito legal para acceder a la exoneración prevista en el artículo 114-1 del E.T.</w:t>
      </w:r>
    </w:p>
    <w:p w14:paraId="4C00411E"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40CEF716" w14:textId="77777777" w:rsidR="00173F68" w:rsidRPr="00173F68" w:rsidRDefault="00173F68" w:rsidP="00173F68">
      <w:pPr>
        <w:numPr>
          <w:ilvl w:val="0"/>
          <w:numId w:val="11"/>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Por lo tanto, deben realizar los aportes parafiscales correspondientes por cada trabajador vinculado mediante contrato de trabajo, sin que sea relevante la duración del vínculo laboral.</w:t>
      </w:r>
    </w:p>
    <w:p w14:paraId="5EE9E301" w14:textId="77777777" w:rsidR="00173F68" w:rsidRPr="00173F68" w:rsidRDefault="00173F68" w:rsidP="00173F68">
      <w:pPr>
        <w:rPr>
          <w:rFonts w:ascii="Times New Roman" w:eastAsia="Times New Roman" w:hAnsi="Times New Roman" w:cs="Times New Roman"/>
          <w:kern w:val="0"/>
          <w:lang w:val="es-CO" w:eastAsia="es-MX"/>
          <w14:ligatures w14:val="none"/>
        </w:rPr>
      </w:pPr>
      <w:r w:rsidRPr="00173F68">
        <w:rPr>
          <w:rFonts w:ascii="Times New Roman" w:eastAsia="Times New Roman" w:hAnsi="Times New Roman" w:cs="Times New Roman"/>
          <w:kern w:val="0"/>
          <w:lang w:val="es-CO" w:eastAsia="es-MX"/>
          <w14:ligatures w14:val="none"/>
        </w:rPr>
        <w:br/>
      </w:r>
    </w:p>
    <w:p w14:paraId="4DB6794D" w14:textId="77777777" w:rsidR="00173F68" w:rsidRPr="00173F68" w:rsidRDefault="00173F68" w:rsidP="00173F68">
      <w:pPr>
        <w:numPr>
          <w:ilvl w:val="0"/>
          <w:numId w:val="12"/>
        </w:numPr>
        <w:jc w:val="both"/>
        <w:textAlignment w:val="baseline"/>
        <w:rPr>
          <w:rFonts w:ascii="Verdana" w:eastAsia="Times New Roman" w:hAnsi="Verdana" w:cs="Times New Roman"/>
          <w:color w:val="000000"/>
          <w:kern w:val="0"/>
          <w:lang w:val="es-CO" w:eastAsia="es-MX"/>
          <w14:ligatures w14:val="none"/>
        </w:rPr>
      </w:pPr>
      <w:r w:rsidRPr="00173F68">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173F68">
          <w:rPr>
            <w:rFonts w:ascii="Verdana" w:eastAsia="Times New Roman" w:hAnsi="Verdana" w:cs="Times New Roman"/>
            <w:color w:val="000000"/>
            <w:kern w:val="0"/>
            <w:u w:val="single"/>
            <w:lang w:val="es-CO" w:eastAsia="es-MX"/>
            <w14:ligatures w14:val="none"/>
          </w:rPr>
          <w:t>https://normograma.dian.gov.co/dian/</w:t>
        </w:r>
      </w:hyperlink>
      <w:r w:rsidRPr="00173F68">
        <w:rPr>
          <w:rFonts w:ascii="Verdana" w:eastAsia="Times New Roman" w:hAnsi="Verdana" w:cs="Times New Roman"/>
          <w:color w:val="000000"/>
          <w:kern w:val="0"/>
          <w:lang w:val="es-CO" w:eastAsia="es-MX"/>
          <w14:ligatures w14:val="none"/>
        </w:rPr>
        <w:t>.</w:t>
      </w:r>
    </w:p>
    <w:p w14:paraId="6C5853F0" w14:textId="77777777" w:rsidR="00173F68" w:rsidRPr="00173F68" w:rsidRDefault="00173F68" w:rsidP="00173F68">
      <w:pPr>
        <w:spacing w:after="240"/>
        <w:rPr>
          <w:rFonts w:ascii="Times New Roman" w:eastAsia="Times New Roman" w:hAnsi="Times New Roman" w:cs="Times New Roman"/>
          <w:kern w:val="0"/>
          <w:lang w:val="es-CO" w:eastAsia="es-MX"/>
          <w14:ligatures w14:val="none"/>
        </w:rPr>
      </w:pPr>
    </w:p>
    <w:p w14:paraId="13991DA5"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Atentamente,</w:t>
      </w:r>
    </w:p>
    <w:p w14:paraId="7412F55E" w14:textId="77777777" w:rsidR="00173F68" w:rsidRPr="00173F68" w:rsidRDefault="00173F68" w:rsidP="00173F68">
      <w:pPr>
        <w:spacing w:after="240"/>
        <w:rPr>
          <w:rFonts w:ascii="Times New Roman" w:eastAsia="Times New Roman" w:hAnsi="Times New Roman" w:cs="Times New Roman"/>
          <w:kern w:val="0"/>
          <w:lang w:val="es-CO" w:eastAsia="es-MX"/>
          <w14:ligatures w14:val="none"/>
        </w:rPr>
      </w:pPr>
    </w:p>
    <w:p w14:paraId="165BFA5B"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b/>
          <w:bCs/>
          <w:color w:val="000000"/>
          <w:kern w:val="0"/>
          <w:lang w:val="es-CO" w:eastAsia="es-MX"/>
          <w14:ligatures w14:val="none"/>
        </w:rPr>
        <w:t>INGRID CASTAÑEDA CEPEDA</w:t>
      </w:r>
    </w:p>
    <w:p w14:paraId="61A03B6A"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Subdirectora de Normativa y Doctrina (A)</w:t>
      </w:r>
    </w:p>
    <w:p w14:paraId="5B1440DA"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Dirección de Gestión Jurídica</w:t>
      </w:r>
    </w:p>
    <w:p w14:paraId="3308C1E3"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U.A.E. Dirección de Impuestos y Aduanas Nacionales – DIAN</w:t>
      </w:r>
    </w:p>
    <w:p w14:paraId="7203015F"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 xml:space="preserve">Dirección: </w:t>
      </w:r>
      <w:proofErr w:type="spellStart"/>
      <w:r w:rsidRPr="00173F68">
        <w:rPr>
          <w:rFonts w:ascii="Verdana" w:eastAsia="Times New Roman" w:hAnsi="Verdana" w:cs="Times New Roman"/>
          <w:color w:val="000000"/>
          <w:kern w:val="0"/>
          <w:lang w:val="es-CO" w:eastAsia="es-MX"/>
          <w14:ligatures w14:val="none"/>
        </w:rPr>
        <w:t>Cra</w:t>
      </w:r>
      <w:proofErr w:type="spellEnd"/>
      <w:r w:rsidRPr="00173F68">
        <w:rPr>
          <w:rFonts w:ascii="Verdana" w:eastAsia="Times New Roman" w:hAnsi="Verdana" w:cs="Times New Roman"/>
          <w:color w:val="000000"/>
          <w:kern w:val="0"/>
          <w:lang w:val="es-CO" w:eastAsia="es-MX"/>
          <w14:ligatures w14:val="none"/>
        </w:rPr>
        <w:t>. 8 # 6C-38 Edificio San Agustín - Piso 4</w:t>
      </w:r>
    </w:p>
    <w:p w14:paraId="78588687"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lang w:val="es-CO" w:eastAsia="es-MX"/>
          <w14:ligatures w14:val="none"/>
        </w:rPr>
        <w:t>Bogotá, D.C.</w:t>
      </w:r>
    </w:p>
    <w:p w14:paraId="772DF455" w14:textId="77777777" w:rsidR="00173F68" w:rsidRPr="00173F68" w:rsidRDefault="00173F68" w:rsidP="00173F68">
      <w:pPr>
        <w:jc w:val="both"/>
        <w:rPr>
          <w:rFonts w:ascii="Times New Roman" w:eastAsia="Times New Roman" w:hAnsi="Times New Roman" w:cs="Times New Roman"/>
          <w:kern w:val="0"/>
          <w:lang w:val="es-CO" w:eastAsia="es-MX"/>
          <w14:ligatures w14:val="none"/>
        </w:rPr>
      </w:pPr>
      <w:r w:rsidRPr="00173F68">
        <w:rPr>
          <w:rFonts w:ascii="Verdana" w:eastAsia="Times New Roman" w:hAnsi="Verdana" w:cs="Times New Roman"/>
          <w:color w:val="000000"/>
          <w:kern w:val="0"/>
          <w:u w:val="single"/>
          <w:lang w:val="es-CO" w:eastAsia="es-MX"/>
          <w14:ligatures w14:val="none"/>
        </w:rPr>
        <w:t>www.dian.gov.co</w:t>
      </w:r>
    </w:p>
    <w:p w14:paraId="3903547E" w14:textId="77777777" w:rsidR="00173F68" w:rsidRPr="00173F68" w:rsidRDefault="00173F68" w:rsidP="00173F68">
      <w:pPr>
        <w:rPr>
          <w:rFonts w:ascii="Times New Roman" w:eastAsia="Times New Roman" w:hAnsi="Times New Roman" w:cs="Times New Roman"/>
          <w:kern w:val="0"/>
          <w:lang w:val="es-CO" w:eastAsia="es-MX"/>
          <w14:ligatures w14:val="none"/>
        </w:rPr>
      </w:pPr>
    </w:p>
    <w:p w14:paraId="599850E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44AC4"/>
    <w:multiLevelType w:val="multilevel"/>
    <w:tmpl w:val="135872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F86147"/>
    <w:multiLevelType w:val="multilevel"/>
    <w:tmpl w:val="609EE5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473F15"/>
    <w:multiLevelType w:val="multilevel"/>
    <w:tmpl w:val="905CC0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7F0C64"/>
    <w:multiLevelType w:val="multilevel"/>
    <w:tmpl w:val="235A959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8D1095"/>
    <w:multiLevelType w:val="multilevel"/>
    <w:tmpl w:val="B7223A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B686785"/>
    <w:multiLevelType w:val="multilevel"/>
    <w:tmpl w:val="2C2CEF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8931E1"/>
    <w:multiLevelType w:val="multilevel"/>
    <w:tmpl w:val="A3625AD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7F74728"/>
    <w:multiLevelType w:val="multilevel"/>
    <w:tmpl w:val="3E80FE8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6FB4A7B"/>
    <w:multiLevelType w:val="multilevel"/>
    <w:tmpl w:val="44223A8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1B1BDC"/>
    <w:multiLevelType w:val="multilevel"/>
    <w:tmpl w:val="061240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1634F4"/>
    <w:multiLevelType w:val="multilevel"/>
    <w:tmpl w:val="8362C1E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F37BE0"/>
    <w:multiLevelType w:val="multilevel"/>
    <w:tmpl w:val="42ECE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103634">
    <w:abstractNumId w:val="11"/>
  </w:num>
  <w:num w:numId="2" w16cid:durableId="2104104861">
    <w:abstractNumId w:val="4"/>
    <w:lvlOverride w:ilvl="0">
      <w:lvl w:ilvl="0">
        <w:numFmt w:val="decimal"/>
        <w:lvlText w:val="%1."/>
        <w:lvlJc w:val="left"/>
      </w:lvl>
    </w:lvlOverride>
  </w:num>
  <w:num w:numId="3" w16cid:durableId="797064785">
    <w:abstractNumId w:val="2"/>
    <w:lvlOverride w:ilvl="0">
      <w:lvl w:ilvl="0">
        <w:numFmt w:val="decimal"/>
        <w:lvlText w:val="%1."/>
        <w:lvlJc w:val="left"/>
      </w:lvl>
    </w:lvlOverride>
  </w:num>
  <w:num w:numId="4" w16cid:durableId="1073771666">
    <w:abstractNumId w:val="1"/>
    <w:lvlOverride w:ilvl="0">
      <w:lvl w:ilvl="0">
        <w:numFmt w:val="decimal"/>
        <w:lvlText w:val="%1."/>
        <w:lvlJc w:val="left"/>
      </w:lvl>
    </w:lvlOverride>
  </w:num>
  <w:num w:numId="5" w16cid:durableId="1078557970">
    <w:abstractNumId w:val="9"/>
    <w:lvlOverride w:ilvl="0">
      <w:lvl w:ilvl="0">
        <w:numFmt w:val="decimal"/>
        <w:lvlText w:val="%1."/>
        <w:lvlJc w:val="left"/>
      </w:lvl>
    </w:lvlOverride>
  </w:num>
  <w:num w:numId="6" w16cid:durableId="2041735916">
    <w:abstractNumId w:val="0"/>
    <w:lvlOverride w:ilvl="0">
      <w:lvl w:ilvl="0">
        <w:numFmt w:val="decimal"/>
        <w:lvlText w:val="%1."/>
        <w:lvlJc w:val="left"/>
      </w:lvl>
    </w:lvlOverride>
  </w:num>
  <w:num w:numId="7" w16cid:durableId="1557163473">
    <w:abstractNumId w:val="5"/>
    <w:lvlOverride w:ilvl="0">
      <w:lvl w:ilvl="0">
        <w:numFmt w:val="decimal"/>
        <w:lvlText w:val="%1."/>
        <w:lvlJc w:val="left"/>
      </w:lvl>
    </w:lvlOverride>
  </w:num>
  <w:num w:numId="8" w16cid:durableId="1188639240">
    <w:abstractNumId w:val="10"/>
    <w:lvlOverride w:ilvl="0">
      <w:lvl w:ilvl="0">
        <w:numFmt w:val="decimal"/>
        <w:lvlText w:val="%1."/>
        <w:lvlJc w:val="left"/>
      </w:lvl>
    </w:lvlOverride>
  </w:num>
  <w:num w:numId="9" w16cid:durableId="795173266">
    <w:abstractNumId w:val="3"/>
    <w:lvlOverride w:ilvl="0">
      <w:lvl w:ilvl="0">
        <w:numFmt w:val="decimal"/>
        <w:lvlText w:val="%1."/>
        <w:lvlJc w:val="left"/>
      </w:lvl>
    </w:lvlOverride>
  </w:num>
  <w:num w:numId="10" w16cid:durableId="1932347979">
    <w:abstractNumId w:val="6"/>
    <w:lvlOverride w:ilvl="0">
      <w:lvl w:ilvl="0">
        <w:numFmt w:val="decimal"/>
        <w:lvlText w:val="%1."/>
        <w:lvlJc w:val="left"/>
      </w:lvl>
    </w:lvlOverride>
  </w:num>
  <w:num w:numId="11" w16cid:durableId="291178976">
    <w:abstractNumId w:val="7"/>
    <w:lvlOverride w:ilvl="0">
      <w:lvl w:ilvl="0">
        <w:numFmt w:val="decimal"/>
        <w:lvlText w:val="%1."/>
        <w:lvlJc w:val="left"/>
      </w:lvl>
    </w:lvlOverride>
  </w:num>
  <w:num w:numId="12" w16cid:durableId="143083999">
    <w:abstractNumId w:val="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F68"/>
    <w:rsid w:val="000B2285"/>
    <w:rsid w:val="00173F68"/>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2938F9A"/>
  <w14:defaultImageDpi w14:val="32767"/>
  <w15:chartTrackingRefBased/>
  <w15:docId w15:val="{898E945C-B064-EB4C-B5B0-2279DED84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73F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73F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73F6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73F6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73F6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73F6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73F6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73F6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73F6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73F6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73F6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73F6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73F6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73F6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73F6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73F6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73F6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73F68"/>
    <w:rPr>
      <w:rFonts w:eastAsiaTheme="majorEastAsia" w:cstheme="majorBidi"/>
      <w:color w:val="272727" w:themeColor="text1" w:themeTint="D8"/>
    </w:rPr>
  </w:style>
  <w:style w:type="paragraph" w:styleId="Ttulo">
    <w:name w:val="Title"/>
    <w:basedOn w:val="Normal"/>
    <w:next w:val="Normal"/>
    <w:link w:val="TtuloCar"/>
    <w:uiPriority w:val="10"/>
    <w:qFormat/>
    <w:rsid w:val="00173F6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73F6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73F6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73F6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73F6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73F68"/>
    <w:rPr>
      <w:i/>
      <w:iCs/>
      <w:color w:val="404040" w:themeColor="text1" w:themeTint="BF"/>
    </w:rPr>
  </w:style>
  <w:style w:type="paragraph" w:styleId="Prrafodelista">
    <w:name w:val="List Paragraph"/>
    <w:basedOn w:val="Normal"/>
    <w:uiPriority w:val="34"/>
    <w:qFormat/>
    <w:rsid w:val="00173F68"/>
    <w:pPr>
      <w:ind w:left="720"/>
      <w:contextualSpacing/>
    </w:pPr>
  </w:style>
  <w:style w:type="character" w:styleId="nfasisintenso">
    <w:name w:val="Intense Emphasis"/>
    <w:basedOn w:val="Fuentedeprrafopredeter"/>
    <w:uiPriority w:val="21"/>
    <w:qFormat/>
    <w:rsid w:val="00173F68"/>
    <w:rPr>
      <w:i/>
      <w:iCs/>
      <w:color w:val="2F5496" w:themeColor="accent1" w:themeShade="BF"/>
    </w:rPr>
  </w:style>
  <w:style w:type="paragraph" w:styleId="Citadestacada">
    <w:name w:val="Intense Quote"/>
    <w:basedOn w:val="Normal"/>
    <w:next w:val="Normal"/>
    <w:link w:val="CitadestacadaCar"/>
    <w:uiPriority w:val="30"/>
    <w:qFormat/>
    <w:rsid w:val="00173F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73F68"/>
    <w:rPr>
      <w:i/>
      <w:iCs/>
      <w:color w:val="2F5496" w:themeColor="accent1" w:themeShade="BF"/>
    </w:rPr>
  </w:style>
  <w:style w:type="character" w:styleId="Referenciaintensa">
    <w:name w:val="Intense Reference"/>
    <w:basedOn w:val="Fuentedeprrafopredeter"/>
    <w:uiPriority w:val="32"/>
    <w:qFormat/>
    <w:rsid w:val="00173F68"/>
    <w:rPr>
      <w:b/>
      <w:bCs/>
      <w:smallCaps/>
      <w:color w:val="2F5496" w:themeColor="accent1" w:themeShade="BF"/>
      <w:spacing w:val="5"/>
    </w:rPr>
  </w:style>
  <w:style w:type="paragraph" w:styleId="NormalWeb">
    <w:name w:val="Normal (Web)"/>
    <w:basedOn w:val="Normal"/>
    <w:uiPriority w:val="99"/>
    <w:semiHidden/>
    <w:unhideWhenUsed/>
    <w:rsid w:val="00173F6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73F68"/>
  </w:style>
  <w:style w:type="character" w:styleId="Hipervnculo">
    <w:name w:val="Hyperlink"/>
    <w:basedOn w:val="Fuentedeprrafopredeter"/>
    <w:uiPriority w:val="99"/>
    <w:semiHidden/>
    <w:unhideWhenUsed/>
    <w:rsid w:val="00173F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766</Words>
  <Characters>4214</Characters>
  <Application>Microsoft Office Word</Application>
  <DocSecurity>0</DocSecurity>
  <Lines>35</Lines>
  <Paragraphs>9</Paragraphs>
  <ScaleCrop>false</ScaleCrop>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2025-12-19T17:53:00Z</dcterms:created>
  <dcterms:modified xsi:type="dcterms:W3CDTF">2025-12-19T17:54:00Z</dcterms:modified>
</cp:coreProperties>
</file>