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1191F9A"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b/>
          <w:bCs/>
          <w:color w:val="000000"/>
          <w:kern w:val="0"/>
          <w:lang w:val="es-CO" w:eastAsia="es-MX"/>
          <w14:ligatures w14:val="none"/>
        </w:rPr>
        <w:t>CONCEPTO DIAN 1815 DEL 4 DE NOVIEMBRE DE 2025</w:t>
      </w:r>
    </w:p>
    <w:p w14:paraId="2BDE3788"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b/>
          <w:bCs/>
          <w:color w:val="000000"/>
          <w:kern w:val="0"/>
          <w:lang w:val="es-CO" w:eastAsia="es-MX"/>
          <w14:ligatures w14:val="none"/>
        </w:rPr>
        <w:t>DIRECCIÓN DE IMPUESTOS Y ADUANAS NACIONALES</w:t>
      </w:r>
    </w:p>
    <w:p w14:paraId="0705150E" w14:textId="77777777" w:rsidR="001D1E0D" w:rsidRPr="001D1E0D" w:rsidRDefault="001D1E0D" w:rsidP="001D1E0D">
      <w:pPr>
        <w:rPr>
          <w:rFonts w:ascii="Times New Roman" w:eastAsia="Times New Roman" w:hAnsi="Times New Roman" w:cs="Times New Roman"/>
          <w:kern w:val="0"/>
          <w:lang w:val="es-CO" w:eastAsia="es-MX"/>
          <w14:ligatures w14:val="none"/>
        </w:rPr>
      </w:pPr>
    </w:p>
    <w:p w14:paraId="690579D9"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color w:val="000000"/>
          <w:kern w:val="0"/>
          <w:lang w:val="es-CO" w:eastAsia="es-MX"/>
          <w14:ligatures w14:val="none"/>
        </w:rPr>
        <w:t>Bogotá D.C.,</w:t>
      </w:r>
    </w:p>
    <w:p w14:paraId="122069C7" w14:textId="77777777" w:rsidR="001D1E0D" w:rsidRPr="001D1E0D" w:rsidRDefault="001D1E0D" w:rsidP="001D1E0D">
      <w:pPr>
        <w:rPr>
          <w:rFonts w:ascii="Times New Roman" w:eastAsia="Times New Roman" w:hAnsi="Times New Roman" w:cs="Times New Roman"/>
          <w:kern w:val="0"/>
          <w:lang w:val="es-CO" w:eastAsia="es-MX"/>
          <w14:ligatures w14:val="none"/>
        </w:rPr>
      </w:pPr>
    </w:p>
    <w:p w14:paraId="0086B902"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b/>
          <w:bCs/>
          <w:color w:val="000000"/>
          <w:kern w:val="0"/>
          <w:lang w:val="es-CO" w:eastAsia="es-MX"/>
          <w14:ligatures w14:val="none"/>
        </w:rPr>
        <w:t>Tema:</w:t>
      </w:r>
      <w:r w:rsidRPr="001D1E0D">
        <w:rPr>
          <w:rFonts w:ascii="Verdana" w:eastAsia="Times New Roman" w:hAnsi="Verdana" w:cs="Times New Roman"/>
          <w:b/>
          <w:bCs/>
          <w:color w:val="000000"/>
          <w:kern w:val="0"/>
          <w:lang w:val="es-CO" w:eastAsia="es-MX"/>
          <w14:ligatures w14:val="none"/>
        </w:rPr>
        <w:tab/>
      </w:r>
      <w:r w:rsidRPr="001D1E0D">
        <w:rPr>
          <w:rFonts w:ascii="Verdana" w:eastAsia="Times New Roman" w:hAnsi="Verdana" w:cs="Times New Roman"/>
          <w:b/>
          <w:bCs/>
          <w:color w:val="000000"/>
          <w:kern w:val="0"/>
          <w:lang w:val="es-CO" w:eastAsia="es-MX"/>
          <w14:ligatures w14:val="none"/>
        </w:rPr>
        <w:tab/>
      </w:r>
      <w:r w:rsidRPr="001D1E0D">
        <w:rPr>
          <w:rFonts w:ascii="Verdana" w:eastAsia="Times New Roman" w:hAnsi="Verdana" w:cs="Times New Roman"/>
          <w:b/>
          <w:bCs/>
          <w:color w:val="000000"/>
          <w:kern w:val="0"/>
          <w:lang w:val="es-CO" w:eastAsia="es-MX"/>
          <w14:ligatures w14:val="none"/>
        </w:rPr>
        <w:tab/>
      </w:r>
      <w:r w:rsidRPr="001D1E0D">
        <w:rPr>
          <w:rFonts w:ascii="Verdana" w:eastAsia="Times New Roman" w:hAnsi="Verdana" w:cs="Times New Roman"/>
          <w:color w:val="000000"/>
          <w:kern w:val="0"/>
          <w:lang w:val="es-CO" w:eastAsia="es-MX"/>
          <w14:ligatures w14:val="none"/>
        </w:rPr>
        <w:t>Procedimiento Tributario</w:t>
      </w:r>
    </w:p>
    <w:p w14:paraId="4B7440AA"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b/>
          <w:bCs/>
          <w:color w:val="000000"/>
          <w:kern w:val="0"/>
          <w:lang w:val="es-CO" w:eastAsia="es-MX"/>
          <w14:ligatures w14:val="none"/>
        </w:rPr>
        <w:t>Descriptores:</w:t>
      </w:r>
      <w:r w:rsidRPr="001D1E0D">
        <w:rPr>
          <w:rFonts w:ascii="Verdana" w:eastAsia="Times New Roman" w:hAnsi="Verdana" w:cs="Times New Roman"/>
          <w:b/>
          <w:bCs/>
          <w:color w:val="000000"/>
          <w:kern w:val="0"/>
          <w:lang w:val="es-CO" w:eastAsia="es-MX"/>
          <w14:ligatures w14:val="none"/>
        </w:rPr>
        <w:tab/>
      </w:r>
      <w:r w:rsidRPr="001D1E0D">
        <w:rPr>
          <w:rFonts w:ascii="Verdana" w:eastAsia="Times New Roman" w:hAnsi="Verdana" w:cs="Times New Roman"/>
          <w:b/>
          <w:bCs/>
          <w:color w:val="000000"/>
          <w:kern w:val="0"/>
          <w:lang w:val="es-CO" w:eastAsia="es-MX"/>
          <w14:ligatures w14:val="none"/>
        </w:rPr>
        <w:tab/>
      </w:r>
      <w:r w:rsidRPr="001D1E0D">
        <w:rPr>
          <w:rFonts w:ascii="Verdana" w:eastAsia="Times New Roman" w:hAnsi="Verdana" w:cs="Times New Roman"/>
          <w:color w:val="000000"/>
          <w:kern w:val="0"/>
          <w:lang w:val="es-CO" w:eastAsia="es-MX"/>
          <w14:ligatures w14:val="none"/>
        </w:rPr>
        <w:t>Principio de favorabilidad</w:t>
      </w:r>
    </w:p>
    <w:p w14:paraId="45E1A9C7" w14:textId="77777777" w:rsidR="001D1E0D" w:rsidRPr="001D1E0D" w:rsidRDefault="001D1E0D" w:rsidP="001D1E0D">
      <w:pPr>
        <w:ind w:left="2160" w:firstLine="720"/>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color w:val="000000"/>
          <w:kern w:val="0"/>
          <w:lang w:val="es-CO" w:eastAsia="es-MX"/>
          <w14:ligatures w14:val="none"/>
        </w:rPr>
        <w:t>Procedimiento de cobro coactivo</w:t>
      </w:r>
    </w:p>
    <w:p w14:paraId="7D3B0B6F" w14:textId="77777777" w:rsidR="001D1E0D" w:rsidRPr="001D1E0D" w:rsidRDefault="001D1E0D" w:rsidP="001D1E0D">
      <w:pPr>
        <w:ind w:left="2160" w:firstLine="720"/>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color w:val="000000"/>
          <w:kern w:val="0"/>
          <w:lang w:val="es-CO" w:eastAsia="es-MX"/>
          <w14:ligatures w14:val="none"/>
        </w:rPr>
        <w:t>Títulos de depósito judicial</w:t>
      </w:r>
    </w:p>
    <w:p w14:paraId="5D32A0DA"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b/>
          <w:bCs/>
          <w:color w:val="000000"/>
          <w:kern w:val="0"/>
          <w:lang w:val="es-CO" w:eastAsia="es-MX"/>
          <w14:ligatures w14:val="none"/>
        </w:rPr>
        <w:t>Fuentes formales:</w:t>
      </w:r>
      <w:r w:rsidRPr="001D1E0D">
        <w:rPr>
          <w:rFonts w:ascii="Verdana" w:eastAsia="Times New Roman" w:hAnsi="Verdana" w:cs="Times New Roman"/>
          <w:b/>
          <w:bCs/>
          <w:color w:val="000000"/>
          <w:kern w:val="0"/>
          <w:lang w:val="es-CO" w:eastAsia="es-MX"/>
          <w14:ligatures w14:val="none"/>
        </w:rPr>
        <w:tab/>
      </w:r>
      <w:r w:rsidRPr="001D1E0D">
        <w:rPr>
          <w:rFonts w:ascii="Verdana" w:eastAsia="Times New Roman" w:hAnsi="Verdana" w:cs="Times New Roman"/>
          <w:color w:val="000000"/>
          <w:kern w:val="0"/>
          <w:lang w:val="es-CO" w:eastAsia="es-MX"/>
          <w14:ligatures w14:val="none"/>
        </w:rPr>
        <w:t>Artículos 837, 838 y 839-1 del Estatuto Tributario.</w:t>
      </w:r>
    </w:p>
    <w:p w14:paraId="7A51AAE0" w14:textId="77777777" w:rsidR="001D1E0D" w:rsidRPr="001D1E0D" w:rsidRDefault="001D1E0D" w:rsidP="001D1E0D">
      <w:pPr>
        <w:rPr>
          <w:rFonts w:ascii="Times New Roman" w:eastAsia="Times New Roman" w:hAnsi="Times New Roman" w:cs="Times New Roman"/>
          <w:kern w:val="0"/>
          <w:lang w:val="es-CO" w:eastAsia="es-MX"/>
          <w14:ligatures w14:val="none"/>
        </w:rPr>
      </w:pPr>
    </w:p>
    <w:p w14:paraId="2A1551DB"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color w:val="000000"/>
          <w:kern w:val="0"/>
          <w:lang w:val="es-CO" w:eastAsia="es-MX"/>
          <w14:ligatures w14:val="none"/>
        </w:rPr>
        <w:t>Cordial saludo</w:t>
      </w:r>
    </w:p>
    <w:p w14:paraId="0EF2096A"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765FEC97" w14:textId="77777777" w:rsidR="001D1E0D" w:rsidRPr="001D1E0D" w:rsidRDefault="001D1E0D" w:rsidP="001D1E0D">
      <w:pPr>
        <w:numPr>
          <w:ilvl w:val="0"/>
          <w:numId w:val="1"/>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Esta Subdirección está facultada para absolver las consultas escritas, presentadas de manera general, sobre la interpretación y aplicación de las normas tributarias, aduaneras y de fiscalización cambiaria, en lo de competencia de la DIAN. En este sentido, la doctrina emitida será de carácter general, no se referirá a asuntos particulares y se someterá a lo consagrado en el artículo 131 de la Ley 2010 de 2019.</w:t>
      </w:r>
    </w:p>
    <w:p w14:paraId="590448D3" w14:textId="77777777" w:rsidR="001D1E0D" w:rsidRPr="001D1E0D" w:rsidRDefault="001D1E0D" w:rsidP="001D1E0D">
      <w:pPr>
        <w:rPr>
          <w:rFonts w:ascii="Times New Roman" w:eastAsia="Times New Roman" w:hAnsi="Times New Roman" w:cs="Times New Roman"/>
          <w:kern w:val="0"/>
          <w:lang w:val="es-CO" w:eastAsia="es-MX"/>
          <w14:ligatures w14:val="none"/>
        </w:rPr>
      </w:pPr>
    </w:p>
    <w:p w14:paraId="146ABD1E"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b/>
          <w:bCs/>
          <w:color w:val="000000"/>
          <w:kern w:val="0"/>
          <w:lang w:val="es-CO" w:eastAsia="es-MX"/>
          <w14:ligatures w14:val="none"/>
        </w:rPr>
        <w:t>PROBLEMA JURÍDICO.</w:t>
      </w:r>
    </w:p>
    <w:p w14:paraId="5DE5E20B"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571D9809" w14:textId="77777777" w:rsidR="001D1E0D" w:rsidRPr="001D1E0D" w:rsidRDefault="001D1E0D" w:rsidP="001D1E0D">
      <w:pPr>
        <w:numPr>
          <w:ilvl w:val="0"/>
          <w:numId w:val="2"/>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En el marco de la aplicación del principio de favorabilidad durante la etapa de cobro coactivo ¿la aplicación de títulos de depósitos judiciales a las obligaciones sometidas a dicho proceso de cobro puede entenderse como pago efectivo de la obligación, de tal forma que excluya la procedencia de aquel principio?</w:t>
      </w:r>
    </w:p>
    <w:p w14:paraId="255E7B85" w14:textId="77777777" w:rsidR="001D1E0D" w:rsidRPr="001D1E0D" w:rsidRDefault="001D1E0D" w:rsidP="001D1E0D">
      <w:pPr>
        <w:rPr>
          <w:rFonts w:ascii="Times New Roman" w:eastAsia="Times New Roman" w:hAnsi="Times New Roman" w:cs="Times New Roman"/>
          <w:kern w:val="0"/>
          <w:lang w:val="es-CO" w:eastAsia="es-MX"/>
          <w14:ligatures w14:val="none"/>
        </w:rPr>
      </w:pPr>
    </w:p>
    <w:p w14:paraId="34B56686"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b/>
          <w:bCs/>
          <w:color w:val="000000"/>
          <w:kern w:val="0"/>
          <w:lang w:val="es-CO" w:eastAsia="es-MX"/>
          <w14:ligatures w14:val="none"/>
        </w:rPr>
        <w:t>TESIS JURÍDICA.</w:t>
      </w:r>
    </w:p>
    <w:p w14:paraId="2E2AE7EA"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3F0FCF8E" w14:textId="77777777" w:rsidR="001D1E0D" w:rsidRPr="001D1E0D" w:rsidRDefault="001D1E0D" w:rsidP="001D1E0D">
      <w:pPr>
        <w:numPr>
          <w:ilvl w:val="0"/>
          <w:numId w:val="3"/>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Sí. La imputación de títulos de depósitos judiciales a las obligaciones sometidas a cobro coactivo constituye una forma de pago efectivo. Tal imputación consolida la situación jurídica al entenderse cumplida la sanción y, por ende, limita la aplicación del principio de favorabilidad.</w:t>
      </w:r>
    </w:p>
    <w:p w14:paraId="5C9A425E" w14:textId="77777777" w:rsidR="001D1E0D" w:rsidRPr="001D1E0D" w:rsidRDefault="001D1E0D" w:rsidP="001D1E0D">
      <w:pPr>
        <w:rPr>
          <w:rFonts w:ascii="Times New Roman" w:eastAsia="Times New Roman" w:hAnsi="Times New Roman" w:cs="Times New Roman"/>
          <w:kern w:val="0"/>
          <w:lang w:val="es-CO" w:eastAsia="es-MX"/>
          <w14:ligatures w14:val="none"/>
        </w:rPr>
      </w:pPr>
    </w:p>
    <w:p w14:paraId="24F0EA70"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b/>
          <w:bCs/>
          <w:color w:val="000000"/>
          <w:kern w:val="0"/>
          <w:lang w:val="es-CO" w:eastAsia="es-MX"/>
          <w14:ligatures w14:val="none"/>
        </w:rPr>
        <w:t>FUNDAMENTACIÓN.</w:t>
      </w:r>
    </w:p>
    <w:p w14:paraId="495E9FCE"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4E2588DD" w14:textId="77777777" w:rsidR="001D1E0D" w:rsidRPr="001D1E0D" w:rsidRDefault="001D1E0D" w:rsidP="001D1E0D">
      <w:pPr>
        <w:numPr>
          <w:ilvl w:val="0"/>
          <w:numId w:val="4"/>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 xml:space="preserve">El artículo 837 del Estatuto Tributario (en adelante, E.T.) señala que el funcionario ejecutor podrá decretar, de manera previa o simultánea al mandamiento de pago, el embargo y secuestro preventivo de bienes del </w:t>
      </w:r>
      <w:r w:rsidRPr="001D1E0D">
        <w:rPr>
          <w:rFonts w:ascii="Verdana" w:eastAsia="Times New Roman" w:hAnsi="Verdana" w:cs="Times New Roman"/>
          <w:color w:val="000000"/>
          <w:kern w:val="0"/>
          <w:lang w:val="es-CO" w:eastAsia="es-MX"/>
          <w14:ligatures w14:val="none"/>
        </w:rPr>
        <w:lastRenderedPageBreak/>
        <w:t xml:space="preserve">deudor, con los límites del artículo 838 </w:t>
      </w:r>
      <w:proofErr w:type="spellStart"/>
      <w:r w:rsidRPr="001D1E0D">
        <w:rPr>
          <w:rFonts w:ascii="Verdana" w:eastAsia="Times New Roman" w:hAnsi="Verdana" w:cs="Times New Roman"/>
          <w:i/>
          <w:iCs/>
          <w:color w:val="000000"/>
          <w:kern w:val="0"/>
          <w:lang w:val="es-CO" w:eastAsia="es-MX"/>
          <w14:ligatures w14:val="none"/>
        </w:rPr>
        <w:t>ibídem</w:t>
      </w:r>
      <w:proofErr w:type="spellEnd"/>
      <w:r w:rsidRPr="001D1E0D">
        <w:rPr>
          <w:rFonts w:ascii="Verdana" w:eastAsia="Times New Roman" w:hAnsi="Verdana" w:cs="Times New Roman"/>
          <w:i/>
          <w:iCs/>
          <w:color w:val="000000"/>
          <w:kern w:val="0"/>
          <w:lang w:val="es-CO" w:eastAsia="es-MX"/>
          <w14:ligatures w14:val="none"/>
        </w:rPr>
        <w:t xml:space="preserve"> </w:t>
      </w:r>
      <w:r w:rsidRPr="001D1E0D">
        <w:rPr>
          <w:rFonts w:ascii="Verdana" w:eastAsia="Times New Roman" w:hAnsi="Verdana" w:cs="Times New Roman"/>
          <w:color w:val="000000"/>
          <w:kern w:val="0"/>
          <w:lang w:val="es-CO" w:eastAsia="es-MX"/>
          <w14:ligatures w14:val="none"/>
        </w:rPr>
        <w:t>(</w:t>
      </w:r>
      <w:proofErr w:type="spellStart"/>
      <w:r w:rsidRPr="001D1E0D">
        <w:rPr>
          <w:rFonts w:ascii="Verdana" w:eastAsia="Times New Roman" w:hAnsi="Verdana" w:cs="Times New Roman"/>
          <w:color w:val="000000"/>
          <w:kern w:val="0"/>
          <w:lang w:val="es-CO" w:eastAsia="es-MX"/>
          <w14:ligatures w14:val="none"/>
        </w:rPr>
        <w:t>e.g</w:t>
      </w:r>
      <w:proofErr w:type="spellEnd"/>
      <w:r w:rsidRPr="001D1E0D">
        <w:rPr>
          <w:rFonts w:ascii="Verdana" w:eastAsia="Times New Roman" w:hAnsi="Verdana" w:cs="Times New Roman"/>
          <w:color w:val="000000"/>
          <w:kern w:val="0"/>
          <w:lang w:val="es-CO" w:eastAsia="es-MX"/>
          <w14:ligatures w14:val="none"/>
        </w:rPr>
        <w:t>., inembargabilidad parcial de cuentas de ahorro hasta veinticinco (25) SMMLV). Como ha explicado la Corte Constitucional, la finalidad de estas medidas es impedir que el deudor oculte o transfiera bienes en fraude de sus acreedores.</w:t>
      </w:r>
    </w:p>
    <w:p w14:paraId="110056C3"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550D2D76" w14:textId="77777777" w:rsidR="001D1E0D" w:rsidRPr="001D1E0D" w:rsidRDefault="001D1E0D" w:rsidP="001D1E0D">
      <w:pPr>
        <w:numPr>
          <w:ilvl w:val="0"/>
          <w:numId w:val="5"/>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Frente a los saldos bancarios, depósitos de ahorro, títulos de contenido crediticio y demás valores de que sea titular o beneficiario el contribuyente deudor, el artículo 839-1 del E.T. establece que su embargo impone a la entidad financiera el deber de retenerlos y consignarlos, a más tardar el día hábil siguiente, en la cuenta de depósitos indicada en el Banco Agrario, o de informar la inexistencia de fondos. Con la consignación se origina el título de depósito judicial, que incorpora la suma retenida y que es susceptible de endoso, fraccionamiento y/o aplicación a la deuda.</w:t>
      </w:r>
    </w:p>
    <w:p w14:paraId="7595F1AA"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1464F2E2" w14:textId="77777777" w:rsidR="001D1E0D" w:rsidRPr="001D1E0D" w:rsidRDefault="001D1E0D" w:rsidP="001D1E0D">
      <w:pPr>
        <w:numPr>
          <w:ilvl w:val="0"/>
          <w:numId w:val="6"/>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La aplicación del depósito judicial, conforme con el procedimiento PR-COT-0275 «Gestión y administración de depósitos judiciales», implica el diligenciamiento de los recibos oficiales de pago con los valores retenidos y que constan a ordenes de la entidad en la cuenta del Banco Agrario. Para que dicha aplicación proceda, la entidad debe contar con: (i) autorización escrita por parte del deudor para aplicarlo; o (</w:t>
      </w:r>
      <w:proofErr w:type="spellStart"/>
      <w:r w:rsidRPr="001D1E0D">
        <w:rPr>
          <w:rFonts w:ascii="Verdana" w:eastAsia="Times New Roman" w:hAnsi="Verdana" w:cs="Times New Roman"/>
          <w:color w:val="000000"/>
          <w:kern w:val="0"/>
          <w:lang w:val="es-CO" w:eastAsia="es-MX"/>
          <w14:ligatures w14:val="none"/>
        </w:rPr>
        <w:t>ii</w:t>
      </w:r>
      <w:proofErr w:type="spellEnd"/>
      <w:r w:rsidRPr="001D1E0D">
        <w:rPr>
          <w:rFonts w:ascii="Verdana" w:eastAsia="Times New Roman" w:hAnsi="Verdana" w:cs="Times New Roman"/>
          <w:color w:val="000000"/>
          <w:kern w:val="0"/>
          <w:lang w:val="es-CO" w:eastAsia="es-MX"/>
          <w14:ligatures w14:val="none"/>
        </w:rPr>
        <w:t>) con la resolución que ordena seguir adelante la ejecución y la liquidación del crédito y las costas, debidamente ejecutoriadas.</w:t>
      </w:r>
    </w:p>
    <w:p w14:paraId="7FC67FC5"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7D20A731" w14:textId="77777777" w:rsidR="001D1E0D" w:rsidRPr="001D1E0D" w:rsidRDefault="001D1E0D" w:rsidP="001D1E0D">
      <w:pPr>
        <w:numPr>
          <w:ilvl w:val="0"/>
          <w:numId w:val="7"/>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Una vez cumplidos estos requisitos, los dineros embargados dejan de tener la calidad de depósito y se imputan directamente a la obligación fiscal, lo que constituye jurídicamente un pago efectivo. En consecuencia, cuando el monto aplicado cubre la totalidad de la deuda, se entiende extinguida la obligación principal, consolidando así la situación jurídica del contribuyente.</w:t>
      </w:r>
    </w:p>
    <w:p w14:paraId="68BB01F4"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6946D0EB" w14:textId="77777777" w:rsidR="001D1E0D" w:rsidRPr="001D1E0D" w:rsidRDefault="001D1E0D" w:rsidP="001D1E0D">
      <w:pPr>
        <w:numPr>
          <w:ilvl w:val="0"/>
          <w:numId w:val="8"/>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Esta interpretación ha sido reiterada por la doctrina de la entidad, en el sentido de que, mientras los títulos de depósito judicial no sean efectivamente aplicados a la obligación, los dineros retenidos y consignados en la cuenta de depósitos judiciales del Banco Agrario no pueden entenderse como ingresados «a las oficinas de impuestos nacionales» ni a los bancos autorizados, en los términos del artículo 803 del E.T. Por ende, la obligación fiscal en cobro solo se entiende satisfecha a partir de la aplicación del depósito, momento en el cual se tiene por cumplida la sanción.</w:t>
      </w:r>
    </w:p>
    <w:p w14:paraId="5CC9BB0F"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lastRenderedPageBreak/>
        <w:br/>
      </w:r>
    </w:p>
    <w:p w14:paraId="421A19AC" w14:textId="77777777" w:rsidR="001D1E0D" w:rsidRPr="001D1E0D" w:rsidRDefault="001D1E0D" w:rsidP="001D1E0D">
      <w:pPr>
        <w:numPr>
          <w:ilvl w:val="0"/>
          <w:numId w:val="9"/>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Lo anterior adquiere especial relevancia frente al principio de favorabilidad, reconocido por la Corte Constitucional como un principio rector del derecho sancionador, de aplicación inmediata y preferente, cuyo carácter absoluto impide su desconocimiento y asegura su primacía sobre cualquier disposición que pretenda restringirlo o limitarlo.</w:t>
      </w:r>
    </w:p>
    <w:p w14:paraId="7E57B28C"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0569A79D" w14:textId="77777777" w:rsidR="001D1E0D" w:rsidRPr="001D1E0D" w:rsidRDefault="001D1E0D" w:rsidP="001D1E0D">
      <w:pPr>
        <w:numPr>
          <w:ilvl w:val="0"/>
          <w:numId w:val="10"/>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Dichas características lo erigen en presupuesto indispensable para la aplicación de la norma, sea esta de naturaleza sustantiva o procesal, y han permitido su extensión a escenarios no previstos de manera expresa por el legislador, como el procedimiento de cobro coactivo. No obstante, en el asunto bajo análisis, la aplicación absoluta del principio encuentra una limitación legítima en la consolidación jurídica derivada del pago efectivo de la obligación.</w:t>
      </w:r>
    </w:p>
    <w:p w14:paraId="414FE42A"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30F0E697" w14:textId="77777777" w:rsidR="001D1E0D" w:rsidRPr="001D1E0D" w:rsidRDefault="001D1E0D" w:rsidP="001D1E0D">
      <w:pPr>
        <w:numPr>
          <w:ilvl w:val="0"/>
          <w:numId w:val="11"/>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En efecto, como lo ha precisado la jurisprudencia de la Corte Constitucional, el principio de favorabilidad opera en escenarios de sucesión normativa en los que una disposición posterior resulta más benigna que la anterior. Esta excepción al principio general de irretroactividad de la ley, sin embargo, encuentra un límite en el respeto de las situaciones jurídicas consolidadas, las cuales no pueden ser alteradas sin afectar la seguridad jurídica. En esa misma línea, el Consejo de Estado ha señalado que, tratándose de sanciones pecuniarias, el pago —ya sea voluntario o coercitivo— constituye el cumplimiento de la sanción, consolidando la situación jurídica e impidiendo la aplicación retroactiva de un régimen sancionatorio más favorable.</w:t>
      </w:r>
    </w:p>
    <w:p w14:paraId="24CB05B3"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1BA66B83" w14:textId="77777777" w:rsidR="001D1E0D" w:rsidRPr="001D1E0D" w:rsidRDefault="001D1E0D" w:rsidP="001D1E0D">
      <w:pPr>
        <w:numPr>
          <w:ilvl w:val="0"/>
          <w:numId w:val="12"/>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En ese sentido, una interpretación integral y sistemática de lo expuesto permite concluir que la aplicación de títulos de depósitos judiciales —ya sea mediante autorización expresa del contribuyente o por decisión administrativa debidamente ejecutoriada— constituye un pago efectivo de la obligación pecuniaria. Esta aplicación no solo extingue la obligación principal cuando cubre la totalidad de la deuda, sino que además consolida la situación jurídica del contribuyente, limitando la aplicación del principio de favorabilidad.</w:t>
      </w:r>
    </w:p>
    <w:p w14:paraId="5A773F01"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2BB8EEF8" w14:textId="77777777" w:rsidR="001D1E0D" w:rsidRPr="001D1E0D" w:rsidRDefault="001D1E0D" w:rsidP="001D1E0D">
      <w:pPr>
        <w:numPr>
          <w:ilvl w:val="0"/>
          <w:numId w:val="13"/>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 xml:space="preserve">Para evitar que la aplicación de los títulos de depósito judicial consolide la situación jurídica e imposibilite la materialización del principio de favorabilidad, esta entidad, en el Concepto No. 006041 de 2025, precisó que la solicitud para materializar dicho principio en la etapa de </w:t>
      </w:r>
      <w:r w:rsidRPr="001D1E0D">
        <w:rPr>
          <w:rFonts w:ascii="Verdana" w:eastAsia="Times New Roman" w:hAnsi="Verdana" w:cs="Times New Roman"/>
          <w:color w:val="000000"/>
          <w:kern w:val="0"/>
          <w:lang w:val="es-CO" w:eastAsia="es-MX"/>
          <w14:ligatures w14:val="none"/>
        </w:rPr>
        <w:lastRenderedPageBreak/>
        <w:t>cobro coactivo debe formularse con anterioridad a su aplicación. De esta manera, se garantiza la prevalencia del principio de favorabilidad sobre el régimen sancionatorio más gravoso, siempre que se cumplan los presupuestos materiales para su procedencia.</w:t>
      </w:r>
    </w:p>
    <w:p w14:paraId="70B45F41"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52B74589" w14:textId="77777777" w:rsidR="001D1E0D" w:rsidRPr="001D1E0D" w:rsidRDefault="001D1E0D" w:rsidP="001D1E0D">
      <w:pPr>
        <w:numPr>
          <w:ilvl w:val="0"/>
          <w:numId w:val="14"/>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En conclusión, la aplicación de títulos de depósitos judiciales en la etapa de cobro coactivo constituye una forma de pago efectivo que, cuando cubre la totalidad de la obligación, consolida la situación jurídica del contribuyente. En consecuencia, una vez realizada dicha aplicación de títulos de depósitos judiciales, no procede el estudio del principio de favorabilidad.</w:t>
      </w:r>
    </w:p>
    <w:p w14:paraId="5BF37B73" w14:textId="77777777" w:rsidR="001D1E0D" w:rsidRPr="001D1E0D" w:rsidRDefault="001D1E0D" w:rsidP="001D1E0D">
      <w:pPr>
        <w:rPr>
          <w:rFonts w:ascii="Times New Roman" w:eastAsia="Times New Roman" w:hAnsi="Times New Roman" w:cs="Times New Roman"/>
          <w:kern w:val="0"/>
          <w:lang w:val="es-CO" w:eastAsia="es-MX"/>
          <w14:ligatures w14:val="none"/>
        </w:rPr>
      </w:pPr>
      <w:r w:rsidRPr="001D1E0D">
        <w:rPr>
          <w:rFonts w:ascii="Times New Roman" w:eastAsia="Times New Roman" w:hAnsi="Times New Roman" w:cs="Times New Roman"/>
          <w:kern w:val="0"/>
          <w:lang w:val="es-CO" w:eastAsia="es-MX"/>
          <w14:ligatures w14:val="none"/>
        </w:rPr>
        <w:br/>
      </w:r>
    </w:p>
    <w:p w14:paraId="26D3CD16" w14:textId="77777777" w:rsidR="001D1E0D" w:rsidRPr="001D1E0D" w:rsidRDefault="001D1E0D" w:rsidP="001D1E0D">
      <w:pPr>
        <w:numPr>
          <w:ilvl w:val="0"/>
          <w:numId w:val="15"/>
        </w:numPr>
        <w:jc w:val="both"/>
        <w:textAlignment w:val="baseline"/>
        <w:rPr>
          <w:rFonts w:ascii="Verdana" w:eastAsia="Times New Roman" w:hAnsi="Verdana" w:cs="Times New Roman"/>
          <w:color w:val="000000"/>
          <w:kern w:val="0"/>
          <w:lang w:val="es-CO" w:eastAsia="es-MX"/>
          <w14:ligatures w14:val="none"/>
        </w:rPr>
      </w:pPr>
      <w:r w:rsidRPr="001D1E0D">
        <w:rPr>
          <w:rFonts w:ascii="Verdana" w:eastAsia="Times New Roman" w:hAnsi="Verdana" w:cs="Times New Roman"/>
          <w:color w:val="000000"/>
          <w:kern w:val="0"/>
          <w:lang w:val="es-CO" w:eastAsia="es-MX"/>
          <w14:ligatures w14:val="none"/>
        </w:rPr>
        <w:t xml:space="preserve">En los anteriores términos se absuelve su petición y se recuerda que la normativa, jurisprudencia y doctrina en materia tributaria, aduanera y de fiscalización cambiaria, en lo de competencia de esta Entidad, puede consultarse en el normograma DIAN: </w:t>
      </w:r>
      <w:r w:rsidRPr="001D1E0D">
        <w:rPr>
          <w:rFonts w:ascii="Verdana" w:eastAsia="Times New Roman" w:hAnsi="Verdana" w:cs="Times New Roman"/>
          <w:color w:val="000000"/>
          <w:kern w:val="0"/>
          <w:u w:val="single"/>
          <w:lang w:val="es-CO" w:eastAsia="es-MX"/>
          <w14:ligatures w14:val="none"/>
        </w:rPr>
        <w:t>https://normograma.dian.gov.co/dian/</w:t>
      </w:r>
      <w:r w:rsidRPr="001D1E0D">
        <w:rPr>
          <w:rFonts w:ascii="Verdana" w:eastAsia="Times New Roman" w:hAnsi="Verdana" w:cs="Times New Roman"/>
          <w:color w:val="000000"/>
          <w:kern w:val="0"/>
          <w:lang w:val="es-CO" w:eastAsia="es-MX"/>
          <w14:ligatures w14:val="none"/>
        </w:rPr>
        <w:t>.</w:t>
      </w:r>
    </w:p>
    <w:p w14:paraId="266F8475" w14:textId="77777777" w:rsidR="001D1E0D" w:rsidRPr="001D1E0D" w:rsidRDefault="001D1E0D" w:rsidP="001D1E0D">
      <w:pPr>
        <w:rPr>
          <w:rFonts w:ascii="Times New Roman" w:eastAsia="Times New Roman" w:hAnsi="Times New Roman" w:cs="Times New Roman"/>
          <w:kern w:val="0"/>
          <w:lang w:val="es-CO" w:eastAsia="es-MX"/>
          <w14:ligatures w14:val="none"/>
        </w:rPr>
      </w:pPr>
    </w:p>
    <w:p w14:paraId="1F395093"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color w:val="000000"/>
          <w:kern w:val="0"/>
          <w:lang w:val="es-CO" w:eastAsia="es-MX"/>
          <w14:ligatures w14:val="none"/>
        </w:rPr>
        <w:t>Atentamente,</w:t>
      </w:r>
    </w:p>
    <w:p w14:paraId="74D4E999" w14:textId="77777777" w:rsidR="001D1E0D" w:rsidRPr="001D1E0D" w:rsidRDefault="001D1E0D" w:rsidP="001D1E0D">
      <w:pPr>
        <w:spacing w:after="240"/>
        <w:rPr>
          <w:rFonts w:ascii="Times New Roman" w:eastAsia="Times New Roman" w:hAnsi="Times New Roman" w:cs="Times New Roman"/>
          <w:kern w:val="0"/>
          <w:lang w:val="es-CO" w:eastAsia="es-MX"/>
          <w14:ligatures w14:val="none"/>
        </w:rPr>
      </w:pPr>
    </w:p>
    <w:p w14:paraId="27127663"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b/>
          <w:bCs/>
          <w:color w:val="000000"/>
          <w:kern w:val="0"/>
          <w:lang w:val="es-CO" w:eastAsia="es-MX"/>
          <w14:ligatures w14:val="none"/>
        </w:rPr>
        <w:t>INGRID CASTAÑEDA CEPEDA</w:t>
      </w:r>
    </w:p>
    <w:p w14:paraId="0A548BB6"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color w:val="000000"/>
          <w:kern w:val="0"/>
          <w:lang w:val="es-CO" w:eastAsia="es-MX"/>
          <w14:ligatures w14:val="none"/>
        </w:rPr>
        <w:t>Subdirectora de Normativa y Doctrina (A)</w:t>
      </w:r>
    </w:p>
    <w:p w14:paraId="68806D20"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color w:val="000000"/>
          <w:kern w:val="0"/>
          <w:lang w:val="es-CO" w:eastAsia="es-MX"/>
          <w14:ligatures w14:val="none"/>
        </w:rPr>
        <w:t>Dirección de Gestión Jurídica</w:t>
      </w:r>
    </w:p>
    <w:p w14:paraId="21E764AE"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color w:val="000000"/>
          <w:kern w:val="0"/>
          <w:lang w:val="es-CO" w:eastAsia="es-MX"/>
          <w14:ligatures w14:val="none"/>
        </w:rPr>
        <w:t>U.A.E. Dirección de Impuestos y Aduanas Nacionales – DIAN</w:t>
      </w:r>
    </w:p>
    <w:p w14:paraId="450E2AF2"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color w:val="000000"/>
          <w:kern w:val="0"/>
          <w:lang w:val="es-CO" w:eastAsia="es-MX"/>
          <w14:ligatures w14:val="none"/>
        </w:rPr>
        <w:t xml:space="preserve">Dirección: </w:t>
      </w:r>
      <w:proofErr w:type="spellStart"/>
      <w:r w:rsidRPr="001D1E0D">
        <w:rPr>
          <w:rFonts w:ascii="Verdana" w:eastAsia="Times New Roman" w:hAnsi="Verdana" w:cs="Times New Roman"/>
          <w:color w:val="000000"/>
          <w:kern w:val="0"/>
          <w:lang w:val="es-CO" w:eastAsia="es-MX"/>
          <w14:ligatures w14:val="none"/>
        </w:rPr>
        <w:t>Cra</w:t>
      </w:r>
      <w:proofErr w:type="spellEnd"/>
      <w:r w:rsidRPr="001D1E0D">
        <w:rPr>
          <w:rFonts w:ascii="Verdana" w:eastAsia="Times New Roman" w:hAnsi="Verdana" w:cs="Times New Roman"/>
          <w:color w:val="000000"/>
          <w:kern w:val="0"/>
          <w:lang w:val="es-CO" w:eastAsia="es-MX"/>
          <w14:ligatures w14:val="none"/>
        </w:rPr>
        <w:t>. 8 # 6C-38 Edificio San Agustín - Piso 4</w:t>
      </w:r>
    </w:p>
    <w:p w14:paraId="4B92678C"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color w:val="000000"/>
          <w:kern w:val="0"/>
          <w:lang w:val="es-CO" w:eastAsia="es-MX"/>
          <w14:ligatures w14:val="none"/>
        </w:rPr>
        <w:t>Bogotá, D.C.</w:t>
      </w:r>
    </w:p>
    <w:p w14:paraId="4A9B3356" w14:textId="77777777" w:rsidR="001D1E0D" w:rsidRPr="001D1E0D" w:rsidRDefault="001D1E0D" w:rsidP="001D1E0D">
      <w:pPr>
        <w:jc w:val="both"/>
        <w:rPr>
          <w:rFonts w:ascii="Times New Roman" w:eastAsia="Times New Roman" w:hAnsi="Times New Roman" w:cs="Times New Roman"/>
          <w:kern w:val="0"/>
          <w:lang w:val="es-CO" w:eastAsia="es-MX"/>
          <w14:ligatures w14:val="none"/>
        </w:rPr>
      </w:pPr>
      <w:r w:rsidRPr="001D1E0D">
        <w:rPr>
          <w:rFonts w:ascii="Verdana" w:eastAsia="Times New Roman" w:hAnsi="Verdana" w:cs="Times New Roman"/>
          <w:color w:val="000000"/>
          <w:kern w:val="0"/>
          <w:u w:val="single"/>
          <w:lang w:val="es-CO" w:eastAsia="es-MX"/>
          <w14:ligatures w14:val="none"/>
        </w:rPr>
        <w:t>www.dian.gov.co</w:t>
      </w:r>
    </w:p>
    <w:p w14:paraId="3F0D3D0A" w14:textId="77777777" w:rsidR="001D1E0D" w:rsidRPr="001D1E0D" w:rsidRDefault="001D1E0D" w:rsidP="001D1E0D">
      <w:pPr>
        <w:rPr>
          <w:rFonts w:ascii="Times New Roman" w:eastAsia="Times New Roman" w:hAnsi="Times New Roman" w:cs="Times New Roman"/>
          <w:kern w:val="0"/>
          <w:lang w:val="es-CO" w:eastAsia="es-MX"/>
          <w14:ligatures w14:val="none"/>
        </w:rPr>
      </w:pPr>
    </w:p>
    <w:p w14:paraId="15D55B70" w14:textId="77777777" w:rsidR="00537D8F" w:rsidRDefault="00537D8F"/>
    <w:sectPr w:rsidR="00537D8F" w:rsidSect="00B83A7B">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2763C5"/>
    <w:multiLevelType w:val="multilevel"/>
    <w:tmpl w:val="8FDA1D30"/>
    <w:lvl w:ilvl="0">
      <w:start w:val="1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BDA5714"/>
    <w:multiLevelType w:val="multilevel"/>
    <w:tmpl w:val="B9626B12"/>
    <w:lvl w:ilvl="0">
      <w:start w:val="1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3C4478D"/>
    <w:multiLevelType w:val="multilevel"/>
    <w:tmpl w:val="82DEDC3E"/>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354728E3"/>
    <w:multiLevelType w:val="multilevel"/>
    <w:tmpl w:val="7B54BB8E"/>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E6A2E6E"/>
    <w:multiLevelType w:val="multilevel"/>
    <w:tmpl w:val="EE06E2CC"/>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4FCF0488"/>
    <w:multiLevelType w:val="multilevel"/>
    <w:tmpl w:val="28E66C3E"/>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532154C6"/>
    <w:multiLevelType w:val="multilevel"/>
    <w:tmpl w:val="DFA0A586"/>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54324F76"/>
    <w:multiLevelType w:val="multilevel"/>
    <w:tmpl w:val="316C596E"/>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5824211E"/>
    <w:multiLevelType w:val="multilevel"/>
    <w:tmpl w:val="514C676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AAC3676"/>
    <w:multiLevelType w:val="multilevel"/>
    <w:tmpl w:val="1E3A04D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6DB043E5"/>
    <w:multiLevelType w:val="multilevel"/>
    <w:tmpl w:val="D7DCA33C"/>
    <w:lvl w:ilvl="0">
      <w:start w:val="1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6E9E7A68"/>
    <w:multiLevelType w:val="multilevel"/>
    <w:tmpl w:val="71FC701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71F51388"/>
    <w:multiLevelType w:val="multilevel"/>
    <w:tmpl w:val="F78AEBCE"/>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74761519"/>
    <w:multiLevelType w:val="multilevel"/>
    <w:tmpl w:val="441AF632"/>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7748543F"/>
    <w:multiLevelType w:val="multilevel"/>
    <w:tmpl w:val="57C23B8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938057945">
    <w:abstractNumId w:val="14"/>
  </w:num>
  <w:num w:numId="2" w16cid:durableId="540751930">
    <w:abstractNumId w:val="9"/>
    <w:lvlOverride w:ilvl="0">
      <w:lvl w:ilvl="0">
        <w:numFmt w:val="decimal"/>
        <w:lvlText w:val="%1."/>
        <w:lvlJc w:val="left"/>
      </w:lvl>
    </w:lvlOverride>
  </w:num>
  <w:num w:numId="3" w16cid:durableId="315568938">
    <w:abstractNumId w:val="12"/>
    <w:lvlOverride w:ilvl="0">
      <w:lvl w:ilvl="0">
        <w:numFmt w:val="decimal"/>
        <w:lvlText w:val="%1."/>
        <w:lvlJc w:val="left"/>
      </w:lvl>
    </w:lvlOverride>
  </w:num>
  <w:num w:numId="4" w16cid:durableId="659968950">
    <w:abstractNumId w:val="11"/>
    <w:lvlOverride w:ilvl="0">
      <w:lvl w:ilvl="0">
        <w:numFmt w:val="decimal"/>
        <w:lvlText w:val="%1."/>
        <w:lvlJc w:val="left"/>
      </w:lvl>
    </w:lvlOverride>
  </w:num>
  <w:num w:numId="5" w16cid:durableId="362558200">
    <w:abstractNumId w:val="7"/>
    <w:lvlOverride w:ilvl="0">
      <w:lvl w:ilvl="0">
        <w:numFmt w:val="decimal"/>
        <w:lvlText w:val="%1."/>
        <w:lvlJc w:val="left"/>
      </w:lvl>
    </w:lvlOverride>
  </w:num>
  <w:num w:numId="6" w16cid:durableId="208611227">
    <w:abstractNumId w:val="13"/>
    <w:lvlOverride w:ilvl="0">
      <w:lvl w:ilvl="0">
        <w:numFmt w:val="decimal"/>
        <w:lvlText w:val="%1."/>
        <w:lvlJc w:val="left"/>
      </w:lvl>
    </w:lvlOverride>
  </w:num>
  <w:num w:numId="7" w16cid:durableId="2042976554">
    <w:abstractNumId w:val="8"/>
    <w:lvlOverride w:ilvl="0">
      <w:lvl w:ilvl="0">
        <w:numFmt w:val="decimal"/>
        <w:lvlText w:val="%1."/>
        <w:lvlJc w:val="left"/>
      </w:lvl>
    </w:lvlOverride>
  </w:num>
  <w:num w:numId="8" w16cid:durableId="1353340619">
    <w:abstractNumId w:val="6"/>
    <w:lvlOverride w:ilvl="0">
      <w:lvl w:ilvl="0">
        <w:numFmt w:val="decimal"/>
        <w:lvlText w:val="%1."/>
        <w:lvlJc w:val="left"/>
      </w:lvl>
    </w:lvlOverride>
  </w:num>
  <w:num w:numId="9" w16cid:durableId="969827869">
    <w:abstractNumId w:val="4"/>
    <w:lvlOverride w:ilvl="0">
      <w:lvl w:ilvl="0">
        <w:numFmt w:val="decimal"/>
        <w:lvlText w:val="%1."/>
        <w:lvlJc w:val="left"/>
      </w:lvl>
    </w:lvlOverride>
  </w:num>
  <w:num w:numId="10" w16cid:durableId="1192573325">
    <w:abstractNumId w:val="2"/>
    <w:lvlOverride w:ilvl="0">
      <w:lvl w:ilvl="0">
        <w:numFmt w:val="decimal"/>
        <w:lvlText w:val="%1."/>
        <w:lvlJc w:val="left"/>
      </w:lvl>
    </w:lvlOverride>
  </w:num>
  <w:num w:numId="11" w16cid:durableId="1346057918">
    <w:abstractNumId w:val="1"/>
    <w:lvlOverride w:ilvl="0">
      <w:lvl w:ilvl="0">
        <w:numFmt w:val="decimal"/>
        <w:lvlText w:val="%1."/>
        <w:lvlJc w:val="left"/>
      </w:lvl>
    </w:lvlOverride>
  </w:num>
  <w:num w:numId="12" w16cid:durableId="672101785">
    <w:abstractNumId w:val="5"/>
    <w:lvlOverride w:ilvl="0">
      <w:lvl w:ilvl="0">
        <w:numFmt w:val="decimal"/>
        <w:lvlText w:val="%1."/>
        <w:lvlJc w:val="left"/>
      </w:lvl>
    </w:lvlOverride>
  </w:num>
  <w:num w:numId="13" w16cid:durableId="300187379">
    <w:abstractNumId w:val="3"/>
    <w:lvlOverride w:ilvl="0">
      <w:lvl w:ilvl="0">
        <w:numFmt w:val="decimal"/>
        <w:lvlText w:val="%1."/>
        <w:lvlJc w:val="left"/>
      </w:lvl>
    </w:lvlOverride>
  </w:num>
  <w:num w:numId="14" w16cid:durableId="1536503396">
    <w:abstractNumId w:val="10"/>
    <w:lvlOverride w:ilvl="0">
      <w:lvl w:ilvl="0">
        <w:numFmt w:val="decimal"/>
        <w:lvlText w:val="%1."/>
        <w:lvlJc w:val="left"/>
      </w:lvl>
    </w:lvlOverride>
  </w:num>
  <w:num w:numId="15" w16cid:durableId="1467241686">
    <w:abstractNumId w:val="0"/>
    <w:lvlOverride w:ilvl="0">
      <w:lvl w:ilvl="0">
        <w:numFmt w:val="decimal"/>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1E0D"/>
    <w:rsid w:val="000B2285"/>
    <w:rsid w:val="001D1E0D"/>
    <w:rsid w:val="00537D8F"/>
    <w:rsid w:val="008C61E1"/>
    <w:rsid w:val="00B83A7B"/>
    <w:rsid w:val="00F92281"/>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decimalSymbol w:val=","/>
  <w:listSeparator w:val=";"/>
  <w14:docId w14:val="2DA25205"/>
  <w14:defaultImageDpi w14:val="32767"/>
  <w15:chartTrackingRefBased/>
  <w15:docId w15:val="{DE67182A-4737-7742-9728-425F51780C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ES_tradnl"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1D1E0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1D1E0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1D1E0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1D1E0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1D1E0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1D1E0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1D1E0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1D1E0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1D1E0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1D1E0D"/>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1D1E0D"/>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1D1E0D"/>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1D1E0D"/>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1D1E0D"/>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1D1E0D"/>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1D1E0D"/>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1D1E0D"/>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1D1E0D"/>
    <w:rPr>
      <w:rFonts w:eastAsiaTheme="majorEastAsia" w:cstheme="majorBidi"/>
      <w:color w:val="272727" w:themeColor="text1" w:themeTint="D8"/>
    </w:rPr>
  </w:style>
  <w:style w:type="paragraph" w:styleId="Ttulo">
    <w:name w:val="Title"/>
    <w:basedOn w:val="Normal"/>
    <w:next w:val="Normal"/>
    <w:link w:val="TtuloCar"/>
    <w:uiPriority w:val="10"/>
    <w:qFormat/>
    <w:rsid w:val="001D1E0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1D1E0D"/>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1D1E0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1D1E0D"/>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1D1E0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1D1E0D"/>
    <w:rPr>
      <w:i/>
      <w:iCs/>
      <w:color w:val="404040" w:themeColor="text1" w:themeTint="BF"/>
    </w:rPr>
  </w:style>
  <w:style w:type="paragraph" w:styleId="Prrafodelista">
    <w:name w:val="List Paragraph"/>
    <w:basedOn w:val="Normal"/>
    <w:uiPriority w:val="34"/>
    <w:qFormat/>
    <w:rsid w:val="001D1E0D"/>
    <w:pPr>
      <w:ind w:left="720"/>
      <w:contextualSpacing/>
    </w:pPr>
  </w:style>
  <w:style w:type="character" w:styleId="nfasisintenso">
    <w:name w:val="Intense Emphasis"/>
    <w:basedOn w:val="Fuentedeprrafopredeter"/>
    <w:uiPriority w:val="21"/>
    <w:qFormat/>
    <w:rsid w:val="001D1E0D"/>
    <w:rPr>
      <w:i/>
      <w:iCs/>
      <w:color w:val="2F5496" w:themeColor="accent1" w:themeShade="BF"/>
    </w:rPr>
  </w:style>
  <w:style w:type="paragraph" w:styleId="Citadestacada">
    <w:name w:val="Intense Quote"/>
    <w:basedOn w:val="Normal"/>
    <w:next w:val="Normal"/>
    <w:link w:val="CitadestacadaCar"/>
    <w:uiPriority w:val="30"/>
    <w:qFormat/>
    <w:rsid w:val="001D1E0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1D1E0D"/>
    <w:rPr>
      <w:i/>
      <w:iCs/>
      <w:color w:val="2F5496" w:themeColor="accent1" w:themeShade="BF"/>
    </w:rPr>
  </w:style>
  <w:style w:type="character" w:styleId="Referenciaintensa">
    <w:name w:val="Intense Reference"/>
    <w:basedOn w:val="Fuentedeprrafopredeter"/>
    <w:uiPriority w:val="32"/>
    <w:qFormat/>
    <w:rsid w:val="001D1E0D"/>
    <w:rPr>
      <w:b/>
      <w:bCs/>
      <w:smallCaps/>
      <w:color w:val="2F5496" w:themeColor="accent1" w:themeShade="BF"/>
      <w:spacing w:val="5"/>
    </w:rPr>
  </w:style>
  <w:style w:type="paragraph" w:styleId="NormalWeb">
    <w:name w:val="Normal (Web)"/>
    <w:basedOn w:val="Normal"/>
    <w:uiPriority w:val="99"/>
    <w:semiHidden/>
    <w:unhideWhenUsed/>
    <w:rsid w:val="001D1E0D"/>
    <w:pPr>
      <w:spacing w:before="100" w:beforeAutospacing="1" w:after="100" w:afterAutospacing="1"/>
    </w:pPr>
    <w:rPr>
      <w:rFonts w:ascii="Times New Roman" w:eastAsia="Times New Roman" w:hAnsi="Times New Roman" w:cs="Times New Roman"/>
      <w:kern w:val="0"/>
      <w:lang w:val="es-CO" w:eastAsia="es-MX"/>
      <w14:ligatures w14:val="none"/>
    </w:rPr>
  </w:style>
  <w:style w:type="character" w:customStyle="1" w:styleId="apple-tab-span">
    <w:name w:val="apple-tab-span"/>
    <w:basedOn w:val="Fuentedeprrafopredeter"/>
    <w:rsid w:val="001D1E0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1162</Words>
  <Characters>6391</Characters>
  <Application>Microsoft Office Word</Application>
  <DocSecurity>0</DocSecurity>
  <Lines>53</Lines>
  <Paragraphs>15</Paragraphs>
  <ScaleCrop>false</ScaleCrop>
  <Company/>
  <LinksUpToDate>false</LinksUpToDate>
  <CharactersWithSpaces>7538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2025-12-19T17:31:00Z</dcterms:created>
  <dcterms:modified xsi:type="dcterms:W3CDTF">2025-12-19T17:32:00Z</dcterms:modified>
</cp:coreProperties>
</file>