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4D976"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b/>
          <w:bCs/>
          <w:color w:val="000000"/>
          <w:kern w:val="0"/>
          <w:lang w:val="es-CO" w:eastAsia="es-MX"/>
          <w14:ligatures w14:val="none"/>
        </w:rPr>
        <w:t>CONCEPTO 1834 DEL 5 DE NOVIEMBRE DE 2025</w:t>
      </w:r>
    </w:p>
    <w:p w14:paraId="235749A1"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b/>
          <w:bCs/>
          <w:color w:val="000000"/>
          <w:kern w:val="0"/>
          <w:lang w:val="es-CO" w:eastAsia="es-MX"/>
          <w14:ligatures w14:val="none"/>
        </w:rPr>
        <w:t>DIRECCIÓN DE IMPUESTOS Y ADUANAS NACIONALES</w:t>
      </w:r>
    </w:p>
    <w:p w14:paraId="66B05D15"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16EFE64B"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&lt;Fuente: Archivo interno entidad emisora&gt;</w:t>
      </w:r>
    </w:p>
    <w:p w14:paraId="0C6281CC"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3A1A2B94"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&lt;Publicado en la página web de la DIAN:18 de noviembre de 2025&gt;</w:t>
      </w:r>
    </w:p>
    <w:p w14:paraId="190696A6"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2CCE1587"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DIRECCIÓN DE IMPUESTOS Y ADUANAS NACIONALES</w:t>
      </w:r>
    </w:p>
    <w:p w14:paraId="791CB0DC"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5CB9D970"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Unidad Informática de Doctrina</w:t>
      </w:r>
    </w:p>
    <w:p w14:paraId="60D77EB8"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46253B4D"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Área del Derecho</w:t>
      </w:r>
      <w:r w:rsidRPr="00CB1C76">
        <w:rPr>
          <w:rFonts w:ascii="Verdana" w:eastAsia="Times New Roman" w:hAnsi="Verdana" w:cs="Times New Roman"/>
          <w:color w:val="000000"/>
          <w:kern w:val="0"/>
          <w:lang w:val="es-CO" w:eastAsia="es-MX"/>
          <w14:ligatures w14:val="none"/>
        </w:rPr>
        <w:tab/>
      </w:r>
      <w:r w:rsidRPr="00CB1C76">
        <w:rPr>
          <w:rFonts w:ascii="Verdana" w:eastAsia="Times New Roman" w:hAnsi="Verdana" w:cs="Times New Roman"/>
          <w:color w:val="000000"/>
          <w:kern w:val="0"/>
          <w:lang w:val="es-CO" w:eastAsia="es-MX"/>
          <w14:ligatures w14:val="none"/>
        </w:rPr>
        <w:tab/>
        <w:t>Tributario</w:t>
      </w:r>
    </w:p>
    <w:p w14:paraId="1D60C660"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Banco de Datos</w:t>
      </w:r>
      <w:r w:rsidRPr="00CB1C76">
        <w:rPr>
          <w:rFonts w:ascii="Verdana" w:eastAsia="Times New Roman" w:hAnsi="Verdana" w:cs="Times New Roman"/>
          <w:color w:val="000000"/>
          <w:kern w:val="0"/>
          <w:lang w:val="es-CO" w:eastAsia="es-MX"/>
          <w14:ligatures w14:val="none"/>
        </w:rPr>
        <w:tab/>
      </w:r>
      <w:r w:rsidRPr="00CB1C76">
        <w:rPr>
          <w:rFonts w:ascii="Verdana" w:eastAsia="Times New Roman" w:hAnsi="Verdana" w:cs="Times New Roman"/>
          <w:color w:val="000000"/>
          <w:kern w:val="0"/>
          <w:lang w:val="es-CO" w:eastAsia="es-MX"/>
          <w14:ligatures w14:val="none"/>
        </w:rPr>
        <w:tab/>
        <w:t>Otros Temas</w:t>
      </w:r>
    </w:p>
    <w:p w14:paraId="24A71CB4"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Problema Jurídico</w:t>
      </w:r>
      <w:r w:rsidRPr="00CB1C76">
        <w:rPr>
          <w:rFonts w:ascii="Verdana" w:eastAsia="Times New Roman" w:hAnsi="Verdana" w:cs="Times New Roman"/>
          <w:color w:val="000000"/>
          <w:kern w:val="0"/>
          <w:lang w:val="es-CO" w:eastAsia="es-MX"/>
          <w14:ligatures w14:val="none"/>
        </w:rPr>
        <w:tab/>
      </w:r>
      <w:r w:rsidRPr="00CB1C76">
        <w:rPr>
          <w:rFonts w:ascii="Verdana" w:eastAsia="Times New Roman" w:hAnsi="Verdana" w:cs="Times New Roman"/>
          <w:color w:val="000000"/>
          <w:kern w:val="0"/>
          <w:lang w:val="es-CO" w:eastAsia="es-MX"/>
          <w14:ligatures w14:val="none"/>
        </w:rPr>
        <w:tab/>
        <w:t>PROBLEMA JURÍDICO</w:t>
      </w:r>
    </w:p>
    <w:p w14:paraId="3A04F856"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6BB7D800"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¿El tiempo de contratación de los aprendices del SENA en las etapas lectivas y de práctica, se puede contabilizar para efectos de acreditar el cumplimiento del requisito de empleo directo generado y aumento de empleo directo de que tratan los numerales 5 y 6 del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xml:space="preserve"> del Decreto 1625 de 2016?</w:t>
      </w:r>
    </w:p>
    <w:p w14:paraId="06E67343"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51E07D2C"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Tesis Jurídica</w:t>
      </w:r>
      <w:r w:rsidRPr="00CB1C76">
        <w:rPr>
          <w:rFonts w:ascii="Verdana" w:eastAsia="Times New Roman" w:hAnsi="Verdana" w:cs="Times New Roman"/>
          <w:color w:val="000000"/>
          <w:kern w:val="0"/>
          <w:lang w:val="es-CO" w:eastAsia="es-MX"/>
          <w14:ligatures w14:val="none"/>
        </w:rPr>
        <w:tab/>
      </w:r>
      <w:r w:rsidRPr="00CB1C76">
        <w:rPr>
          <w:rFonts w:ascii="Verdana" w:eastAsia="Times New Roman" w:hAnsi="Verdana" w:cs="Times New Roman"/>
          <w:color w:val="000000"/>
          <w:kern w:val="0"/>
          <w:lang w:val="es-CO" w:eastAsia="es-MX"/>
          <w14:ligatures w14:val="none"/>
        </w:rPr>
        <w:tab/>
        <w:t>TESIS JURÍDICA</w:t>
      </w:r>
    </w:p>
    <w:p w14:paraId="2C2EE4CA"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1E0BF120"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Si. En los términos del artículo 81 del Código sustantivo de trabajo, la etapa electiva y práctica hacen parte del contrato de aprendizaje, por lo que el término de contratación en cada una de estas etapas, se puede contabilizar para efectos de acreditar el cumplimiento del requisito de empleo directo o aumento de empleo directo de que tratan los numerales 5 y 6 del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del Decreto 1625 de 2016 siempre que se cumplan con las condiciones allí señaladas.</w:t>
      </w:r>
    </w:p>
    <w:p w14:paraId="4B2E2700"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449B04B0"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Descriptores</w:t>
      </w:r>
      <w:r w:rsidRPr="00CB1C76">
        <w:rPr>
          <w:rFonts w:ascii="Verdana" w:eastAsia="Times New Roman" w:hAnsi="Verdana" w:cs="Times New Roman"/>
          <w:color w:val="000000"/>
          <w:kern w:val="0"/>
          <w:lang w:val="es-CO" w:eastAsia="es-MX"/>
          <w14:ligatures w14:val="none"/>
        </w:rPr>
        <w:tab/>
        <w:t>Tema:</w:t>
      </w:r>
      <w:r w:rsidRPr="00CB1C76">
        <w:rPr>
          <w:rFonts w:ascii="Verdana" w:eastAsia="Times New Roman" w:hAnsi="Verdana" w:cs="Times New Roman"/>
          <w:color w:val="000000"/>
          <w:kern w:val="0"/>
          <w:lang w:val="es-CO" w:eastAsia="es-MX"/>
          <w14:ligatures w14:val="none"/>
        </w:rPr>
        <w:tab/>
        <w:t>Régimen especial en materia tributaria - ZESE</w:t>
      </w:r>
    </w:p>
    <w:p w14:paraId="0A0FBE0A" w14:textId="77777777" w:rsidR="00CB1C76" w:rsidRPr="00CB1C76" w:rsidRDefault="00CB1C76" w:rsidP="00CB1C76">
      <w:pPr>
        <w:ind w:left="2160"/>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Descriptores:</w:t>
      </w:r>
      <w:r w:rsidRPr="00CB1C76">
        <w:rPr>
          <w:rFonts w:ascii="Verdana" w:eastAsia="Times New Roman" w:hAnsi="Verdana" w:cs="Times New Roman"/>
          <w:color w:val="000000"/>
          <w:kern w:val="0"/>
          <w:lang w:val="es-CO" w:eastAsia="es-MX"/>
          <w14:ligatures w14:val="none"/>
        </w:rPr>
        <w:tab/>
        <w:t>Zonas Especiales de Desarrollo Económico (ZESE)</w:t>
      </w:r>
    </w:p>
    <w:p w14:paraId="18FA40E7" w14:textId="77777777" w:rsidR="00CB1C76" w:rsidRPr="00CB1C76" w:rsidRDefault="00CB1C76" w:rsidP="00CB1C76">
      <w:pPr>
        <w:ind w:left="2160"/>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Contrato de aprendizaje</w:t>
      </w:r>
    </w:p>
    <w:p w14:paraId="5398AB65" w14:textId="77777777" w:rsidR="00CB1C76" w:rsidRPr="00CB1C76" w:rsidRDefault="00CB1C76" w:rsidP="00CB1C76">
      <w:pPr>
        <w:ind w:left="2160"/>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Empleos directos generados</w:t>
      </w:r>
    </w:p>
    <w:p w14:paraId="22F4147D"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Fuentes Formales</w:t>
      </w:r>
      <w:r w:rsidRPr="00CB1C76">
        <w:rPr>
          <w:rFonts w:ascii="Verdana" w:eastAsia="Times New Roman" w:hAnsi="Verdana" w:cs="Times New Roman"/>
          <w:color w:val="000000"/>
          <w:kern w:val="0"/>
          <w:lang w:val="es-CO" w:eastAsia="es-MX"/>
          <w14:ligatures w14:val="none"/>
        </w:rPr>
        <w:tab/>
        <w:t xml:space="preserve">Artículo </w:t>
      </w:r>
      <w:r w:rsidRPr="00CB1C76">
        <w:rPr>
          <w:rFonts w:ascii="Verdana" w:eastAsia="Times New Roman" w:hAnsi="Verdana" w:cs="Times New Roman"/>
          <w:color w:val="000000"/>
          <w:kern w:val="0"/>
          <w:u w:val="single"/>
          <w:lang w:val="es-CO" w:eastAsia="es-MX"/>
          <w14:ligatures w14:val="none"/>
        </w:rPr>
        <w:t>268</w:t>
      </w:r>
      <w:r w:rsidRPr="00CB1C76">
        <w:rPr>
          <w:rFonts w:ascii="Verdana" w:eastAsia="Times New Roman" w:hAnsi="Verdana" w:cs="Times New Roman"/>
          <w:color w:val="000000"/>
          <w:kern w:val="0"/>
          <w:lang w:val="es-CO" w:eastAsia="es-MX"/>
          <w14:ligatures w14:val="none"/>
        </w:rPr>
        <w:t xml:space="preserve"> de la Ley 1955 de 2019</w:t>
      </w:r>
    </w:p>
    <w:p w14:paraId="08C2CE3D" w14:textId="77777777" w:rsidR="00CB1C76" w:rsidRPr="00CB1C76" w:rsidRDefault="00CB1C76" w:rsidP="00CB1C76">
      <w:pPr>
        <w:ind w:left="1440" w:firstLine="720"/>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Artículo 81 del Código Sustantivo del Trabajo.</w:t>
      </w:r>
    </w:p>
    <w:p w14:paraId="346EB0EF" w14:textId="77777777" w:rsidR="00CB1C76" w:rsidRPr="00CB1C76" w:rsidRDefault="00CB1C76" w:rsidP="00CB1C76">
      <w:pPr>
        <w:ind w:left="1440" w:firstLine="720"/>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xml:space="preserve"> del Decreto 1625 de 2016</w:t>
      </w:r>
    </w:p>
    <w:p w14:paraId="15869233"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66A36C0B"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Extracto</w:t>
      </w:r>
    </w:p>
    <w:p w14:paraId="2674C0B5"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6811AA01" w14:textId="77777777" w:rsidR="00CB1C76" w:rsidRPr="00CB1C76" w:rsidRDefault="00CB1C76" w:rsidP="00CB1C76">
      <w:pPr>
        <w:numPr>
          <w:ilvl w:val="0"/>
          <w:numId w:val="1"/>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lastRenderedPageBreak/>
        <w:t>Esta Subdirección está facultada para absolver las consultas escritas, presentadas de manera general, sobre la interpretación y aplicación de las normas tributarias, aduaneras y de fiscalización cambiaria, en lo de competencia de la DIAN</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lang w:val="es-CO" w:eastAsia="es-MX"/>
          <w14:ligatures w14:val="none"/>
        </w:rPr>
        <w:t xml:space="preserve">. En este sentido, la doctrina emitida será de carácter general, no se referirá a asuntos particulares y se someterá a lo consagrado en el artículo </w:t>
      </w:r>
      <w:r w:rsidRPr="00CB1C76">
        <w:rPr>
          <w:rFonts w:ascii="Verdana" w:eastAsia="Times New Roman" w:hAnsi="Verdana" w:cs="Times New Roman"/>
          <w:color w:val="000000"/>
          <w:kern w:val="0"/>
          <w:u w:val="single"/>
          <w:lang w:val="es-CO" w:eastAsia="es-MX"/>
          <w14:ligatures w14:val="none"/>
        </w:rPr>
        <w:t>131</w:t>
      </w:r>
      <w:r w:rsidRPr="00CB1C76">
        <w:rPr>
          <w:rFonts w:ascii="Verdana" w:eastAsia="Times New Roman" w:hAnsi="Verdana" w:cs="Times New Roman"/>
          <w:color w:val="000000"/>
          <w:kern w:val="0"/>
          <w:lang w:val="es-CO" w:eastAsia="es-MX"/>
          <w14:ligatures w14:val="none"/>
        </w:rPr>
        <w:t xml:space="preserve"> de la Ley 2010 de 2019</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lang w:val="es-CO" w:eastAsia="es-MX"/>
          <w14:ligatures w14:val="none"/>
        </w:rPr>
        <w:t>.</w:t>
      </w:r>
    </w:p>
    <w:p w14:paraId="08B3E8CB"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78F673F5"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PROBLEMA JURÍDICO</w:t>
      </w:r>
    </w:p>
    <w:p w14:paraId="21CB7165"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14C9FF0B" w14:textId="77777777" w:rsidR="00CB1C76" w:rsidRPr="00CB1C76" w:rsidRDefault="00CB1C76" w:rsidP="00CB1C76">
      <w:pPr>
        <w:numPr>
          <w:ilvl w:val="0"/>
          <w:numId w:val="2"/>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¿El tiempo de contratación de los aprendices del SENA en las etapas lectivas y de práctica, se puede contabilizar para efectos de acreditar el cumplimiento del requisito de empleo directo generado y aumento de empleo directo de que tratan los numerales 5 y 6 del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xml:space="preserve"> del Decreto 1625 de 2016?</w:t>
      </w:r>
    </w:p>
    <w:p w14:paraId="244A0A30"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477587F6"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TESIS JURÍDICA</w:t>
      </w:r>
    </w:p>
    <w:p w14:paraId="02EDCEE0"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78260711" w14:textId="77777777" w:rsidR="00CB1C76" w:rsidRPr="00CB1C76" w:rsidRDefault="00CB1C76" w:rsidP="00CB1C76">
      <w:pPr>
        <w:numPr>
          <w:ilvl w:val="0"/>
          <w:numId w:val="3"/>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Si. En los términos del artículo 81 del Código sustantivo de trabajo, la etapa electiva y práctica hacen parte del contrato de aprendizaje, por lo que el término de contratación en cada una de estas etapas, se puede contabilizar para efectos de acreditar el cumplimiento del requisito de empleo directo o aumento de empleo directo de que tratan los numerales 5 y 6 del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del Decreto 1625 de 2016 siempre que se cumplan con las condiciones allí señaladas.</w:t>
      </w:r>
    </w:p>
    <w:p w14:paraId="65EA1102" w14:textId="77777777" w:rsidR="00CB1C76" w:rsidRPr="00CB1C76" w:rsidRDefault="00CB1C76" w:rsidP="00CB1C76">
      <w:pPr>
        <w:rPr>
          <w:rFonts w:ascii="Times New Roman" w:eastAsia="Times New Roman" w:hAnsi="Times New Roman" w:cs="Times New Roman"/>
          <w:kern w:val="0"/>
          <w:lang w:val="es-CO" w:eastAsia="es-MX"/>
          <w14:ligatures w14:val="none"/>
        </w:rPr>
      </w:pPr>
    </w:p>
    <w:p w14:paraId="5F9B77D4" w14:textId="77777777" w:rsidR="00CB1C76" w:rsidRPr="00CB1C76" w:rsidRDefault="00CB1C76" w:rsidP="00CB1C76">
      <w:pPr>
        <w:jc w:val="both"/>
        <w:rPr>
          <w:rFonts w:ascii="Times New Roman" w:eastAsia="Times New Roman" w:hAnsi="Times New Roman" w:cs="Times New Roman"/>
          <w:kern w:val="0"/>
          <w:lang w:val="es-CO" w:eastAsia="es-MX"/>
          <w14:ligatures w14:val="none"/>
        </w:rPr>
      </w:pPr>
      <w:r w:rsidRPr="00CB1C76">
        <w:rPr>
          <w:rFonts w:ascii="Verdana" w:eastAsia="Times New Roman" w:hAnsi="Verdana" w:cs="Times New Roman"/>
          <w:color w:val="000000"/>
          <w:kern w:val="0"/>
          <w:lang w:val="es-CO" w:eastAsia="es-MX"/>
          <w14:ligatures w14:val="none"/>
        </w:rPr>
        <w:t>FUNDAMENTACIÓN</w:t>
      </w:r>
    </w:p>
    <w:p w14:paraId="6A50F4C0"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3ECA69CE" w14:textId="77777777" w:rsidR="00CB1C76" w:rsidRPr="00CB1C76" w:rsidRDefault="00CB1C76" w:rsidP="00CB1C76">
      <w:pPr>
        <w:numPr>
          <w:ilvl w:val="0"/>
          <w:numId w:val="4"/>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El artículo 81 del Código sustantivo del Trabajo modificado por el artículo 21 de la Ley 2466 de 2025 establece que el contrato de aprendizaje tiene la naturaleza de un contrato laboral a término fijo mediante la cual una persona natural desarrolla formación teórica práctica por un tiempo determinado no superior a tres (3) años.</w:t>
      </w:r>
    </w:p>
    <w:p w14:paraId="7649C791"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077A0DAD" w14:textId="77777777" w:rsidR="00CB1C76" w:rsidRPr="00CB1C76" w:rsidRDefault="00CB1C76" w:rsidP="00CB1C76">
      <w:pPr>
        <w:numPr>
          <w:ilvl w:val="0"/>
          <w:numId w:val="5"/>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La doctrina oficial de la DIAN</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vertAlign w:val="superscript"/>
          <w:lang w:val="es-CO" w:eastAsia="es-MX"/>
          <w14:ligatures w14:val="none"/>
        </w:rPr>
        <w:t xml:space="preserve"> </w:t>
      </w:r>
      <w:r w:rsidRPr="00CB1C76">
        <w:rPr>
          <w:rFonts w:ascii="Verdana" w:eastAsia="Times New Roman" w:hAnsi="Verdana" w:cs="Times New Roman"/>
          <w:color w:val="000000"/>
          <w:kern w:val="0"/>
          <w:lang w:val="es-CO" w:eastAsia="es-MX"/>
          <w14:ligatures w14:val="none"/>
        </w:rPr>
        <w:t xml:space="preserve">ha puntualizado que el personal vinculado a través de contratos de aprendizaje por las empresas ubicadas en las Zonas Económicas y Sociales Especiales - en adelante ZESE, se consideran empleo directo generado para efectos del cumplimiento del requisito del artículo </w:t>
      </w:r>
      <w:r w:rsidRPr="00CB1C76">
        <w:rPr>
          <w:rFonts w:ascii="Verdana" w:eastAsia="Times New Roman" w:hAnsi="Verdana" w:cs="Times New Roman"/>
          <w:color w:val="000000"/>
          <w:kern w:val="0"/>
          <w:u w:val="single"/>
          <w:lang w:val="es-CO" w:eastAsia="es-MX"/>
          <w14:ligatures w14:val="none"/>
        </w:rPr>
        <w:t>268</w:t>
      </w:r>
      <w:r w:rsidRPr="00CB1C76">
        <w:rPr>
          <w:rFonts w:ascii="Verdana" w:eastAsia="Times New Roman" w:hAnsi="Verdana" w:cs="Times New Roman"/>
          <w:color w:val="000000"/>
          <w:kern w:val="0"/>
          <w:lang w:val="es-CO" w:eastAsia="es-MX"/>
          <w14:ligatures w14:val="none"/>
        </w:rPr>
        <w:t xml:space="preserve"> de la Ley 1955 de 2019</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lang w:val="es-CO" w:eastAsia="es-MX"/>
          <w14:ligatures w14:val="none"/>
        </w:rPr>
        <w:t>.</w:t>
      </w:r>
    </w:p>
    <w:p w14:paraId="706B4D08"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5F772C08" w14:textId="77777777" w:rsidR="00CB1C76" w:rsidRPr="00CB1C76" w:rsidRDefault="00CB1C76" w:rsidP="00CB1C76">
      <w:pPr>
        <w:numPr>
          <w:ilvl w:val="0"/>
          <w:numId w:val="6"/>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lastRenderedPageBreak/>
        <w:t xml:space="preserve">No obstante, la misma doctrina de esta dependencia también ha sido clara al establecer, que la utilización de la vinculación de aprendices para el cumplimiento del porcentaje de empleos directos generados en los dos (2) años anteriores del que habla el artículo </w:t>
      </w:r>
      <w:r w:rsidRPr="00CB1C76">
        <w:rPr>
          <w:rFonts w:ascii="Verdana" w:eastAsia="Times New Roman" w:hAnsi="Verdana" w:cs="Times New Roman"/>
          <w:color w:val="000000"/>
          <w:kern w:val="0"/>
          <w:u w:val="single"/>
          <w:lang w:val="es-CO" w:eastAsia="es-MX"/>
          <w14:ligatures w14:val="none"/>
        </w:rPr>
        <w:t>268</w:t>
      </w:r>
      <w:r w:rsidRPr="00CB1C76">
        <w:rPr>
          <w:rFonts w:ascii="Verdana" w:eastAsia="Times New Roman" w:hAnsi="Verdana" w:cs="Times New Roman"/>
          <w:color w:val="000000"/>
          <w:kern w:val="0"/>
          <w:lang w:val="es-CO" w:eastAsia="es-MX"/>
          <w14:ligatures w14:val="none"/>
        </w:rPr>
        <w:t xml:space="preserve"> ibidem, se entenderá sin perjuicio de los demás requisitos establecidos en otras normas</w:t>
      </w:r>
      <w:r w:rsidRPr="00CB1C76">
        <w:rPr>
          <w:rFonts w:ascii="Verdana" w:eastAsia="Times New Roman" w:hAnsi="Verdana" w:cs="Times New Roman"/>
          <w:color w:val="000000"/>
          <w:kern w:val="0"/>
          <w:vertAlign w:val="superscript"/>
          <w:lang w:val="es-CO" w:eastAsia="es-MX"/>
          <w14:ligatures w14:val="none"/>
        </w:rPr>
        <w:t>.</w:t>
      </w:r>
      <w:r w:rsidRPr="00CB1C76">
        <w:rPr>
          <w:rFonts w:ascii="Verdana" w:eastAsia="Times New Roman" w:hAnsi="Verdana" w:cs="Times New Roman"/>
          <w:color w:val="000000"/>
          <w:kern w:val="0"/>
          <w:u w:val="single"/>
          <w:vertAlign w:val="superscript"/>
          <w:lang w:val="es-CO" w:eastAsia="es-MX"/>
          <w14:ligatures w14:val="none"/>
        </w:rPr>
        <w:t>[]</w:t>
      </w:r>
    </w:p>
    <w:p w14:paraId="79E11FF8"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4C9470F8" w14:textId="77777777" w:rsidR="00CB1C76" w:rsidRPr="00CB1C76" w:rsidRDefault="00CB1C76" w:rsidP="00CB1C76">
      <w:pPr>
        <w:numPr>
          <w:ilvl w:val="0"/>
          <w:numId w:val="7"/>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En este sentido, el Decreto 1625 de 2016 en el numeral 5 de su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xml:space="preserve">., ha precisado que el empleo directo generado y tratándose de una Zona Económica y Social Especial - ZESE, es aquel que se genera cuando se vincula personal: i) contratado directamente por un contrato laboral y </w:t>
      </w:r>
      <w:proofErr w:type="spellStart"/>
      <w:r w:rsidRPr="00CB1C76">
        <w:rPr>
          <w:rFonts w:ascii="Verdana" w:eastAsia="Times New Roman" w:hAnsi="Verdana" w:cs="Times New Roman"/>
          <w:color w:val="000000"/>
          <w:kern w:val="0"/>
          <w:lang w:val="es-CO" w:eastAsia="es-MX"/>
          <w14:ligatures w14:val="none"/>
        </w:rPr>
        <w:t>ii</w:t>
      </w:r>
      <w:proofErr w:type="spellEnd"/>
      <w:r w:rsidRPr="00CB1C76">
        <w:rPr>
          <w:rFonts w:ascii="Verdana" w:eastAsia="Times New Roman" w:hAnsi="Verdana" w:cs="Times New Roman"/>
          <w:color w:val="000000"/>
          <w:kern w:val="0"/>
          <w:lang w:val="es-CO" w:eastAsia="es-MX"/>
          <w14:ligatures w14:val="none"/>
        </w:rPr>
        <w:t>) por tiempo completo.</w:t>
      </w:r>
    </w:p>
    <w:p w14:paraId="75BEA7F1"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2E3DBE31" w14:textId="77777777" w:rsidR="00CB1C76" w:rsidRPr="00CB1C76" w:rsidRDefault="00CB1C76" w:rsidP="00CB1C76">
      <w:pPr>
        <w:numPr>
          <w:ilvl w:val="0"/>
          <w:numId w:val="8"/>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De esta forma, la norma excluyó de manera expresa, para efectos de empleo directo generado, la contratación temporal o eventual de trabajadores o aquella efectuada por intermedio de empresas de servicios temporales (EST) o mediante formas de vinculación distintas del contrato laboral, o inclusive aquellas vinculaciones en las que, pese a mediar un contrato laboral, su jornada fuese a tiempo parcial</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lang w:val="es-CO" w:eastAsia="es-MX"/>
          <w14:ligatures w14:val="none"/>
        </w:rPr>
        <w:t>.</w:t>
      </w:r>
    </w:p>
    <w:p w14:paraId="11B61806" w14:textId="77777777" w:rsidR="00CB1C76" w:rsidRPr="00CB1C76" w:rsidRDefault="00CB1C76" w:rsidP="00CB1C76">
      <w:pPr>
        <w:numPr>
          <w:ilvl w:val="0"/>
          <w:numId w:val="9"/>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 xml:space="preserve">En este punto conviene precisar que la reforma introducida por el por el artículo 21 de la Ley 2466 de 2025, no modificó aspectos generales, ni formales o sustanciales del régimen ZESE, sino que modificó la naturaleza y tratamiento del contrato de aprendizaje, con efectos generales a todas las empresas estén estas ubicadas en una ZESE o en cualquier parte del territorio nacional y, en consecuencia, la generación del empleo directo o el aumento del porcentaje se debe acreditar según se ha establecido el artículo </w:t>
      </w:r>
      <w:r w:rsidRPr="00CB1C76">
        <w:rPr>
          <w:rFonts w:ascii="Verdana" w:eastAsia="Times New Roman" w:hAnsi="Verdana" w:cs="Times New Roman"/>
          <w:color w:val="000000"/>
          <w:kern w:val="0"/>
          <w:u w:val="single"/>
          <w:lang w:val="es-CO" w:eastAsia="es-MX"/>
          <w14:ligatures w14:val="none"/>
        </w:rPr>
        <w:t>268</w:t>
      </w:r>
      <w:r w:rsidRPr="00CB1C76">
        <w:rPr>
          <w:rFonts w:ascii="Verdana" w:eastAsia="Times New Roman" w:hAnsi="Verdana" w:cs="Times New Roman"/>
          <w:color w:val="000000"/>
          <w:kern w:val="0"/>
          <w:lang w:val="es-CO" w:eastAsia="es-MX"/>
          <w14:ligatures w14:val="none"/>
        </w:rPr>
        <w:t xml:space="preserve"> de la ley 1955 de 2019 y el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del Decreto 1625 de 2016 o demás normas especiales</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lang w:val="es-CO" w:eastAsia="es-MX"/>
          <w14:ligatures w14:val="none"/>
        </w:rPr>
        <w:t>.</w:t>
      </w:r>
    </w:p>
    <w:p w14:paraId="11C456D4" w14:textId="77777777" w:rsidR="00CB1C76" w:rsidRPr="00CB1C76" w:rsidRDefault="00CB1C76" w:rsidP="00CB1C76">
      <w:pPr>
        <w:rPr>
          <w:rFonts w:ascii="Times New Roman" w:eastAsia="Times New Roman" w:hAnsi="Times New Roman" w:cs="Times New Roman"/>
          <w:kern w:val="0"/>
          <w:lang w:val="es-CO" w:eastAsia="es-MX"/>
          <w14:ligatures w14:val="none"/>
        </w:rPr>
      </w:pPr>
      <w:r w:rsidRPr="00CB1C76">
        <w:rPr>
          <w:rFonts w:ascii="Times New Roman" w:eastAsia="Times New Roman" w:hAnsi="Times New Roman" w:cs="Times New Roman"/>
          <w:kern w:val="0"/>
          <w:lang w:val="es-CO" w:eastAsia="es-MX"/>
          <w14:ligatures w14:val="none"/>
        </w:rPr>
        <w:br/>
      </w:r>
    </w:p>
    <w:p w14:paraId="3443C2C8" w14:textId="77777777" w:rsidR="00CB1C76" w:rsidRPr="00CB1C76" w:rsidRDefault="00CB1C76" w:rsidP="00CB1C76">
      <w:pPr>
        <w:numPr>
          <w:ilvl w:val="0"/>
          <w:numId w:val="10"/>
        </w:numPr>
        <w:jc w:val="both"/>
        <w:textAlignment w:val="baseline"/>
        <w:rPr>
          <w:rFonts w:ascii="Verdana" w:eastAsia="Times New Roman" w:hAnsi="Verdana" w:cs="Times New Roman"/>
          <w:color w:val="000000"/>
          <w:kern w:val="0"/>
          <w:lang w:val="es-CO" w:eastAsia="es-MX"/>
          <w14:ligatures w14:val="none"/>
        </w:rPr>
      </w:pPr>
      <w:r w:rsidRPr="00CB1C76">
        <w:rPr>
          <w:rFonts w:ascii="Verdana" w:eastAsia="Times New Roman" w:hAnsi="Verdana" w:cs="Times New Roman"/>
          <w:color w:val="000000"/>
          <w:kern w:val="0"/>
          <w:lang w:val="es-CO" w:eastAsia="es-MX"/>
          <w14:ligatures w14:val="none"/>
        </w:rPr>
        <w:t>De esta forma, al ser el contrato de aprendizaje un contrato laboral especial que se rige por las normas sustantivas del Código Sustantivo del Trabajo</w:t>
      </w:r>
      <w:r w:rsidRPr="00CB1C76">
        <w:rPr>
          <w:rFonts w:ascii="Verdana" w:eastAsia="Times New Roman" w:hAnsi="Verdana" w:cs="Times New Roman"/>
          <w:color w:val="000000"/>
          <w:kern w:val="0"/>
          <w:u w:val="single"/>
          <w:vertAlign w:val="superscript"/>
          <w:lang w:val="es-CO" w:eastAsia="es-MX"/>
          <w14:ligatures w14:val="none"/>
        </w:rPr>
        <w:t>[]</w:t>
      </w:r>
      <w:r w:rsidRPr="00CB1C76">
        <w:rPr>
          <w:rFonts w:ascii="Verdana" w:eastAsia="Times New Roman" w:hAnsi="Verdana" w:cs="Times New Roman"/>
          <w:color w:val="000000"/>
          <w:kern w:val="0"/>
          <w:lang w:val="es-CO" w:eastAsia="es-MX"/>
          <w14:ligatures w14:val="none"/>
        </w:rPr>
        <w:t xml:space="preserve">, los aprendices se consideraran incluidos, en asuntos como el cumplimiento del porcentaje de empleos directos generados, siempre que cumplan con los requisitos del artículo 81 del Código Sustantivo del Trabajo, demás normas sustantivas laborales y se respete la jornada a tiempo completo de la que habla el numeral 5 del artículo </w:t>
      </w:r>
      <w:r w:rsidRPr="00CB1C76">
        <w:rPr>
          <w:rFonts w:ascii="Verdana" w:eastAsia="Times New Roman" w:hAnsi="Verdana" w:cs="Times New Roman"/>
          <w:color w:val="000000"/>
          <w:kern w:val="0"/>
          <w:u w:val="single"/>
          <w:lang w:val="es-CO" w:eastAsia="es-MX"/>
          <w14:ligatures w14:val="none"/>
        </w:rPr>
        <w:t>1.2.1.23.2.1</w:t>
      </w:r>
      <w:r w:rsidRPr="00CB1C76">
        <w:rPr>
          <w:rFonts w:ascii="Verdana" w:eastAsia="Times New Roman" w:hAnsi="Verdana" w:cs="Times New Roman"/>
          <w:color w:val="000000"/>
          <w:kern w:val="0"/>
          <w:lang w:val="es-CO" w:eastAsia="es-MX"/>
          <w14:ligatures w14:val="none"/>
        </w:rPr>
        <w:t>. del Decreto 1625 de 2016 para los empleos directos generados.</w:t>
      </w:r>
    </w:p>
    <w:p w14:paraId="5CD07F4F" w14:textId="26943C3D" w:rsidR="00537D8F" w:rsidRDefault="00CB1C76" w:rsidP="00CB1C76">
      <w:r w:rsidRPr="00CB1C76">
        <w:rPr>
          <w:rFonts w:ascii="Times New Roman" w:eastAsia="Times New Roman" w:hAnsi="Times New Roman" w:cs="Times New Roman"/>
          <w:kern w:val="0"/>
          <w:lang w:val="es-CO" w:eastAsia="es-MX"/>
          <w14:ligatures w14:val="none"/>
        </w:rPr>
        <w:br/>
      </w:r>
      <w:r w:rsidRPr="00CB1C76">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w:t>
      </w:r>
      <w:r w:rsidRPr="00CB1C76">
        <w:rPr>
          <w:rFonts w:ascii="Verdana" w:eastAsia="Times New Roman" w:hAnsi="Verdana" w:cs="Times New Roman"/>
          <w:color w:val="000000"/>
          <w:kern w:val="0"/>
          <w:lang w:val="es-CO" w:eastAsia="es-MX"/>
          <w14:ligatures w14:val="none"/>
        </w:rPr>
        <w:lastRenderedPageBreak/>
        <w:t xml:space="preserve">consultarse en el normograma DIAN: </w:t>
      </w:r>
      <w:hyperlink r:id="rId5" w:history="1">
        <w:r w:rsidRPr="00CB1C76">
          <w:rPr>
            <w:rFonts w:ascii="Verdana" w:eastAsia="Times New Roman" w:hAnsi="Verdana" w:cs="Times New Roman"/>
            <w:color w:val="000000"/>
            <w:kern w:val="0"/>
            <w:u w:val="single"/>
            <w:lang w:val="es-CO" w:eastAsia="es-MX"/>
            <w14:ligatures w14:val="none"/>
          </w:rPr>
          <w:t>https://normograma.dian.gov.co/dian/.</w:t>
        </w:r>
      </w:hyperlink>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1924AF"/>
    <w:multiLevelType w:val="multilevel"/>
    <w:tmpl w:val="E95AB45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9375F6B"/>
    <w:multiLevelType w:val="multilevel"/>
    <w:tmpl w:val="BA9A5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876D4C"/>
    <w:multiLevelType w:val="multilevel"/>
    <w:tmpl w:val="B2DAC54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D32A37"/>
    <w:multiLevelType w:val="multilevel"/>
    <w:tmpl w:val="7AD49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EC41A70"/>
    <w:multiLevelType w:val="multilevel"/>
    <w:tmpl w:val="CDC0BD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04D1B5A"/>
    <w:multiLevelType w:val="multilevel"/>
    <w:tmpl w:val="F89AB4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5616616"/>
    <w:multiLevelType w:val="multilevel"/>
    <w:tmpl w:val="2D5EBB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8A0483"/>
    <w:multiLevelType w:val="multilevel"/>
    <w:tmpl w:val="82E051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E005F0"/>
    <w:multiLevelType w:val="multilevel"/>
    <w:tmpl w:val="DFF099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2087276">
    <w:abstractNumId w:val="3"/>
  </w:num>
  <w:num w:numId="2" w16cid:durableId="179050677">
    <w:abstractNumId w:val="1"/>
    <w:lvlOverride w:ilvl="0">
      <w:lvl w:ilvl="0">
        <w:numFmt w:val="decimal"/>
        <w:lvlText w:val="%1."/>
        <w:lvlJc w:val="left"/>
      </w:lvl>
    </w:lvlOverride>
  </w:num>
  <w:num w:numId="3" w16cid:durableId="1507208230">
    <w:abstractNumId w:val="8"/>
    <w:lvlOverride w:ilvl="0">
      <w:lvl w:ilvl="0">
        <w:numFmt w:val="decimal"/>
        <w:lvlText w:val="%1."/>
        <w:lvlJc w:val="left"/>
      </w:lvl>
    </w:lvlOverride>
  </w:num>
  <w:num w:numId="4" w16cid:durableId="53503851">
    <w:abstractNumId w:val="4"/>
    <w:lvlOverride w:ilvl="0">
      <w:lvl w:ilvl="0">
        <w:numFmt w:val="decimal"/>
        <w:lvlText w:val="%1."/>
        <w:lvlJc w:val="left"/>
      </w:lvl>
    </w:lvlOverride>
  </w:num>
  <w:num w:numId="5" w16cid:durableId="386805334">
    <w:abstractNumId w:val="5"/>
    <w:lvlOverride w:ilvl="0">
      <w:lvl w:ilvl="0">
        <w:numFmt w:val="decimal"/>
        <w:lvlText w:val="%1."/>
        <w:lvlJc w:val="left"/>
      </w:lvl>
    </w:lvlOverride>
  </w:num>
  <w:num w:numId="6" w16cid:durableId="875461960">
    <w:abstractNumId w:val="6"/>
    <w:lvlOverride w:ilvl="0">
      <w:lvl w:ilvl="0">
        <w:numFmt w:val="decimal"/>
        <w:lvlText w:val="%1."/>
        <w:lvlJc w:val="left"/>
      </w:lvl>
    </w:lvlOverride>
  </w:num>
  <w:num w:numId="7" w16cid:durableId="1379815425">
    <w:abstractNumId w:val="7"/>
    <w:lvlOverride w:ilvl="0">
      <w:lvl w:ilvl="0">
        <w:numFmt w:val="decimal"/>
        <w:lvlText w:val="%1."/>
        <w:lvlJc w:val="left"/>
      </w:lvl>
    </w:lvlOverride>
  </w:num>
  <w:num w:numId="8" w16cid:durableId="1376664664">
    <w:abstractNumId w:val="2"/>
    <w:lvlOverride w:ilvl="0">
      <w:lvl w:ilvl="0">
        <w:numFmt w:val="decimal"/>
        <w:lvlText w:val="%1."/>
        <w:lvlJc w:val="left"/>
      </w:lvl>
    </w:lvlOverride>
  </w:num>
  <w:num w:numId="9" w16cid:durableId="87972092">
    <w:abstractNumId w:val="2"/>
    <w:lvlOverride w:ilvl="0">
      <w:lvl w:ilvl="0">
        <w:numFmt w:val="decimal"/>
        <w:lvlText w:val="%1."/>
        <w:lvlJc w:val="left"/>
      </w:lvl>
    </w:lvlOverride>
  </w:num>
  <w:num w:numId="10" w16cid:durableId="579867817">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C76"/>
    <w:rsid w:val="000B2285"/>
    <w:rsid w:val="0044004F"/>
    <w:rsid w:val="00537D8F"/>
    <w:rsid w:val="00B83A7B"/>
    <w:rsid w:val="00CB1C76"/>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5580744"/>
  <w14:defaultImageDpi w14:val="32767"/>
  <w15:chartTrackingRefBased/>
  <w15:docId w15:val="{6D4CD366-A869-1345-84B1-90142B54D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B1C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B1C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B1C7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B1C7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B1C7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B1C7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B1C7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B1C7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B1C7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B1C7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B1C7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B1C7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B1C7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B1C7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B1C7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B1C7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B1C7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B1C76"/>
    <w:rPr>
      <w:rFonts w:eastAsiaTheme="majorEastAsia" w:cstheme="majorBidi"/>
      <w:color w:val="272727" w:themeColor="text1" w:themeTint="D8"/>
    </w:rPr>
  </w:style>
  <w:style w:type="paragraph" w:styleId="Ttulo">
    <w:name w:val="Title"/>
    <w:basedOn w:val="Normal"/>
    <w:next w:val="Normal"/>
    <w:link w:val="TtuloCar"/>
    <w:uiPriority w:val="10"/>
    <w:qFormat/>
    <w:rsid w:val="00CB1C7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B1C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B1C7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B1C7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B1C7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B1C76"/>
    <w:rPr>
      <w:i/>
      <w:iCs/>
      <w:color w:val="404040" w:themeColor="text1" w:themeTint="BF"/>
    </w:rPr>
  </w:style>
  <w:style w:type="paragraph" w:styleId="Prrafodelista">
    <w:name w:val="List Paragraph"/>
    <w:basedOn w:val="Normal"/>
    <w:uiPriority w:val="34"/>
    <w:qFormat/>
    <w:rsid w:val="00CB1C76"/>
    <w:pPr>
      <w:ind w:left="720"/>
      <w:contextualSpacing/>
    </w:pPr>
  </w:style>
  <w:style w:type="character" w:styleId="nfasisintenso">
    <w:name w:val="Intense Emphasis"/>
    <w:basedOn w:val="Fuentedeprrafopredeter"/>
    <w:uiPriority w:val="21"/>
    <w:qFormat/>
    <w:rsid w:val="00CB1C76"/>
    <w:rPr>
      <w:i/>
      <w:iCs/>
      <w:color w:val="2F5496" w:themeColor="accent1" w:themeShade="BF"/>
    </w:rPr>
  </w:style>
  <w:style w:type="paragraph" w:styleId="Citadestacada">
    <w:name w:val="Intense Quote"/>
    <w:basedOn w:val="Normal"/>
    <w:next w:val="Normal"/>
    <w:link w:val="CitadestacadaCar"/>
    <w:uiPriority w:val="30"/>
    <w:qFormat/>
    <w:rsid w:val="00CB1C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B1C76"/>
    <w:rPr>
      <w:i/>
      <w:iCs/>
      <w:color w:val="2F5496" w:themeColor="accent1" w:themeShade="BF"/>
    </w:rPr>
  </w:style>
  <w:style w:type="character" w:styleId="Referenciaintensa">
    <w:name w:val="Intense Reference"/>
    <w:basedOn w:val="Fuentedeprrafopredeter"/>
    <w:uiPriority w:val="32"/>
    <w:qFormat/>
    <w:rsid w:val="00CB1C76"/>
    <w:rPr>
      <w:b/>
      <w:bCs/>
      <w:smallCaps/>
      <w:color w:val="2F5496" w:themeColor="accent1" w:themeShade="BF"/>
      <w:spacing w:val="5"/>
    </w:rPr>
  </w:style>
  <w:style w:type="paragraph" w:styleId="NormalWeb">
    <w:name w:val="Normal (Web)"/>
    <w:basedOn w:val="Normal"/>
    <w:uiPriority w:val="99"/>
    <w:semiHidden/>
    <w:unhideWhenUsed/>
    <w:rsid w:val="00CB1C76"/>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B1C76"/>
  </w:style>
  <w:style w:type="character" w:styleId="Hipervnculo">
    <w:name w:val="Hyperlink"/>
    <w:basedOn w:val="Fuentedeprrafopredeter"/>
    <w:uiPriority w:val="99"/>
    <w:semiHidden/>
    <w:unhideWhenUsed/>
    <w:rsid w:val="00CB1C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932</Words>
  <Characters>5132</Characters>
  <Application>Microsoft Office Word</Application>
  <DocSecurity>0</DocSecurity>
  <Lines>42</Lines>
  <Paragraphs>12</Paragraphs>
  <ScaleCrop>false</ScaleCrop>
  <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2025-12-15T16:12:00Z</dcterms:created>
  <dcterms:modified xsi:type="dcterms:W3CDTF">2025-12-15T16:15:00Z</dcterms:modified>
</cp:coreProperties>
</file>