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A763F2" w14:textId="77777777" w:rsidR="00A0384D" w:rsidRPr="00A0384D" w:rsidRDefault="00A0384D" w:rsidP="00A0384D">
      <w:pPr>
        <w:shd w:val="clear" w:color="auto" w:fill="FFFFFF"/>
        <w:spacing w:line="480" w:lineRule="atLeast"/>
        <w:jc w:val="center"/>
        <w:rPr>
          <w:rFonts w:ascii="Roboto Condensed" w:eastAsia="Times New Roman" w:hAnsi="Roboto Condensed" w:cs="Times New Roman"/>
          <w:color w:val="343536"/>
          <w:spacing w:val="2"/>
          <w:kern w:val="0"/>
          <w:sz w:val="27"/>
          <w:szCs w:val="27"/>
          <w:lang w:val="es-CO" w:eastAsia="es-MX"/>
          <w14:ligatures w14:val="none"/>
        </w:rPr>
      </w:pPr>
      <w:bookmarkStart w:id="0" w:name="documento_top"/>
      <w:bookmarkEnd w:id="0"/>
      <w:r w:rsidRPr="00A0384D">
        <w:rPr>
          <w:rFonts w:ascii="Roboto Condensed" w:eastAsia="Times New Roman" w:hAnsi="Roboto Condensed" w:cs="Times New Roman"/>
          <w:b/>
          <w:bCs/>
          <w:color w:val="343536"/>
          <w:spacing w:val="2"/>
          <w:kern w:val="0"/>
          <w:sz w:val="36"/>
          <w:szCs w:val="36"/>
          <w:lang w:val="es-CO" w:eastAsia="es-MX"/>
          <w14:ligatures w14:val="none"/>
        </w:rPr>
        <w:t>CONCEPTO 015945 int 1931 DE 2025</w:t>
      </w:r>
    </w:p>
    <w:p w14:paraId="35B204F2" w14:textId="77777777" w:rsidR="00A0384D" w:rsidRPr="00A0384D" w:rsidRDefault="00A0384D" w:rsidP="00A0384D">
      <w:pPr>
        <w:shd w:val="clear" w:color="auto" w:fill="FFFFFF"/>
        <w:spacing w:after="240" w:line="480" w:lineRule="atLeast"/>
        <w:jc w:val="center"/>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(noviembre 21)</w:t>
      </w:r>
    </w:p>
    <w:p w14:paraId="720B5095" w14:textId="77777777" w:rsidR="00A0384D" w:rsidRPr="00A0384D" w:rsidRDefault="00A0384D" w:rsidP="00A0384D">
      <w:pPr>
        <w:shd w:val="clear" w:color="auto" w:fill="FFFFFF"/>
        <w:spacing w:line="480" w:lineRule="atLeast"/>
        <w:jc w:val="center"/>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DIRECCIÓN DE IMPUESTOS Y ADUANAS NACIONALES</w:t>
      </w:r>
    </w:p>
    <w:p w14:paraId="371F6468" w14:textId="77777777" w:rsidR="00A0384D" w:rsidRPr="00A0384D" w:rsidRDefault="00A0384D" w:rsidP="00A0384D">
      <w:pPr>
        <w:shd w:val="clear" w:color="auto" w:fill="FFFFFF"/>
        <w:spacing w:line="480" w:lineRule="atLeast"/>
        <w:jc w:val="center"/>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Unidad Informática de Doctrina</w:t>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2145"/>
        <w:gridCol w:w="6693"/>
      </w:tblGrid>
      <w:tr w:rsidR="00A0384D" w:rsidRPr="00A0384D" w14:paraId="2187E977"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4A5BC26C"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Área del Derecho</w:t>
            </w:r>
          </w:p>
        </w:tc>
        <w:tc>
          <w:tcPr>
            <w:tcW w:w="3800" w:type="pct"/>
            <w:tcBorders>
              <w:top w:val="nil"/>
              <w:left w:val="nil"/>
              <w:bottom w:val="nil"/>
              <w:right w:val="nil"/>
            </w:tcBorders>
            <w:tcMar>
              <w:top w:w="0" w:type="dxa"/>
              <w:left w:w="0" w:type="dxa"/>
              <w:bottom w:w="0" w:type="dxa"/>
              <w:right w:w="0" w:type="dxa"/>
            </w:tcMar>
            <w:hideMark/>
          </w:tcPr>
          <w:p w14:paraId="3D3E7E81"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Tributario</w:t>
            </w:r>
            <w:r w:rsidRPr="00A0384D">
              <w:rPr>
                <w:rFonts w:ascii="Roboto Condensed" w:eastAsia="Times New Roman" w:hAnsi="Roboto Condensed" w:cs="Times New Roman"/>
                <w:b/>
                <w:bCs/>
                <w:color w:val="343536"/>
                <w:spacing w:val="2"/>
                <w:kern w:val="0"/>
                <w:sz w:val="21"/>
                <w:szCs w:val="21"/>
                <w:lang w:val="es-CO" w:eastAsia="es-MX"/>
                <w14:ligatures w14:val="none"/>
              </w:rPr>
              <w:br/>
            </w:r>
          </w:p>
        </w:tc>
      </w:tr>
      <w:tr w:rsidR="00A0384D" w:rsidRPr="00A0384D" w14:paraId="66A6A4C6"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76144275"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Banco de Datos</w:t>
            </w:r>
          </w:p>
        </w:tc>
        <w:tc>
          <w:tcPr>
            <w:tcW w:w="3800" w:type="pct"/>
            <w:tcBorders>
              <w:top w:val="nil"/>
              <w:left w:val="nil"/>
              <w:bottom w:val="nil"/>
              <w:right w:val="nil"/>
            </w:tcBorders>
            <w:tcMar>
              <w:top w:w="0" w:type="dxa"/>
              <w:left w:w="0" w:type="dxa"/>
              <w:bottom w:w="0" w:type="dxa"/>
              <w:right w:w="0" w:type="dxa"/>
            </w:tcMar>
            <w:hideMark/>
          </w:tcPr>
          <w:p w14:paraId="0246869B"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Procedimiento Tributario</w:t>
            </w:r>
            <w:r w:rsidRPr="00A0384D">
              <w:rPr>
                <w:rFonts w:ascii="Roboto Condensed" w:eastAsia="Times New Roman" w:hAnsi="Roboto Condensed" w:cs="Times New Roman"/>
                <w:b/>
                <w:bCs/>
                <w:color w:val="343536"/>
                <w:spacing w:val="2"/>
                <w:kern w:val="0"/>
                <w:sz w:val="21"/>
                <w:szCs w:val="21"/>
                <w:lang w:val="es-CO" w:eastAsia="es-MX"/>
                <w14:ligatures w14:val="none"/>
              </w:rPr>
              <w:br/>
            </w:r>
          </w:p>
        </w:tc>
      </w:tr>
      <w:tr w:rsidR="00A0384D" w:rsidRPr="00A0384D" w14:paraId="63065F27"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220C302D"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Problema Jurídico</w:t>
            </w:r>
          </w:p>
        </w:tc>
        <w:tc>
          <w:tcPr>
            <w:tcW w:w="3800" w:type="pct"/>
            <w:tcBorders>
              <w:top w:val="nil"/>
              <w:left w:val="nil"/>
              <w:bottom w:val="nil"/>
              <w:right w:val="nil"/>
            </w:tcBorders>
            <w:tcMar>
              <w:top w:w="0" w:type="dxa"/>
              <w:left w:w="0" w:type="dxa"/>
              <w:bottom w:w="0" w:type="dxa"/>
              <w:right w:w="0" w:type="dxa"/>
            </w:tcMar>
            <w:hideMark/>
          </w:tcPr>
          <w:p w14:paraId="48A0FC93"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PROBLEMA JURÍDICO No. 1.</w:t>
            </w:r>
          </w:p>
        </w:tc>
      </w:tr>
      <w:tr w:rsidR="00A0384D" w:rsidRPr="00A0384D" w14:paraId="1013551D"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067D4D83" w14:textId="77777777" w:rsidR="00A0384D" w:rsidRPr="00A0384D" w:rsidRDefault="00A0384D" w:rsidP="00A0384D">
            <w:pPr>
              <w:spacing w:line="270"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¿Se encuentran todas las entidades señaladas en el artículo </w:t>
            </w:r>
            <w:hyperlink r:id="rId4" w:anchor="23" w:history="1">
              <w:r w:rsidRPr="00A0384D">
                <w:rPr>
                  <w:rFonts w:ascii="Roboto Condensed" w:eastAsia="Times New Roman" w:hAnsi="Roboto Condensed" w:cs="Times New Roman"/>
                  <w:color w:val="00A9E0"/>
                  <w:spacing w:val="2"/>
                  <w:kern w:val="0"/>
                  <w:sz w:val="21"/>
                  <w:szCs w:val="21"/>
                  <w:u w:val="single"/>
                  <w:lang w:val="es-CO" w:eastAsia="es-MX"/>
                  <w14:ligatures w14:val="none"/>
                </w:rPr>
                <w:t>23</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 obligadas a reportar información exógena de que tratan los artículos </w:t>
            </w:r>
            <w:hyperlink r:id="rId5"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y </w:t>
            </w:r>
            <w:hyperlink r:id="rId6" w:anchor="1.3.12.8"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1.3.12.8</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w:t>
            </w:r>
            <w:r w:rsidRPr="00A0384D">
              <w:rPr>
                <w:rFonts w:ascii="Roboto Condensed" w:eastAsia="Times New Roman" w:hAnsi="Roboto Condensed" w:cs="Times New Roman"/>
                <w:color w:val="343536"/>
                <w:spacing w:val="2"/>
                <w:kern w:val="0"/>
                <w:sz w:val="21"/>
                <w:szCs w:val="21"/>
                <w:vertAlign w:val="superscript"/>
                <w:lang w:val="es-CO" w:eastAsia="es-MX"/>
                <w14:ligatures w14:val="none"/>
              </w:rPr>
              <w:t>3</w:t>
            </w:r>
            <w:r w:rsidRPr="00A0384D">
              <w:rPr>
                <w:rFonts w:ascii="Roboto Condensed" w:eastAsia="Times New Roman" w:hAnsi="Roboto Condensed" w:cs="Times New Roman"/>
                <w:color w:val="343536"/>
                <w:spacing w:val="2"/>
                <w:kern w:val="0"/>
                <w:sz w:val="21"/>
                <w:szCs w:val="21"/>
                <w:lang w:val="es-CO" w:eastAsia="es-MX"/>
                <w14:ligatures w14:val="none"/>
              </w:rPr>
              <w:t>?</w:t>
            </w:r>
          </w:p>
        </w:tc>
      </w:tr>
      <w:tr w:rsidR="00A0384D" w:rsidRPr="00A0384D" w14:paraId="472946F2"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50B4E7B1"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PROBLEMA JURÍDICO No. 2</w:t>
            </w:r>
          </w:p>
        </w:tc>
      </w:tr>
      <w:tr w:rsidR="00A0384D" w:rsidRPr="00A0384D" w14:paraId="562EF643"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15937CFF" w14:textId="77777777" w:rsidR="00A0384D" w:rsidRPr="00A0384D" w:rsidRDefault="00A0384D" w:rsidP="00A0384D">
            <w:pPr>
              <w:spacing w:line="270"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¿Las entidades del régimen tributario especial que determinan su beneficio neto según el artículo </w:t>
            </w:r>
            <w:hyperlink r:id="rId7" w:anchor="357" w:history="1">
              <w:r w:rsidRPr="00A0384D">
                <w:rPr>
                  <w:rFonts w:ascii="Roboto Condensed" w:eastAsia="Times New Roman" w:hAnsi="Roboto Condensed" w:cs="Times New Roman"/>
                  <w:color w:val="00A9E0"/>
                  <w:spacing w:val="2"/>
                  <w:kern w:val="0"/>
                  <w:sz w:val="21"/>
                  <w:szCs w:val="21"/>
                  <w:u w:val="single"/>
                  <w:lang w:val="es-CO" w:eastAsia="es-MX"/>
                  <w14:ligatures w14:val="none"/>
                </w:rPr>
                <w:t>357</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 deben reportar en el año 2026 la información de los artículos </w:t>
            </w:r>
            <w:hyperlink r:id="rId8"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y </w:t>
            </w:r>
            <w:hyperlink r:id="rId9" w:anchor="1.3.12.8"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1.3.12.8</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w:t>
            </w:r>
          </w:p>
        </w:tc>
      </w:tr>
      <w:tr w:rsidR="00A0384D" w:rsidRPr="00A0384D" w14:paraId="71DE5292"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62AA47F2"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Tesis Jurídica</w:t>
            </w:r>
          </w:p>
        </w:tc>
        <w:tc>
          <w:tcPr>
            <w:tcW w:w="3800" w:type="pct"/>
            <w:tcBorders>
              <w:top w:val="nil"/>
              <w:left w:val="nil"/>
              <w:bottom w:val="nil"/>
              <w:right w:val="nil"/>
            </w:tcBorders>
            <w:tcMar>
              <w:top w:w="0" w:type="dxa"/>
              <w:left w:w="0" w:type="dxa"/>
              <w:bottom w:w="0" w:type="dxa"/>
              <w:right w:w="0" w:type="dxa"/>
            </w:tcMar>
            <w:hideMark/>
          </w:tcPr>
          <w:p w14:paraId="3997066D"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TESIS JURÍDICA No. 1.</w:t>
            </w:r>
          </w:p>
        </w:tc>
      </w:tr>
      <w:tr w:rsidR="00A0384D" w:rsidRPr="00A0384D" w14:paraId="59159FBD"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7912961C" w14:textId="77777777" w:rsidR="00A0384D" w:rsidRPr="00A0384D" w:rsidRDefault="00A0384D" w:rsidP="00A0384D">
            <w:pPr>
              <w:spacing w:line="270"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No. La obligación de reporte señalada en los artículos </w:t>
            </w:r>
            <w:hyperlink r:id="rId10"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y </w:t>
            </w:r>
            <w:hyperlink r:id="rId11" w:anchor="1.3.12.8"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1.3.12.8</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 está condicionada a que las entidades del artículo </w:t>
            </w:r>
            <w:hyperlink r:id="rId12" w:anchor="23" w:history="1">
              <w:r w:rsidRPr="00A0384D">
                <w:rPr>
                  <w:rFonts w:ascii="Roboto Condensed" w:eastAsia="Times New Roman" w:hAnsi="Roboto Condensed" w:cs="Times New Roman"/>
                  <w:color w:val="00A9E0"/>
                  <w:spacing w:val="2"/>
                  <w:kern w:val="0"/>
                  <w:sz w:val="21"/>
                  <w:szCs w:val="21"/>
                  <w:u w:val="single"/>
                  <w:lang w:val="es-CO" w:eastAsia="es-MX"/>
                  <w14:ligatures w14:val="none"/>
                </w:rPr>
                <w:t>23</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 hayan obtenido ingresos brutos superiores a 20.000 UVT durante el año gravable a reportar o en el año gravable inmediatamente anterior.</w:t>
            </w:r>
          </w:p>
        </w:tc>
      </w:tr>
      <w:tr w:rsidR="00A0384D" w:rsidRPr="00A0384D" w14:paraId="21A5F465"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2D9E0155"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b/>
                <w:bCs/>
                <w:color w:val="343536"/>
                <w:spacing w:val="2"/>
                <w:kern w:val="0"/>
                <w:sz w:val="21"/>
                <w:szCs w:val="21"/>
                <w:lang w:val="es-CO" w:eastAsia="es-MX"/>
                <w14:ligatures w14:val="none"/>
              </w:rPr>
              <w:t>TESIS JURÍDICA No. 2</w:t>
            </w:r>
          </w:p>
        </w:tc>
      </w:tr>
      <w:tr w:rsidR="00A0384D" w:rsidRPr="00A0384D" w14:paraId="14D1795D" w14:textId="77777777">
        <w:trPr>
          <w:tblCellSpacing w:w="15" w:type="dxa"/>
        </w:trPr>
        <w:tc>
          <w:tcPr>
            <w:tcW w:w="5000" w:type="pct"/>
            <w:gridSpan w:val="2"/>
            <w:tcBorders>
              <w:top w:val="nil"/>
              <w:left w:val="nil"/>
              <w:bottom w:val="nil"/>
              <w:right w:val="nil"/>
            </w:tcBorders>
            <w:tcMar>
              <w:top w:w="0" w:type="dxa"/>
              <w:left w:w="0" w:type="dxa"/>
              <w:bottom w:w="0" w:type="dxa"/>
              <w:right w:w="0" w:type="dxa"/>
            </w:tcMar>
            <w:hideMark/>
          </w:tcPr>
          <w:p w14:paraId="769D8A59"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No. El artículo </w:t>
            </w:r>
            <w:hyperlink r:id="rId13"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 es claro en señalar las entidades obligadas y estas son: no contribuyentes declarantes de conformidad con el artículo </w:t>
            </w:r>
            <w:hyperlink r:id="rId14" w:anchor="23" w:history="1">
              <w:r w:rsidRPr="00A0384D">
                <w:rPr>
                  <w:rFonts w:ascii="Roboto Condensed" w:eastAsia="Times New Roman" w:hAnsi="Roboto Condensed" w:cs="Times New Roman"/>
                  <w:color w:val="00A9E0"/>
                  <w:spacing w:val="2"/>
                  <w:kern w:val="0"/>
                  <w:sz w:val="21"/>
                  <w:szCs w:val="21"/>
                  <w:u w:val="single"/>
                  <w:lang w:val="es-CO" w:eastAsia="es-MX"/>
                  <w14:ligatures w14:val="none"/>
                </w:rPr>
                <w:t>23</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 que sean sindicatos, asociaciones gremiales, fondos de empleados, fondos mutuos de inversión, las iglesias y confesiones religiosas reconocidas por el Ministerio del Interior o por la ley, sociedades o entidades de alcohólicos anónimos, siempre que en el año gravable a reportar o en el año gravable inmediatamente anterior, hayan obtenido ingresos brutos superiores a 20.000 UVT.</w:t>
            </w:r>
            <w:r w:rsidRPr="00A0384D">
              <w:rPr>
                <w:rFonts w:ascii="Roboto Condensed" w:eastAsia="Times New Roman" w:hAnsi="Roboto Condensed" w:cs="Times New Roman"/>
                <w:color w:val="343536"/>
                <w:spacing w:val="2"/>
                <w:kern w:val="0"/>
                <w:sz w:val="21"/>
                <w:szCs w:val="21"/>
                <w:lang w:val="es-CO" w:eastAsia="es-MX"/>
                <w14:ligatures w14:val="none"/>
              </w:rPr>
              <w:br/>
            </w:r>
            <w:r w:rsidRPr="00A0384D">
              <w:rPr>
                <w:rFonts w:ascii="Roboto Condensed" w:eastAsia="Times New Roman" w:hAnsi="Roboto Condensed" w:cs="Times New Roman"/>
                <w:color w:val="343536"/>
                <w:spacing w:val="2"/>
                <w:kern w:val="0"/>
                <w:sz w:val="21"/>
                <w:szCs w:val="21"/>
                <w:lang w:val="es-CO" w:eastAsia="es-MX"/>
                <w14:ligatures w14:val="none"/>
              </w:rPr>
              <w:br/>
              <w:t>Las entidades que pertenecen al régimen tributario especial del artículo </w:t>
            </w:r>
            <w:hyperlink r:id="rId15" w:anchor="19" w:history="1">
              <w:r w:rsidRPr="00A0384D">
                <w:rPr>
                  <w:rFonts w:ascii="Roboto Condensed" w:eastAsia="Times New Roman" w:hAnsi="Roboto Condensed" w:cs="Times New Roman"/>
                  <w:color w:val="00A9E0"/>
                  <w:spacing w:val="2"/>
                  <w:kern w:val="0"/>
                  <w:sz w:val="21"/>
                  <w:szCs w:val="21"/>
                  <w:u w:val="single"/>
                  <w:lang w:val="es-CO" w:eastAsia="es-MX"/>
                  <w14:ligatures w14:val="none"/>
                </w:rPr>
                <w:t>19</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 son las que determinan su beneficio o excedente neto de acuerdo con el artículo </w:t>
            </w:r>
            <w:hyperlink r:id="rId16" w:anchor="357" w:history="1">
              <w:r w:rsidRPr="00A0384D">
                <w:rPr>
                  <w:rFonts w:ascii="Roboto Condensed" w:eastAsia="Times New Roman" w:hAnsi="Roboto Condensed" w:cs="Times New Roman"/>
                  <w:color w:val="00A9E0"/>
                  <w:spacing w:val="2"/>
                  <w:kern w:val="0"/>
                  <w:sz w:val="21"/>
                  <w:szCs w:val="21"/>
                  <w:u w:val="single"/>
                  <w:lang w:val="es-CO" w:eastAsia="es-MX"/>
                  <w14:ligatures w14:val="none"/>
                </w:rPr>
                <w:t>357</w:t>
              </w:r>
            </w:hyperlink>
            <w:r w:rsidRPr="00A0384D">
              <w:rPr>
                <w:rFonts w:ascii="Roboto Condensed" w:eastAsia="Times New Roman" w:hAnsi="Roboto Condensed" w:cs="Times New Roman"/>
                <w:color w:val="343536"/>
                <w:spacing w:val="2"/>
                <w:kern w:val="0"/>
                <w:sz w:val="21"/>
                <w:szCs w:val="21"/>
                <w:lang w:val="es-CO" w:eastAsia="es-MX"/>
                <w14:ligatures w14:val="none"/>
              </w:rPr>
              <w:t> </w:t>
            </w:r>
            <w:r w:rsidRPr="00A0384D">
              <w:rPr>
                <w:rFonts w:ascii="Roboto Condensed" w:eastAsia="Times New Roman" w:hAnsi="Roboto Condensed" w:cs="Times New Roman"/>
                <w:i/>
                <w:iCs/>
                <w:color w:val="343536"/>
                <w:spacing w:val="2"/>
                <w:kern w:val="0"/>
                <w:sz w:val="21"/>
                <w:szCs w:val="21"/>
                <w:lang w:val="es-CO" w:eastAsia="es-MX"/>
                <w14:ligatures w14:val="none"/>
              </w:rPr>
              <w:t>ibidem</w:t>
            </w:r>
            <w:r w:rsidRPr="00A0384D">
              <w:rPr>
                <w:rFonts w:ascii="Roboto Condensed" w:eastAsia="Times New Roman" w:hAnsi="Roboto Condensed" w:cs="Times New Roman"/>
                <w:color w:val="343536"/>
                <w:spacing w:val="2"/>
                <w:kern w:val="0"/>
                <w:sz w:val="21"/>
                <w:szCs w:val="21"/>
                <w:lang w:val="es-CO" w:eastAsia="es-MX"/>
                <w14:ligatures w14:val="none"/>
              </w:rPr>
              <w:t>, entre otros, y no están relacionadas en el artículo </w:t>
            </w:r>
            <w:hyperlink r:id="rId17"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w:t>
            </w:r>
          </w:p>
        </w:tc>
      </w:tr>
      <w:tr w:rsidR="00A0384D" w:rsidRPr="00A0384D" w14:paraId="4DA21081"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43299005"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Descriptores</w:t>
            </w:r>
          </w:p>
        </w:tc>
        <w:tc>
          <w:tcPr>
            <w:tcW w:w="3800" w:type="pct"/>
            <w:tcBorders>
              <w:top w:val="nil"/>
              <w:left w:val="nil"/>
              <w:bottom w:val="nil"/>
              <w:right w:val="nil"/>
            </w:tcBorders>
            <w:tcMar>
              <w:top w:w="0" w:type="dxa"/>
              <w:left w:w="0" w:type="dxa"/>
              <w:bottom w:w="0" w:type="dxa"/>
              <w:right w:w="0" w:type="dxa"/>
            </w:tcMar>
            <w:hideMark/>
          </w:tcPr>
          <w:p w14:paraId="2C86E23D"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Obligados a suministrar información tributaria</w:t>
            </w:r>
          </w:p>
        </w:tc>
      </w:tr>
      <w:tr w:rsidR="00A0384D" w:rsidRPr="00A0384D" w14:paraId="7B485F52" w14:textId="77777777">
        <w:trPr>
          <w:tblCellSpacing w:w="15" w:type="dxa"/>
        </w:trPr>
        <w:tc>
          <w:tcPr>
            <w:tcW w:w="1200" w:type="pct"/>
            <w:tcBorders>
              <w:top w:val="nil"/>
              <w:left w:val="nil"/>
              <w:bottom w:val="nil"/>
              <w:right w:val="nil"/>
            </w:tcBorders>
            <w:tcMar>
              <w:top w:w="0" w:type="dxa"/>
              <w:left w:w="0" w:type="dxa"/>
              <w:bottom w:w="0" w:type="dxa"/>
              <w:right w:w="0" w:type="dxa"/>
            </w:tcMar>
            <w:hideMark/>
          </w:tcPr>
          <w:p w14:paraId="5D60169A"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Fuentes Formales</w:t>
            </w:r>
          </w:p>
        </w:tc>
        <w:tc>
          <w:tcPr>
            <w:tcW w:w="3800" w:type="pct"/>
            <w:tcBorders>
              <w:top w:val="nil"/>
              <w:left w:val="nil"/>
              <w:bottom w:val="nil"/>
              <w:right w:val="nil"/>
            </w:tcBorders>
            <w:tcMar>
              <w:top w:w="0" w:type="dxa"/>
              <w:left w:w="0" w:type="dxa"/>
              <w:bottom w:w="0" w:type="dxa"/>
              <w:right w:w="0" w:type="dxa"/>
            </w:tcMar>
            <w:hideMark/>
          </w:tcPr>
          <w:p w14:paraId="4A5007CF" w14:textId="77777777" w:rsidR="00A0384D" w:rsidRPr="00A0384D" w:rsidRDefault="00A0384D" w:rsidP="00A0384D">
            <w:pPr>
              <w:spacing w:line="245" w:lineRule="atLeast"/>
              <w:rPr>
                <w:rFonts w:ascii="Roboto Condensed" w:eastAsia="Times New Roman" w:hAnsi="Roboto Condensed" w:cs="Times New Roman"/>
                <w:color w:val="343536"/>
                <w:spacing w:val="2"/>
                <w:kern w:val="0"/>
                <w:sz w:val="21"/>
                <w:szCs w:val="21"/>
                <w:lang w:val="es-CO" w:eastAsia="es-MX"/>
                <w14:ligatures w14:val="none"/>
              </w:rPr>
            </w:pPr>
            <w:r w:rsidRPr="00A0384D">
              <w:rPr>
                <w:rFonts w:ascii="Roboto Condensed" w:eastAsia="Times New Roman" w:hAnsi="Roboto Condensed" w:cs="Times New Roman"/>
                <w:color w:val="343536"/>
                <w:spacing w:val="2"/>
                <w:kern w:val="0"/>
                <w:sz w:val="21"/>
                <w:szCs w:val="21"/>
                <w:lang w:val="es-CO" w:eastAsia="es-MX"/>
                <w14:ligatures w14:val="none"/>
              </w:rPr>
              <w:t>Artículos </w:t>
            </w:r>
            <w:hyperlink r:id="rId18" w:anchor="19" w:history="1">
              <w:r w:rsidRPr="00A0384D">
                <w:rPr>
                  <w:rFonts w:ascii="Roboto Condensed" w:eastAsia="Times New Roman" w:hAnsi="Roboto Condensed" w:cs="Times New Roman"/>
                  <w:color w:val="00A9E0"/>
                  <w:spacing w:val="2"/>
                  <w:kern w:val="0"/>
                  <w:sz w:val="21"/>
                  <w:szCs w:val="21"/>
                  <w:u w:val="single"/>
                  <w:lang w:val="es-CO" w:eastAsia="es-MX"/>
                  <w14:ligatures w14:val="none"/>
                </w:rPr>
                <w:t>19</w:t>
              </w:r>
            </w:hyperlink>
            <w:r w:rsidRPr="00A0384D">
              <w:rPr>
                <w:rFonts w:ascii="Roboto Condensed" w:eastAsia="Times New Roman" w:hAnsi="Roboto Condensed" w:cs="Times New Roman"/>
                <w:color w:val="343536"/>
                <w:spacing w:val="2"/>
                <w:kern w:val="0"/>
                <w:sz w:val="21"/>
                <w:szCs w:val="21"/>
                <w:lang w:val="es-CO" w:eastAsia="es-MX"/>
                <w14:ligatures w14:val="none"/>
              </w:rPr>
              <w:t>, </w:t>
            </w:r>
            <w:hyperlink r:id="rId19" w:anchor="23" w:history="1">
              <w:r w:rsidRPr="00A0384D">
                <w:rPr>
                  <w:rFonts w:ascii="Roboto Condensed" w:eastAsia="Times New Roman" w:hAnsi="Roboto Condensed" w:cs="Times New Roman"/>
                  <w:color w:val="00A9E0"/>
                  <w:spacing w:val="2"/>
                  <w:kern w:val="0"/>
                  <w:sz w:val="21"/>
                  <w:szCs w:val="21"/>
                  <w:u w:val="single"/>
                  <w:lang w:val="es-CO" w:eastAsia="es-MX"/>
                  <w14:ligatures w14:val="none"/>
                </w:rPr>
                <w:t>23</w:t>
              </w:r>
            </w:hyperlink>
            <w:r w:rsidRPr="00A0384D">
              <w:rPr>
                <w:rFonts w:ascii="Roboto Condensed" w:eastAsia="Times New Roman" w:hAnsi="Roboto Condensed" w:cs="Times New Roman"/>
                <w:color w:val="343536"/>
                <w:spacing w:val="2"/>
                <w:kern w:val="0"/>
                <w:sz w:val="21"/>
                <w:szCs w:val="21"/>
                <w:lang w:val="es-CO" w:eastAsia="es-MX"/>
                <w14:ligatures w14:val="none"/>
              </w:rPr>
              <w:t>, </w:t>
            </w:r>
            <w:hyperlink r:id="rId20" w:anchor="356" w:history="1">
              <w:r w:rsidRPr="00A0384D">
                <w:rPr>
                  <w:rFonts w:ascii="Roboto Condensed" w:eastAsia="Times New Roman" w:hAnsi="Roboto Condensed" w:cs="Times New Roman"/>
                  <w:color w:val="00A9E0"/>
                  <w:spacing w:val="2"/>
                  <w:kern w:val="0"/>
                  <w:sz w:val="21"/>
                  <w:szCs w:val="21"/>
                  <w:u w:val="single"/>
                  <w:lang w:val="es-CO" w:eastAsia="es-MX"/>
                  <w14:ligatures w14:val="none"/>
                </w:rPr>
                <w:t>356</w:t>
              </w:r>
            </w:hyperlink>
            <w:r w:rsidRPr="00A0384D">
              <w:rPr>
                <w:rFonts w:ascii="Roboto Condensed" w:eastAsia="Times New Roman" w:hAnsi="Roboto Condensed" w:cs="Times New Roman"/>
                <w:color w:val="343536"/>
                <w:spacing w:val="2"/>
                <w:kern w:val="0"/>
                <w:sz w:val="21"/>
                <w:szCs w:val="21"/>
                <w:lang w:val="es-CO" w:eastAsia="es-MX"/>
                <w14:ligatures w14:val="none"/>
              </w:rPr>
              <w:t>, </w:t>
            </w:r>
            <w:hyperlink r:id="rId21" w:anchor="257" w:history="1">
              <w:r w:rsidRPr="00A0384D">
                <w:rPr>
                  <w:rFonts w:ascii="Roboto Condensed" w:eastAsia="Times New Roman" w:hAnsi="Roboto Condensed" w:cs="Times New Roman"/>
                  <w:color w:val="00A9E0"/>
                  <w:spacing w:val="2"/>
                  <w:kern w:val="0"/>
                  <w:sz w:val="21"/>
                  <w:szCs w:val="21"/>
                  <w:u w:val="single"/>
                  <w:lang w:val="es-CO" w:eastAsia="es-MX"/>
                  <w14:ligatures w14:val="none"/>
                </w:rPr>
                <w:t>257</w:t>
              </w:r>
            </w:hyperlink>
            <w:r w:rsidRPr="00A0384D">
              <w:rPr>
                <w:rFonts w:ascii="Roboto Condensed" w:eastAsia="Times New Roman" w:hAnsi="Roboto Condensed" w:cs="Times New Roman"/>
                <w:color w:val="343536"/>
                <w:spacing w:val="2"/>
                <w:kern w:val="0"/>
                <w:sz w:val="21"/>
                <w:szCs w:val="21"/>
                <w:lang w:val="es-CO" w:eastAsia="es-MX"/>
                <w14:ligatures w14:val="none"/>
              </w:rPr>
              <w:t> del Estatuto Tributario</w:t>
            </w:r>
            <w:r w:rsidRPr="00A0384D">
              <w:rPr>
                <w:rFonts w:ascii="Roboto Condensed" w:eastAsia="Times New Roman" w:hAnsi="Roboto Condensed" w:cs="Times New Roman"/>
                <w:color w:val="343536"/>
                <w:spacing w:val="2"/>
                <w:kern w:val="0"/>
                <w:sz w:val="21"/>
                <w:szCs w:val="21"/>
                <w:lang w:val="es-CO" w:eastAsia="es-MX"/>
                <w14:ligatures w14:val="none"/>
              </w:rPr>
              <w:br/>
              <w:t>Artículo </w:t>
            </w:r>
            <w:hyperlink r:id="rId22" w:anchor="1.2.1.5.1.2" w:history="1">
              <w:r w:rsidRPr="00A0384D">
                <w:rPr>
                  <w:rFonts w:ascii="Roboto Condensed" w:eastAsia="Times New Roman" w:hAnsi="Roboto Condensed" w:cs="Times New Roman"/>
                  <w:color w:val="00A9E0"/>
                  <w:spacing w:val="2"/>
                  <w:kern w:val="0"/>
                  <w:sz w:val="21"/>
                  <w:szCs w:val="21"/>
                  <w:u w:val="single"/>
                  <w:lang w:val="es-CO" w:eastAsia="es-MX"/>
                  <w14:ligatures w14:val="none"/>
                </w:rPr>
                <w:t>1.2.1.5.1.2</w:t>
              </w:r>
            </w:hyperlink>
            <w:r w:rsidRPr="00A0384D">
              <w:rPr>
                <w:rFonts w:ascii="Roboto Condensed" w:eastAsia="Times New Roman" w:hAnsi="Roboto Condensed" w:cs="Times New Roman"/>
                <w:color w:val="343536"/>
                <w:spacing w:val="2"/>
                <w:kern w:val="0"/>
                <w:sz w:val="21"/>
                <w:szCs w:val="21"/>
                <w:lang w:val="es-CO" w:eastAsia="es-MX"/>
                <w14:ligatures w14:val="none"/>
              </w:rPr>
              <w:t>. del Decreto 1625 de 2016</w:t>
            </w:r>
            <w:r w:rsidRPr="00A0384D">
              <w:rPr>
                <w:rFonts w:ascii="Roboto Condensed" w:eastAsia="Times New Roman" w:hAnsi="Roboto Condensed" w:cs="Times New Roman"/>
                <w:color w:val="343536"/>
                <w:spacing w:val="2"/>
                <w:kern w:val="0"/>
                <w:sz w:val="21"/>
                <w:szCs w:val="21"/>
                <w:lang w:val="es-CO" w:eastAsia="es-MX"/>
                <w14:ligatures w14:val="none"/>
              </w:rPr>
              <w:br/>
              <w:t>Artículos </w:t>
            </w:r>
            <w:hyperlink r:id="rId23" w:anchor="1.3.12.7"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1.3.12.7</w:t>
              </w:r>
            </w:hyperlink>
            <w:r w:rsidRPr="00A0384D">
              <w:rPr>
                <w:rFonts w:ascii="Roboto Condensed" w:eastAsia="Times New Roman" w:hAnsi="Roboto Condensed" w:cs="Times New Roman"/>
                <w:color w:val="343536"/>
                <w:spacing w:val="2"/>
                <w:kern w:val="0"/>
                <w:sz w:val="21"/>
                <w:szCs w:val="21"/>
                <w:lang w:val="es-CO" w:eastAsia="es-MX"/>
                <w14:ligatures w14:val="none"/>
              </w:rPr>
              <w:t>. y </w:t>
            </w:r>
            <w:hyperlink r:id="rId24" w:anchor="1.3.12.8" w:history="1">
              <w:r w:rsidRPr="00A0384D">
                <w:rPr>
                  <w:rFonts w:ascii="Roboto Condensed" w:eastAsia="Times New Roman" w:hAnsi="Roboto Condensed" w:cs="Times New Roman"/>
                  <w:color w:val="00A9E0"/>
                  <w:spacing w:val="2"/>
                  <w:kern w:val="0"/>
                  <w:sz w:val="21"/>
                  <w:szCs w:val="21"/>
                  <w:u w:val="single"/>
                  <w:lang w:val="es-CO" w:eastAsia="es-MX"/>
                  <w14:ligatures w14:val="none"/>
                </w:rPr>
                <w:t>1.3.12.8</w:t>
              </w:r>
            </w:hyperlink>
            <w:r w:rsidRPr="00A0384D">
              <w:rPr>
                <w:rFonts w:ascii="Roboto Condensed" w:eastAsia="Times New Roman" w:hAnsi="Roboto Condensed" w:cs="Times New Roman"/>
                <w:color w:val="343536"/>
                <w:spacing w:val="2"/>
                <w:kern w:val="0"/>
                <w:sz w:val="21"/>
                <w:szCs w:val="21"/>
                <w:lang w:val="es-CO" w:eastAsia="es-MX"/>
                <w14:ligatures w14:val="none"/>
              </w:rPr>
              <w:t>. de la Resolución 227 de 2025</w:t>
            </w:r>
          </w:p>
        </w:tc>
      </w:tr>
    </w:tbl>
    <w:p w14:paraId="227DC5CD" w14:textId="77777777" w:rsidR="00A0384D" w:rsidRPr="00A0384D" w:rsidRDefault="00A0384D" w:rsidP="00A0384D">
      <w:pPr>
        <w:shd w:val="clear" w:color="auto" w:fill="FFFFFF"/>
        <w:spacing w:after="240"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Extracto</w:t>
      </w:r>
    </w:p>
    <w:p w14:paraId="4E1A0A6F"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 Esta Subdirección está facultada para resolver las consultas escritas, presentadas de manera general, sobre la interpretación y aplicación de las normas tributarias, aduaneras y de fiscalización cambiaria, en lo de competencia de la DIAN</w:t>
      </w:r>
      <w:hyperlink r:id="rId25" w:anchor="NF1" w:history="1">
        <w:r w:rsidRPr="00A0384D">
          <w:rPr>
            <w:rFonts w:ascii="Roboto Condensed" w:eastAsia="Times New Roman" w:hAnsi="Roboto Condensed" w:cs="Times New Roman"/>
            <w:b/>
            <w:bCs/>
            <w:color w:val="343536"/>
            <w:spacing w:val="2"/>
            <w:kern w:val="0"/>
            <w:sz w:val="27"/>
            <w:szCs w:val="27"/>
            <w:u w:val="single"/>
            <w:vertAlign w:val="superscript"/>
            <w:lang w:val="es-CO" w:eastAsia="es-MX"/>
            <w14:ligatures w14:val="none"/>
          </w:rPr>
          <w:t>[1]</w:t>
        </w:r>
      </w:hyperlink>
      <w:r w:rsidRPr="00A0384D">
        <w:rPr>
          <w:rFonts w:ascii="Roboto Condensed" w:eastAsia="Times New Roman" w:hAnsi="Roboto Condensed" w:cs="Times New Roman"/>
          <w:color w:val="343536"/>
          <w:spacing w:val="2"/>
          <w:kern w:val="0"/>
          <w:sz w:val="27"/>
          <w:szCs w:val="27"/>
          <w:lang w:val="es-CO" w:eastAsia="es-MX"/>
          <w14:ligatures w14:val="none"/>
        </w:rPr>
        <w:t xml:space="preserve">. En este sentido, la doctrina emitida será de carácter general, no se referirá </w:t>
      </w:r>
      <w:r w:rsidRPr="00A0384D">
        <w:rPr>
          <w:rFonts w:ascii="Roboto Condensed" w:eastAsia="Times New Roman" w:hAnsi="Roboto Condensed" w:cs="Times New Roman"/>
          <w:color w:val="343536"/>
          <w:spacing w:val="2"/>
          <w:kern w:val="0"/>
          <w:sz w:val="27"/>
          <w:szCs w:val="27"/>
          <w:lang w:val="es-CO" w:eastAsia="es-MX"/>
          <w14:ligatures w14:val="none"/>
        </w:rPr>
        <w:lastRenderedPageBreak/>
        <w:t>a asuntos particulares y se someterá a lo consagrado en el artículo </w:t>
      </w:r>
      <w:hyperlink r:id="rId26" w:anchor="131"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w:t>
        </w:r>
      </w:hyperlink>
      <w:r w:rsidRPr="00A0384D">
        <w:rPr>
          <w:rFonts w:ascii="Roboto Condensed" w:eastAsia="Times New Roman" w:hAnsi="Roboto Condensed" w:cs="Times New Roman"/>
          <w:color w:val="343536"/>
          <w:spacing w:val="2"/>
          <w:kern w:val="0"/>
          <w:sz w:val="27"/>
          <w:szCs w:val="27"/>
          <w:lang w:val="es-CO" w:eastAsia="es-MX"/>
          <w14:ligatures w14:val="none"/>
        </w:rPr>
        <w:t> de la Ley 2010 de 2019</w:t>
      </w:r>
      <w:hyperlink r:id="rId27" w:anchor="NF2" w:history="1">
        <w:r w:rsidRPr="00A0384D">
          <w:rPr>
            <w:rFonts w:ascii="Roboto Condensed" w:eastAsia="Times New Roman" w:hAnsi="Roboto Condensed" w:cs="Times New Roman"/>
            <w:b/>
            <w:bCs/>
            <w:color w:val="343536"/>
            <w:spacing w:val="2"/>
            <w:kern w:val="0"/>
            <w:sz w:val="27"/>
            <w:szCs w:val="27"/>
            <w:u w:val="single"/>
            <w:vertAlign w:val="superscript"/>
            <w:lang w:val="es-CO" w:eastAsia="es-MX"/>
            <w14:ligatures w14:val="none"/>
          </w:rPr>
          <w:t>[2]</w:t>
        </w:r>
      </w:hyperlink>
      <w:r w:rsidRPr="00A0384D">
        <w:rPr>
          <w:rFonts w:ascii="Roboto Condensed" w:eastAsia="Times New Roman" w:hAnsi="Roboto Condensed" w:cs="Times New Roman"/>
          <w:color w:val="343536"/>
          <w:spacing w:val="2"/>
          <w:kern w:val="0"/>
          <w:sz w:val="27"/>
          <w:szCs w:val="27"/>
          <w:lang w:val="es-CO" w:eastAsia="es-MX"/>
          <w14:ligatures w14:val="none"/>
        </w:rPr>
        <w:t>.</w:t>
      </w:r>
    </w:p>
    <w:p w14:paraId="580F30AB"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PROBLEMA JURÍDICO No. 1.</w:t>
      </w:r>
    </w:p>
    <w:p w14:paraId="59CB02F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2. ¿Se encuentran todas las entidades señaladas en el artículo </w:t>
      </w:r>
      <w:hyperlink r:id="rId28"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obligadas a reportar información exógena de que tratan los artículos </w:t>
      </w:r>
      <w:hyperlink r:id="rId29"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30"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w:t>
      </w:r>
      <w:hyperlink r:id="rId31" w:anchor="NF3" w:history="1">
        <w:r w:rsidRPr="00A0384D">
          <w:rPr>
            <w:rFonts w:ascii="Roboto Condensed" w:eastAsia="Times New Roman" w:hAnsi="Roboto Condensed" w:cs="Times New Roman"/>
            <w:b/>
            <w:bCs/>
            <w:color w:val="343536"/>
            <w:spacing w:val="2"/>
            <w:kern w:val="0"/>
            <w:sz w:val="27"/>
            <w:szCs w:val="27"/>
            <w:u w:val="single"/>
            <w:vertAlign w:val="superscript"/>
            <w:lang w:val="es-CO" w:eastAsia="es-MX"/>
            <w14:ligatures w14:val="none"/>
          </w:rPr>
          <w:t>[3]</w:t>
        </w:r>
      </w:hyperlink>
      <w:r w:rsidRPr="00A0384D">
        <w:rPr>
          <w:rFonts w:ascii="Roboto Condensed" w:eastAsia="Times New Roman" w:hAnsi="Roboto Condensed" w:cs="Times New Roman"/>
          <w:color w:val="343536"/>
          <w:spacing w:val="2"/>
          <w:kern w:val="0"/>
          <w:sz w:val="27"/>
          <w:szCs w:val="27"/>
          <w:lang w:val="es-CO" w:eastAsia="es-MX"/>
          <w14:ligatures w14:val="none"/>
        </w:rPr>
        <w:t>?</w:t>
      </w:r>
    </w:p>
    <w:p w14:paraId="5C3E68D8"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TESIS JURÍDICA No. 1.</w:t>
      </w:r>
    </w:p>
    <w:p w14:paraId="6149048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3. No. La obligación de reporte señalada en los artículos </w:t>
      </w:r>
      <w:hyperlink r:id="rId32"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33"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 está condicionada a que las entidades del artículo </w:t>
      </w:r>
      <w:hyperlink r:id="rId34"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hayan obtenido ingresos brutos superiores a 20.000 UVT durante el año gravable a reportar o en el año gravable inmediatamente anterior.</w:t>
      </w:r>
    </w:p>
    <w:p w14:paraId="493EA12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FUNDAMENTACIÓN</w:t>
      </w:r>
    </w:p>
    <w:p w14:paraId="02B847C8"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4. Los artículos </w:t>
      </w:r>
      <w:hyperlink r:id="rId35"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36"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 compilatorios de los artículos </w:t>
      </w:r>
      <w:hyperlink r:id="rId37" w:anchor="74" w:history="1">
        <w:r w:rsidRPr="00A0384D">
          <w:rPr>
            <w:rFonts w:ascii="Roboto Condensed" w:eastAsia="Times New Roman" w:hAnsi="Roboto Condensed" w:cs="Times New Roman"/>
            <w:color w:val="00A9E0"/>
            <w:spacing w:val="2"/>
            <w:kern w:val="0"/>
            <w:sz w:val="27"/>
            <w:szCs w:val="27"/>
            <w:u w:val="single"/>
            <w:lang w:val="es-CO" w:eastAsia="es-MX"/>
            <w14:ligatures w14:val="none"/>
          </w:rPr>
          <w:t>74</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38" w:anchor="75" w:history="1">
        <w:r w:rsidRPr="00A0384D">
          <w:rPr>
            <w:rFonts w:ascii="Roboto Condensed" w:eastAsia="Times New Roman" w:hAnsi="Roboto Condensed" w:cs="Times New Roman"/>
            <w:color w:val="00A9E0"/>
            <w:spacing w:val="2"/>
            <w:kern w:val="0"/>
            <w:sz w:val="27"/>
            <w:szCs w:val="27"/>
            <w:u w:val="single"/>
            <w:lang w:val="es-CO" w:eastAsia="es-MX"/>
            <w14:ligatures w14:val="none"/>
          </w:rPr>
          <w:t>75</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162 de 2023 -adicionado por la Resolución 00</w:t>
      </w:r>
      <w:hyperlink r:id="rId39" w:anchor="0" w:history="1">
        <w:r w:rsidRPr="00A0384D">
          <w:rPr>
            <w:rFonts w:ascii="Roboto Condensed" w:eastAsia="Times New Roman" w:hAnsi="Roboto Condensed" w:cs="Times New Roman"/>
            <w:color w:val="00A9E0"/>
            <w:spacing w:val="2"/>
            <w:kern w:val="0"/>
            <w:sz w:val="27"/>
            <w:szCs w:val="27"/>
            <w:u w:val="single"/>
            <w:lang w:val="es-CO" w:eastAsia="es-MX"/>
            <w14:ligatures w14:val="none"/>
          </w:rPr>
          <w:t>0188</w:t>
        </w:r>
      </w:hyperlink>
      <w:r w:rsidRPr="00A0384D">
        <w:rPr>
          <w:rFonts w:ascii="Roboto Condensed" w:eastAsia="Times New Roman" w:hAnsi="Roboto Condensed" w:cs="Times New Roman"/>
          <w:color w:val="343536"/>
          <w:spacing w:val="2"/>
          <w:kern w:val="0"/>
          <w:sz w:val="27"/>
          <w:szCs w:val="27"/>
          <w:lang w:val="es-CO" w:eastAsia="es-MX"/>
          <w14:ligatures w14:val="none"/>
        </w:rPr>
        <w:t> de 2024-, establecen los sujetos obligados y la información que se debe reportar por algunas entidades no contribuyentes señaladas en el artículo </w:t>
      </w:r>
      <w:hyperlink r:id="rId40"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w:t>
      </w:r>
    </w:p>
    <w:p w14:paraId="72A6807F"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5. El </w:t>
      </w:r>
      <w:hyperlink r:id="rId41"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 establece:</w:t>
      </w:r>
    </w:p>
    <w:p w14:paraId="789C74DB"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Información a reportar por personas jurídicas y sus asimiladas y algunas entidades no contribuyentes señaladas en el artículo </w:t>
      </w:r>
      <w:hyperlink r:id="rId42" w:anchor="2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relacionada con la destinación y ejecución del beneficio neto o excedente</w:t>
      </w:r>
      <w:r w:rsidRPr="00A0384D">
        <w:rPr>
          <w:rFonts w:ascii="Roboto Condensed" w:eastAsia="Times New Roman" w:hAnsi="Roboto Condensed" w:cs="Times New Roman"/>
          <w:b/>
          <w:bCs/>
          <w:i/>
          <w:iCs/>
          <w:color w:val="343536"/>
          <w:spacing w:val="2"/>
          <w:kern w:val="0"/>
          <w:sz w:val="27"/>
          <w:szCs w:val="27"/>
          <w:lang w:val="es-CO" w:eastAsia="es-MX"/>
          <w14:ligatures w14:val="none"/>
        </w:rPr>
        <w:t>. </w:t>
      </w:r>
      <w:r w:rsidRPr="00A0384D">
        <w:rPr>
          <w:rFonts w:ascii="Roboto Condensed" w:eastAsia="Times New Roman" w:hAnsi="Roboto Condensed" w:cs="Times New Roman"/>
          <w:i/>
          <w:iCs/>
          <w:color w:val="343536"/>
          <w:spacing w:val="2"/>
          <w:kern w:val="0"/>
          <w:sz w:val="27"/>
          <w:szCs w:val="27"/>
          <w:lang w:val="es-CO" w:eastAsia="es-MX"/>
          <w14:ligatures w14:val="none"/>
        </w:rPr>
        <w:t>En virtud del artículo </w:t>
      </w:r>
      <w:hyperlink r:id="rId43" w:anchor="631-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631-3</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y los sujetos obligados a reportar información de que trata el numeral 5 del artículo </w:t>
      </w:r>
      <w:hyperlink r:id="rId44" w:anchor="1"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1o</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 la presente resolución </w:t>
      </w:r>
      <w:r w:rsidRPr="00A0384D">
        <w:rPr>
          <w:rFonts w:ascii="Roboto Condensed" w:eastAsia="Times New Roman" w:hAnsi="Roboto Condensed" w:cs="Times New Roman"/>
          <w:i/>
          <w:iCs/>
          <w:color w:val="343536"/>
          <w:spacing w:val="2"/>
          <w:kern w:val="0"/>
          <w:sz w:val="27"/>
          <w:szCs w:val="27"/>
          <w:u w:val="single"/>
          <w:lang w:val="es-CO" w:eastAsia="es-MX"/>
          <w14:ligatures w14:val="none"/>
        </w:rPr>
        <w:t>que son considerados no contribuyentes declarantes de conformidad con el artículo </w:t>
      </w:r>
      <w:hyperlink r:id="rId45" w:anchor="2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i/>
          <w:iCs/>
          <w:color w:val="343536"/>
          <w:spacing w:val="2"/>
          <w:kern w:val="0"/>
          <w:sz w:val="27"/>
          <w:szCs w:val="27"/>
          <w:u w:val="single"/>
          <w:lang w:val="es-CO" w:eastAsia="es-MX"/>
          <w14:ligatures w14:val="none"/>
        </w:rPr>
        <w:t xml:space="preserve"> del Estatuto Tributario que se relacionan a continuación: sindicatos, asociaciones gremiales, fondos de empleados, fondos mutuos de inversión, las iglesias y </w:t>
      </w:r>
      <w:r w:rsidRPr="00A0384D">
        <w:rPr>
          <w:rFonts w:ascii="Roboto Condensed" w:eastAsia="Times New Roman" w:hAnsi="Roboto Condensed" w:cs="Times New Roman"/>
          <w:i/>
          <w:iCs/>
          <w:color w:val="343536"/>
          <w:spacing w:val="2"/>
          <w:kern w:val="0"/>
          <w:sz w:val="27"/>
          <w:szCs w:val="27"/>
          <w:u w:val="single"/>
          <w:lang w:val="es-CO" w:eastAsia="es-MX"/>
          <w14:ligatures w14:val="none"/>
        </w:rPr>
        <w:lastRenderedPageBreak/>
        <w:t>confesiones religiosas reconocidas por el Ministerio del Interior o por la le</w:t>
      </w:r>
      <w:r w:rsidRPr="00A0384D">
        <w:rPr>
          <w:rFonts w:ascii="Roboto Condensed" w:eastAsia="Times New Roman" w:hAnsi="Roboto Condensed" w:cs="Times New Roman"/>
          <w:i/>
          <w:iCs/>
          <w:color w:val="343536"/>
          <w:spacing w:val="2"/>
          <w:kern w:val="0"/>
          <w:sz w:val="27"/>
          <w:szCs w:val="27"/>
          <w:lang w:val="es-CO" w:eastAsia="es-MX"/>
          <w14:ligatures w14:val="none"/>
        </w:rPr>
        <w:t>y</w:t>
      </w:r>
      <w:r w:rsidRPr="00A0384D">
        <w:rPr>
          <w:rFonts w:ascii="Roboto Condensed" w:eastAsia="Times New Roman" w:hAnsi="Roboto Condensed" w:cs="Times New Roman"/>
          <w:i/>
          <w:iCs/>
          <w:color w:val="343536"/>
          <w:spacing w:val="2"/>
          <w:kern w:val="0"/>
          <w:sz w:val="27"/>
          <w:szCs w:val="27"/>
          <w:u w:val="single"/>
          <w:lang w:val="es-CO" w:eastAsia="es-MX"/>
          <w14:ligatures w14:val="none"/>
        </w:rPr>
        <w:t>, sociedades o entidades de alcohólicos anónimos</w:t>
      </w:r>
      <w:r w:rsidRPr="00A0384D">
        <w:rPr>
          <w:rFonts w:ascii="Roboto Condensed" w:eastAsia="Times New Roman" w:hAnsi="Roboto Condensed" w:cs="Times New Roman"/>
          <w:i/>
          <w:iCs/>
          <w:color w:val="343536"/>
          <w:spacing w:val="2"/>
          <w:kern w:val="0"/>
          <w:sz w:val="27"/>
          <w:szCs w:val="27"/>
          <w:lang w:val="es-CO" w:eastAsia="es-MX"/>
          <w14:ligatures w14:val="none"/>
        </w:rPr>
        <w:t>, </w:t>
      </w:r>
      <w:r w:rsidRPr="00A0384D">
        <w:rPr>
          <w:rFonts w:ascii="Roboto Condensed" w:eastAsia="Times New Roman" w:hAnsi="Roboto Condensed" w:cs="Times New Roman"/>
          <w:i/>
          <w:iCs/>
          <w:color w:val="343536"/>
          <w:spacing w:val="2"/>
          <w:kern w:val="0"/>
          <w:sz w:val="27"/>
          <w:szCs w:val="27"/>
          <w:u w:val="single"/>
          <w:lang w:val="es-CO" w:eastAsia="es-MX"/>
          <w14:ligatures w14:val="none"/>
        </w:rPr>
        <w:t>siempre que en el año gravable a reportar o en el año gravable inmediatamente anterior, hayan obtenido ingresos brutos superiores a veinte mil Unidades de Valor Tributario (20.000 UVT</w:t>
      </w:r>
      <w:r w:rsidRPr="00A0384D">
        <w:rPr>
          <w:rFonts w:ascii="Roboto Condensed" w:eastAsia="Times New Roman" w:hAnsi="Roboto Condensed" w:cs="Times New Roman"/>
          <w:i/>
          <w:iCs/>
          <w:color w:val="343536"/>
          <w:spacing w:val="2"/>
          <w:kern w:val="0"/>
          <w:sz w:val="27"/>
          <w:szCs w:val="27"/>
          <w:lang w:val="es-CO" w:eastAsia="es-MX"/>
          <w14:ligatures w14:val="none"/>
        </w:rPr>
        <w:t>), deberán suministrar la información relacionada con la destinación y ejecución del beneficio o excedente neto y la información relacionada con los pagos o erogaciones de la ejecución del beneficio neto o excedente durante el año gravable, conforme con los parámetros establecidos en las especificaciones técnicas del Formato 2835 Versión 1</w:t>
      </w:r>
      <w:r w:rsidRPr="00A0384D">
        <w:rPr>
          <w:rFonts w:ascii="Roboto Condensed" w:eastAsia="Times New Roman" w:hAnsi="Roboto Condensed" w:cs="Times New Roman"/>
          <w:color w:val="343536"/>
          <w:spacing w:val="2"/>
          <w:kern w:val="0"/>
          <w:sz w:val="27"/>
          <w:szCs w:val="27"/>
          <w:lang w:val="es-CO" w:eastAsia="es-MX"/>
          <w14:ligatures w14:val="none"/>
        </w:rPr>
        <w:t>(...) Subrayado fuera de texto.</w:t>
      </w:r>
    </w:p>
    <w:p w14:paraId="253BFBE8"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6. De acuerdo con la norma transcrita se puede concluir que no todas las entidades señaladas en el artículo </w:t>
      </w:r>
      <w:hyperlink r:id="rId46"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están obligadas a reportar la información solicitada. La obligación de reporte en virtud del artículo </w:t>
      </w:r>
      <w:hyperlink r:id="rId47" w:anchor="74" w:history="1">
        <w:r w:rsidRPr="00A0384D">
          <w:rPr>
            <w:rFonts w:ascii="Roboto Condensed" w:eastAsia="Times New Roman" w:hAnsi="Roboto Condensed" w:cs="Times New Roman"/>
            <w:color w:val="00A9E0"/>
            <w:spacing w:val="2"/>
            <w:kern w:val="0"/>
            <w:sz w:val="27"/>
            <w:szCs w:val="27"/>
            <w:u w:val="single"/>
            <w:lang w:val="es-CO" w:eastAsia="es-MX"/>
            <w14:ligatures w14:val="none"/>
          </w:rPr>
          <w:t>74</w:t>
        </w:r>
      </w:hyperlink>
      <w:r w:rsidRPr="00A0384D">
        <w:rPr>
          <w:rFonts w:ascii="Roboto Condensed" w:eastAsia="Times New Roman" w:hAnsi="Roboto Condensed" w:cs="Times New Roman"/>
          <w:color w:val="343536"/>
          <w:spacing w:val="2"/>
          <w:kern w:val="0"/>
          <w:sz w:val="27"/>
          <w:szCs w:val="27"/>
          <w:lang w:val="es-CO" w:eastAsia="es-MX"/>
          <w14:ligatures w14:val="none"/>
        </w:rPr>
        <w:t> ibidem está condicionada a que las entidades hayan obtenido ingresos brutos superiores a 20.000 UVT durante el año gravable a reportar o en el año gravable inmediatamente anterior.</w:t>
      </w:r>
    </w:p>
    <w:p w14:paraId="093BC0F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7. Si una entidad del artículo </w:t>
      </w:r>
      <w:hyperlink r:id="rId48"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no alcanza ese umbral de ingresos, no estará obligada a reportar la información relacionada con la destinación y ejecución del beneficio neto o excedente.</w:t>
      </w:r>
    </w:p>
    <w:p w14:paraId="546744E2" w14:textId="77777777" w:rsidR="00A0384D" w:rsidRPr="00A0384D" w:rsidRDefault="00A0384D" w:rsidP="00A0384D">
      <w:pPr>
        <w:shd w:val="clear" w:color="auto" w:fill="FFFFFF"/>
        <w:spacing w:after="240"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8. Es de recordar que, la DIAN emite anualmente las condiciones e instrucciones sobre los formatos de información exógena, y con base en la normatividad vigente las entidades deben verificar las obligaciones de información exógena a través de los formatos establecidos para cada periodo fiscal.</w:t>
      </w:r>
    </w:p>
    <w:p w14:paraId="18CA7AEE"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9. Es oportuno señalar lo dispuesto en el </w:t>
      </w:r>
      <w:hyperlink r:id="rId49"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w:t>
      </w:r>
    </w:p>
    <w:p w14:paraId="2ADAB45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i/>
          <w:iCs/>
          <w:color w:val="343536"/>
          <w:spacing w:val="2"/>
          <w:kern w:val="0"/>
          <w:sz w:val="27"/>
          <w:szCs w:val="27"/>
          <w:lang w:val="es-CO" w:eastAsia="es-MX"/>
          <w14:ligatures w14:val="none"/>
        </w:rPr>
        <w:t>Información a reportar por personas jurídicas y sus asimiladas y algunas entidades no contribuyentes señaladas en el artículo </w:t>
      </w:r>
      <w:hyperlink r:id="rId50" w:anchor="2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b/>
          <w:bCs/>
          <w:i/>
          <w:iCs/>
          <w:color w:val="343536"/>
          <w:spacing w:val="2"/>
          <w:kern w:val="0"/>
          <w:sz w:val="27"/>
          <w:szCs w:val="27"/>
          <w:lang w:val="es-CO" w:eastAsia="es-MX"/>
          <w14:ligatures w14:val="none"/>
        </w:rPr>
        <w:t xml:space="preserve"> del Estatuto Tributario, relacionada con la destinación y ejecución del beneficio neto o excedente en un plazo mayor a </w:t>
      </w:r>
      <w:r w:rsidRPr="00A0384D">
        <w:rPr>
          <w:rFonts w:ascii="Roboto Condensed" w:eastAsia="Times New Roman" w:hAnsi="Roboto Condensed" w:cs="Times New Roman"/>
          <w:b/>
          <w:bCs/>
          <w:i/>
          <w:iCs/>
          <w:color w:val="343536"/>
          <w:spacing w:val="2"/>
          <w:kern w:val="0"/>
          <w:sz w:val="27"/>
          <w:szCs w:val="27"/>
          <w:lang w:val="es-CO" w:eastAsia="es-MX"/>
          <w14:ligatures w14:val="none"/>
        </w:rPr>
        <w:lastRenderedPageBreak/>
        <w:t>un año. </w:t>
      </w:r>
      <w:r w:rsidRPr="00A0384D">
        <w:rPr>
          <w:rFonts w:ascii="Roboto Condensed" w:eastAsia="Times New Roman" w:hAnsi="Roboto Condensed" w:cs="Times New Roman"/>
          <w:i/>
          <w:iCs/>
          <w:color w:val="343536"/>
          <w:spacing w:val="2"/>
          <w:kern w:val="0"/>
          <w:sz w:val="27"/>
          <w:szCs w:val="27"/>
          <w:lang w:val="es-CO" w:eastAsia="es-MX"/>
          <w14:ligatures w14:val="none"/>
        </w:rPr>
        <w:t>En virtud del artículo </w:t>
      </w:r>
      <w:hyperlink r:id="rId51" w:anchor="631-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631-3</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y los sujetos obligados a reportar información de que trata el numeral 5 del artículo </w:t>
      </w:r>
      <w:hyperlink r:id="rId52" w:anchor="1"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1o</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 la presente resolución que son considerados no contribuyentes declarantes de conformidad con el artículo </w:t>
      </w:r>
      <w:hyperlink r:id="rId53" w:anchor="2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señaladas en el artículo </w:t>
      </w:r>
      <w:hyperlink r:id="rId54" w:anchor="74"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74</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 la presente resolución, deberán suministrar la información de la ejecución de excedentes cuando se efectúe en un plazo mayor a un año, conforme con los parámetros establecidos en las especificaciones técnicas del Formato 2834 Versión 1</w:t>
      </w:r>
      <w:r w:rsidRPr="00A0384D">
        <w:rPr>
          <w:rFonts w:ascii="Roboto Condensed" w:eastAsia="Times New Roman" w:hAnsi="Roboto Condensed" w:cs="Times New Roman"/>
          <w:color w:val="343536"/>
          <w:spacing w:val="2"/>
          <w:kern w:val="0"/>
          <w:sz w:val="27"/>
          <w:szCs w:val="27"/>
          <w:lang w:val="es-CO" w:eastAsia="es-MX"/>
          <w14:ligatures w14:val="none"/>
        </w:rPr>
        <w:t>(...)</w:t>
      </w:r>
    </w:p>
    <w:p w14:paraId="2345F43B"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10. De lo anterior se puede inferir que las entidades señaladas en el artículo </w:t>
      </w:r>
      <w:hyperlink r:id="rId55" w:anchor="74" w:history="1">
        <w:r w:rsidRPr="00A0384D">
          <w:rPr>
            <w:rFonts w:ascii="Roboto Condensed" w:eastAsia="Times New Roman" w:hAnsi="Roboto Condensed" w:cs="Times New Roman"/>
            <w:color w:val="00A9E0"/>
            <w:spacing w:val="2"/>
            <w:kern w:val="0"/>
            <w:sz w:val="27"/>
            <w:szCs w:val="27"/>
            <w:u w:val="single"/>
            <w:lang w:val="es-CO" w:eastAsia="es-MX"/>
            <w14:ligatures w14:val="none"/>
          </w:rPr>
          <w:t>74</w:t>
        </w:r>
      </w:hyperlink>
      <w:r w:rsidRPr="00A0384D">
        <w:rPr>
          <w:rFonts w:ascii="Roboto Condensed" w:eastAsia="Times New Roman" w:hAnsi="Roboto Condensed" w:cs="Times New Roman"/>
          <w:color w:val="343536"/>
          <w:spacing w:val="2"/>
          <w:kern w:val="0"/>
          <w:sz w:val="27"/>
          <w:szCs w:val="27"/>
          <w:lang w:val="es-CO" w:eastAsia="es-MX"/>
          <w14:ligatures w14:val="none"/>
        </w:rPr>
        <w:t> se encuentran obligadas a suministrar la información de la ejecución de excedentes cuando se efectúe en un plazo mayor a un año.</w:t>
      </w:r>
    </w:p>
    <w:p w14:paraId="4DB747D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PROBLEMA JURÍDICO No. 2</w:t>
      </w:r>
    </w:p>
    <w:p w14:paraId="0B4CA74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11. ¿Las entidades del régimen tributario especial que determinan su beneficio neto según el artículo </w:t>
      </w:r>
      <w:hyperlink r:id="rId56" w:anchor="357" w:history="1">
        <w:r w:rsidRPr="00A0384D">
          <w:rPr>
            <w:rFonts w:ascii="Roboto Condensed" w:eastAsia="Times New Roman" w:hAnsi="Roboto Condensed" w:cs="Times New Roman"/>
            <w:color w:val="00A9E0"/>
            <w:spacing w:val="2"/>
            <w:kern w:val="0"/>
            <w:sz w:val="27"/>
            <w:szCs w:val="27"/>
            <w:u w:val="single"/>
            <w:lang w:val="es-CO" w:eastAsia="es-MX"/>
            <w14:ligatures w14:val="none"/>
          </w:rPr>
          <w:t>357</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deben reportar en el año 2026 la información de los artículos </w:t>
      </w:r>
      <w:hyperlink r:id="rId57"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58"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w:t>
      </w:r>
    </w:p>
    <w:p w14:paraId="16B92469"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t>TESIS JURÍDICA No. 2</w:t>
      </w:r>
    </w:p>
    <w:p w14:paraId="57B681A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12. No. El artículo </w:t>
      </w:r>
      <w:hyperlink r:id="rId59"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 es claro en señalar las entidades obligadas y estas son: no contribuyentes declarantes de conformidad con el artículo </w:t>
      </w:r>
      <w:hyperlink r:id="rId60"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que sean sindicatos, asociaciones gremiales, fondos de empleados, fondos mutuos de inversión, las iglesias y confesiones religiosas reconocidas por el Ministerio del Interior o por la ley, sociedades o entidades de alcohólicos anónimos, siempre que en el año gravable a reportar o en el año gravable inmediatamente anterior, hayan obtenido ingresos brutos superiores a 20.000 UVT.</w:t>
      </w:r>
    </w:p>
    <w:p w14:paraId="0F997FCD"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13. Las entidades que pertenecen al régimen tributario especial del artículo </w:t>
      </w:r>
      <w:hyperlink r:id="rId61" w:anchor="19" w:history="1">
        <w:r w:rsidRPr="00A0384D">
          <w:rPr>
            <w:rFonts w:ascii="Roboto Condensed" w:eastAsia="Times New Roman" w:hAnsi="Roboto Condensed" w:cs="Times New Roman"/>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son las que determinan su beneficio o excedente neto de acuerdo con el artículo </w:t>
      </w:r>
      <w:hyperlink r:id="rId62" w:anchor="357" w:history="1">
        <w:r w:rsidRPr="00A0384D">
          <w:rPr>
            <w:rFonts w:ascii="Roboto Condensed" w:eastAsia="Times New Roman" w:hAnsi="Roboto Condensed" w:cs="Times New Roman"/>
            <w:color w:val="00A9E0"/>
            <w:spacing w:val="2"/>
            <w:kern w:val="0"/>
            <w:sz w:val="27"/>
            <w:szCs w:val="27"/>
            <w:u w:val="single"/>
            <w:lang w:val="es-CO" w:eastAsia="es-MX"/>
            <w14:ligatures w14:val="none"/>
          </w:rPr>
          <w:t>357</w:t>
        </w:r>
      </w:hyperlink>
      <w:r w:rsidRPr="00A0384D">
        <w:rPr>
          <w:rFonts w:ascii="Roboto Condensed" w:eastAsia="Times New Roman" w:hAnsi="Roboto Condensed" w:cs="Times New Roman"/>
          <w:color w:val="343536"/>
          <w:spacing w:val="2"/>
          <w:kern w:val="0"/>
          <w:sz w:val="27"/>
          <w:szCs w:val="27"/>
          <w:lang w:val="es-CO" w:eastAsia="es-MX"/>
          <w14:ligatures w14:val="none"/>
        </w:rPr>
        <w:t> </w:t>
      </w:r>
      <w:r w:rsidRPr="00A0384D">
        <w:rPr>
          <w:rFonts w:ascii="Roboto Condensed" w:eastAsia="Times New Roman" w:hAnsi="Roboto Condensed" w:cs="Times New Roman"/>
          <w:i/>
          <w:iCs/>
          <w:color w:val="343536"/>
          <w:spacing w:val="2"/>
          <w:kern w:val="0"/>
          <w:sz w:val="27"/>
          <w:szCs w:val="27"/>
          <w:lang w:val="es-CO" w:eastAsia="es-MX"/>
          <w14:ligatures w14:val="none"/>
        </w:rPr>
        <w:t>ibidem</w:t>
      </w:r>
      <w:r w:rsidRPr="00A0384D">
        <w:rPr>
          <w:rFonts w:ascii="Roboto Condensed" w:eastAsia="Times New Roman" w:hAnsi="Roboto Condensed" w:cs="Times New Roman"/>
          <w:color w:val="343536"/>
          <w:spacing w:val="2"/>
          <w:kern w:val="0"/>
          <w:sz w:val="27"/>
          <w:szCs w:val="27"/>
          <w:lang w:val="es-CO" w:eastAsia="es-MX"/>
          <w14:ligatures w14:val="none"/>
        </w:rPr>
        <w:t>, entre otros, y no están relacionadas en el artículo </w:t>
      </w:r>
      <w:hyperlink r:id="rId63"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w:t>
      </w:r>
    </w:p>
    <w:p w14:paraId="0EC8868F"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b/>
          <w:bCs/>
          <w:color w:val="343536"/>
          <w:spacing w:val="2"/>
          <w:kern w:val="0"/>
          <w:sz w:val="27"/>
          <w:szCs w:val="27"/>
          <w:lang w:val="es-CO" w:eastAsia="es-MX"/>
          <w14:ligatures w14:val="none"/>
        </w:rPr>
        <w:lastRenderedPageBreak/>
        <w:t>FUNDAMENTACIÓN</w:t>
      </w:r>
    </w:p>
    <w:p w14:paraId="3DDEE06F"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14. Los artículos </w:t>
      </w:r>
      <w:hyperlink r:id="rId64" w:anchor="19" w:history="1">
        <w:r w:rsidRPr="00A0384D">
          <w:rPr>
            <w:rFonts w:ascii="Roboto Condensed" w:eastAsia="Times New Roman" w:hAnsi="Roboto Condensed" w:cs="Times New Roman"/>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65" w:anchor="356" w:history="1">
        <w:r w:rsidRPr="00A0384D">
          <w:rPr>
            <w:rFonts w:ascii="Roboto Condensed" w:eastAsia="Times New Roman" w:hAnsi="Roboto Condensed" w:cs="Times New Roman"/>
            <w:color w:val="00A9E0"/>
            <w:spacing w:val="2"/>
            <w:kern w:val="0"/>
            <w:sz w:val="27"/>
            <w:szCs w:val="27"/>
            <w:u w:val="single"/>
            <w:lang w:val="es-CO" w:eastAsia="es-MX"/>
            <w14:ligatures w14:val="none"/>
          </w:rPr>
          <w:t>356</w:t>
        </w:r>
      </w:hyperlink>
      <w:r w:rsidRPr="00A0384D">
        <w:rPr>
          <w:rFonts w:ascii="Roboto Condensed" w:eastAsia="Times New Roman" w:hAnsi="Roboto Condensed" w:cs="Times New Roman"/>
          <w:color w:val="343536"/>
          <w:spacing w:val="2"/>
          <w:kern w:val="0"/>
          <w:sz w:val="27"/>
          <w:szCs w:val="27"/>
          <w:lang w:val="es-CO" w:eastAsia="es-MX"/>
          <w14:ligatures w14:val="none"/>
        </w:rPr>
        <w:t> y siguientes del Estatuto Tributario establecen el marco regulatorio del Régimen Tributario Especial del impuesto sobre la renta. Para efectos de la determinación del beneficio o excedente neto de las entidades que se acogen a este régimen se destaca lo dispuesto en el artículo </w:t>
      </w:r>
      <w:hyperlink r:id="rId66" w:anchor="357" w:history="1">
        <w:r w:rsidRPr="00A0384D">
          <w:rPr>
            <w:rFonts w:ascii="Roboto Condensed" w:eastAsia="Times New Roman" w:hAnsi="Roboto Condensed" w:cs="Times New Roman"/>
            <w:color w:val="00A9E0"/>
            <w:spacing w:val="2"/>
            <w:kern w:val="0"/>
            <w:sz w:val="27"/>
            <w:szCs w:val="27"/>
            <w:u w:val="single"/>
            <w:lang w:val="es-CO" w:eastAsia="es-MX"/>
            <w14:ligatures w14:val="none"/>
          </w:rPr>
          <w:t>357</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w:t>
      </w:r>
    </w:p>
    <w:p w14:paraId="2A54DCEA"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15. Respecto de las entidades que hacen parte del Régimen Tributario Especial, el artículo </w:t>
      </w:r>
      <w:hyperlink r:id="rId67" w:anchor="19" w:history="1">
        <w:r w:rsidRPr="00A0384D">
          <w:rPr>
            <w:rFonts w:ascii="Roboto Condensed" w:eastAsia="Times New Roman" w:hAnsi="Roboto Condensed" w:cs="Times New Roman"/>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establece:</w:t>
      </w:r>
    </w:p>
    <w:p w14:paraId="14ABC7A4"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ARTICULO </w:t>
      </w:r>
      <w:hyperlink r:id="rId68" w:anchor="19"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i/>
          <w:iCs/>
          <w:color w:val="343536"/>
          <w:spacing w:val="2"/>
          <w:kern w:val="0"/>
          <w:sz w:val="27"/>
          <w:szCs w:val="27"/>
          <w:lang w:val="es-CO" w:eastAsia="es-MX"/>
          <w14:ligatures w14:val="none"/>
        </w:rPr>
        <w:t>. CONTRIBUYENTES DEL REGIMEN TRIBUTARIO ESPECIAL. &lt;Artículo modificado por el artículo </w:t>
      </w:r>
      <w:hyperlink r:id="rId69" w:anchor="140"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140</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 la Ley 1819 de 2016. El nuevo texto es el siguiente:&gt; Todas las asociaciones, fundaciones y corporaciones constituidas como entidades sin ánimo de lucro, serán contribuyentes del impuesto sobre la renta y complementarios, conforme a las normas aplicables a las sociedades nacionales.</w:t>
      </w:r>
    </w:p>
    <w:p w14:paraId="1D168EC2"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Excepcionalmente, podrán solicitar ante la administración tributaria, de acuerdo con el artículo </w:t>
      </w:r>
      <w:hyperlink r:id="rId70" w:anchor="356-2"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356-2</w:t>
        </w:r>
      </w:hyperlink>
      <w:r w:rsidRPr="00A0384D">
        <w:rPr>
          <w:rFonts w:ascii="Roboto Condensed" w:eastAsia="Times New Roman" w:hAnsi="Roboto Condensed" w:cs="Times New Roman"/>
          <w:i/>
          <w:iCs/>
          <w:color w:val="343536"/>
          <w:spacing w:val="2"/>
          <w:kern w:val="0"/>
          <w:sz w:val="27"/>
          <w:szCs w:val="27"/>
          <w:lang w:val="es-CO" w:eastAsia="es-MX"/>
          <w14:ligatures w14:val="none"/>
        </w:rPr>
        <w:t>, su calificación como contribuyentes del Régimen Tributario Especial, siempre y cuando cumplan con los requisitos que se enumeran a continuación:</w:t>
      </w:r>
    </w:p>
    <w:p w14:paraId="056F7A74"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1. Que estén legalmente constituidas.</w:t>
      </w:r>
    </w:p>
    <w:p w14:paraId="20B95CAE"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2. Que su objeto social sea de interés general en una o varias de las actividades meritorias establecidas en el artículo </w:t>
      </w:r>
      <w:hyperlink r:id="rId71" w:anchor="359"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359</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presente Estatuto, a las cuales debe tener acceso la comunidad.</w:t>
      </w:r>
    </w:p>
    <w:p w14:paraId="02253CF5"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3. Que ni sus aportes sean reembolsados ni sus excedentes distribuidos, bajo ninguna modalidad, cualquiera que sea la denominación que se utilice, ni directa, ni indirectamente, ni durante su existencia, ni en el momento de su disolución y liquidación, de acuerdo con el artículo </w:t>
      </w:r>
      <w:hyperlink r:id="rId72" w:anchor="356-1"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356-1</w:t>
        </w:r>
      </w:hyperlink>
      <w:r w:rsidRPr="00A0384D">
        <w:rPr>
          <w:rFonts w:ascii="Roboto Condensed" w:eastAsia="Times New Roman" w:hAnsi="Roboto Condensed" w:cs="Times New Roman"/>
          <w:i/>
          <w:iCs/>
          <w:color w:val="343536"/>
          <w:spacing w:val="2"/>
          <w:kern w:val="0"/>
          <w:sz w:val="27"/>
          <w:szCs w:val="27"/>
          <w:lang w:val="es-CO" w:eastAsia="es-MX"/>
          <w14:ligatures w14:val="none"/>
        </w:rPr>
        <w:t>.</w:t>
      </w:r>
    </w:p>
    <w:p w14:paraId="69A029E4"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w:t>
      </w:r>
    </w:p>
    <w:p w14:paraId="4073F416"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lastRenderedPageBreak/>
        <w:t>16. En contraste el artículo </w:t>
      </w:r>
      <w:hyperlink r:id="rId73" w:anchor="23" w:history="1">
        <w:r w:rsidRPr="00A0384D">
          <w:rPr>
            <w:rFonts w:ascii="Roboto Condensed" w:eastAsia="Times New Roman" w:hAnsi="Roboto Condensed" w:cs="Times New Roman"/>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color w:val="343536"/>
          <w:spacing w:val="2"/>
          <w:kern w:val="0"/>
          <w:sz w:val="27"/>
          <w:szCs w:val="27"/>
          <w:lang w:val="es-CO" w:eastAsia="es-MX"/>
          <w14:ligatures w14:val="none"/>
        </w:rPr>
        <w:t> del Estatuto Tributario, establece quienes son no contribuyentes declarantes del impuesto de renta y para efectos de la obligación a que se refieren los artículos </w:t>
      </w:r>
      <w:hyperlink r:id="rId74"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75"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 se precisa de estos no contribuyentes quiénes deben presentar la información allí mencionada.</w:t>
      </w:r>
    </w:p>
    <w:p w14:paraId="3B67BBD2"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17. Es relevante mencionar que la misma reglamentación ha precisado que las normas relacionadas con el Régimen Tributario Especial del impuesto sobre la renta no aplican para las entidades no contribuyentes de este impuesto. Es así como el parágrafo 3 del artículo </w:t>
      </w:r>
      <w:hyperlink r:id="rId76" w:anchor="1.2.1.5.1.2" w:history="1">
        <w:r w:rsidRPr="00A0384D">
          <w:rPr>
            <w:rFonts w:ascii="Roboto Condensed" w:eastAsia="Times New Roman" w:hAnsi="Roboto Condensed" w:cs="Times New Roman"/>
            <w:color w:val="00A9E0"/>
            <w:spacing w:val="2"/>
            <w:kern w:val="0"/>
            <w:sz w:val="27"/>
            <w:szCs w:val="27"/>
            <w:u w:val="single"/>
            <w:lang w:val="es-CO" w:eastAsia="es-MX"/>
            <w14:ligatures w14:val="none"/>
          </w:rPr>
          <w:t>1.2.1.5.1.2</w:t>
        </w:r>
      </w:hyperlink>
      <w:r w:rsidRPr="00A0384D">
        <w:rPr>
          <w:rFonts w:ascii="Roboto Condensed" w:eastAsia="Times New Roman" w:hAnsi="Roboto Condensed" w:cs="Times New Roman"/>
          <w:color w:val="343536"/>
          <w:spacing w:val="2"/>
          <w:kern w:val="0"/>
          <w:sz w:val="27"/>
          <w:szCs w:val="27"/>
          <w:lang w:val="es-CO" w:eastAsia="es-MX"/>
          <w14:ligatures w14:val="none"/>
        </w:rPr>
        <w:t>. del Decreto 1625 de 2016 precisa:</w:t>
      </w:r>
    </w:p>
    <w:p w14:paraId="159D3A3D"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Artículo </w:t>
      </w:r>
      <w:hyperlink r:id="rId77" w:anchor="1.2.1.5.1.2"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1.2.1.5.1.2</w:t>
        </w:r>
      </w:hyperlink>
      <w:r w:rsidRPr="00A0384D">
        <w:rPr>
          <w:rFonts w:ascii="Roboto Condensed" w:eastAsia="Times New Roman" w:hAnsi="Roboto Condensed" w:cs="Times New Roman"/>
          <w:i/>
          <w:iCs/>
          <w:color w:val="343536"/>
          <w:spacing w:val="2"/>
          <w:kern w:val="0"/>
          <w:sz w:val="27"/>
          <w:szCs w:val="27"/>
          <w:lang w:val="es-CO" w:eastAsia="es-MX"/>
          <w14:ligatures w14:val="none"/>
        </w:rPr>
        <w:t>. Entidades contribuyentes del régimen especial. Podrán ser contribuyentes del impuesto sobre la renta y complementario del Régimen Especial de que trata el Titulo VI del Libro Primero del Estatuto Tributario, las siguientes entidades del artículo </w:t>
      </w:r>
      <w:hyperlink r:id="rId78" w:anchor="19"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siempre que desarrollen las actividades meritorias enumeradas en el artículo </w:t>
      </w:r>
      <w:hyperlink r:id="rId79" w:anchor="359"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359</w:t>
        </w:r>
      </w:hyperlink>
      <w:r w:rsidRPr="00A0384D">
        <w:rPr>
          <w:rFonts w:ascii="Roboto Condensed" w:eastAsia="Times New Roman" w:hAnsi="Roboto Condensed" w:cs="Times New Roman"/>
          <w:i/>
          <w:iCs/>
          <w:color w:val="343536"/>
          <w:spacing w:val="2"/>
          <w:kern w:val="0"/>
          <w:sz w:val="27"/>
          <w:szCs w:val="27"/>
          <w:lang w:val="es-CO" w:eastAsia="es-MX"/>
          <w14:ligatures w14:val="none"/>
        </w:rPr>
        <w:t> del Estatuto Tributario, que sean de interés general y a ella tenga acceso la comunidad, y que ni sus aportes sean reembolsados ni sus excedentes sean distribuidos bajo ninguna modalidad, cualquiera que sea la denominación que se utilice, ni directa ni indirectamente, ni durante su existencia, ni en el momento de su disolución y liquidación:</w:t>
      </w:r>
    </w:p>
    <w:p w14:paraId="4BCFEC8F"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lang w:val="es-CO" w:eastAsia="es-MX"/>
          <w14:ligatures w14:val="none"/>
        </w:rPr>
        <w:t>(...)</w:t>
      </w:r>
    </w:p>
    <w:p w14:paraId="02B2FED9"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i/>
          <w:iCs/>
          <w:color w:val="343536"/>
          <w:spacing w:val="2"/>
          <w:kern w:val="0"/>
          <w:sz w:val="27"/>
          <w:szCs w:val="27"/>
          <w:u w:val="single"/>
          <w:lang w:val="es-CO" w:eastAsia="es-MX"/>
          <w14:ligatures w14:val="none"/>
        </w:rPr>
        <w:t>Parágrafo 3. Lo dispuesto en este artículo no aplica para las entidades señaladas en los artículos </w:t>
      </w:r>
      <w:hyperlink r:id="rId80" w:anchor="22"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22</w:t>
        </w:r>
      </w:hyperlink>
      <w:r w:rsidRPr="00A0384D">
        <w:rPr>
          <w:rFonts w:ascii="Roboto Condensed" w:eastAsia="Times New Roman" w:hAnsi="Roboto Condensed" w:cs="Times New Roman"/>
          <w:i/>
          <w:iCs/>
          <w:color w:val="343536"/>
          <w:spacing w:val="2"/>
          <w:kern w:val="0"/>
          <w:sz w:val="27"/>
          <w:szCs w:val="27"/>
          <w:lang w:val="es-CO" w:eastAsia="es-MX"/>
          <w14:ligatures w14:val="none"/>
        </w:rPr>
        <w:t>_</w:t>
      </w:r>
      <w:r w:rsidRPr="00A0384D">
        <w:rPr>
          <w:rFonts w:ascii="Roboto Condensed" w:eastAsia="Times New Roman" w:hAnsi="Roboto Condensed" w:cs="Times New Roman"/>
          <w:i/>
          <w:iCs/>
          <w:color w:val="343536"/>
          <w:spacing w:val="2"/>
          <w:kern w:val="0"/>
          <w:sz w:val="27"/>
          <w:szCs w:val="27"/>
          <w:u w:val="single"/>
          <w:lang w:val="es-CO" w:eastAsia="es-MX"/>
          <w14:ligatures w14:val="none"/>
        </w:rPr>
        <w:t>y </w:t>
      </w:r>
      <w:hyperlink r:id="rId81" w:anchor="23"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23</w:t>
        </w:r>
      </w:hyperlink>
      <w:r w:rsidRPr="00A0384D">
        <w:rPr>
          <w:rFonts w:ascii="Roboto Condensed" w:eastAsia="Times New Roman" w:hAnsi="Roboto Condensed" w:cs="Times New Roman"/>
          <w:i/>
          <w:iCs/>
          <w:color w:val="343536"/>
          <w:spacing w:val="2"/>
          <w:kern w:val="0"/>
          <w:sz w:val="27"/>
          <w:szCs w:val="27"/>
          <w:u w:val="single"/>
          <w:lang w:val="es-CO" w:eastAsia="es-MX"/>
          <w14:ligatures w14:val="none"/>
        </w:rPr>
        <w:t> del Estatuto Tributario, conforme con lo previsto en el Parágrafo 1 del artículo </w:t>
      </w:r>
      <w:hyperlink r:id="rId82" w:anchor="19" w:history="1">
        <w:r w:rsidRPr="00A0384D">
          <w:rPr>
            <w:rFonts w:ascii="Roboto Condensed" w:eastAsia="Times New Roman" w:hAnsi="Roboto Condensed" w:cs="Times New Roman"/>
            <w:i/>
            <w:iCs/>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i/>
          <w:iCs/>
          <w:color w:val="343536"/>
          <w:spacing w:val="2"/>
          <w:kern w:val="0"/>
          <w:sz w:val="27"/>
          <w:szCs w:val="27"/>
          <w:u w:val="single"/>
          <w:lang w:val="es-CO" w:eastAsia="es-MX"/>
          <w14:ligatures w14:val="none"/>
        </w:rPr>
        <w:t> del Estatuto Tributario</w:t>
      </w:r>
      <w:r w:rsidRPr="00A0384D">
        <w:rPr>
          <w:rFonts w:ascii="Roboto Condensed" w:eastAsia="Times New Roman" w:hAnsi="Roboto Condensed" w:cs="Times New Roman"/>
          <w:i/>
          <w:iCs/>
          <w:color w:val="343536"/>
          <w:spacing w:val="2"/>
          <w:kern w:val="0"/>
          <w:sz w:val="27"/>
          <w:szCs w:val="27"/>
          <w:lang w:val="es-CO" w:eastAsia="es-MX"/>
          <w14:ligatures w14:val="none"/>
        </w:rPr>
        <w:t>.</w:t>
      </w:r>
    </w:p>
    <w:p w14:paraId="27E77698"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18. Así las cosas, las entidades que hacen parte del Régimen Tributario Especial del impuesto sobre la renta a que se refiere los artículos </w:t>
      </w:r>
      <w:hyperlink r:id="rId83" w:anchor="19" w:history="1">
        <w:r w:rsidRPr="00A0384D">
          <w:rPr>
            <w:rFonts w:ascii="Roboto Condensed" w:eastAsia="Times New Roman" w:hAnsi="Roboto Condensed" w:cs="Times New Roman"/>
            <w:color w:val="00A9E0"/>
            <w:spacing w:val="2"/>
            <w:kern w:val="0"/>
            <w:sz w:val="27"/>
            <w:szCs w:val="27"/>
            <w:u w:val="single"/>
            <w:lang w:val="es-CO" w:eastAsia="es-MX"/>
            <w14:ligatures w14:val="none"/>
          </w:rPr>
          <w:t>19</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84" w:anchor="356" w:history="1">
        <w:r w:rsidRPr="00A0384D">
          <w:rPr>
            <w:rFonts w:ascii="Roboto Condensed" w:eastAsia="Times New Roman" w:hAnsi="Roboto Condensed" w:cs="Times New Roman"/>
            <w:color w:val="00A9E0"/>
            <w:spacing w:val="2"/>
            <w:kern w:val="0"/>
            <w:sz w:val="27"/>
            <w:szCs w:val="27"/>
            <w:u w:val="single"/>
            <w:lang w:val="es-CO" w:eastAsia="es-MX"/>
            <w14:ligatures w14:val="none"/>
          </w:rPr>
          <w:t>356</w:t>
        </w:r>
      </w:hyperlink>
      <w:r w:rsidRPr="00A0384D">
        <w:rPr>
          <w:rFonts w:ascii="Roboto Condensed" w:eastAsia="Times New Roman" w:hAnsi="Roboto Condensed" w:cs="Times New Roman"/>
          <w:color w:val="343536"/>
          <w:spacing w:val="2"/>
          <w:kern w:val="0"/>
          <w:sz w:val="27"/>
          <w:szCs w:val="27"/>
          <w:lang w:val="es-CO" w:eastAsia="es-MX"/>
          <w14:ligatures w14:val="none"/>
        </w:rPr>
        <w:t> y siguientes del Estatuto Tributario y que determinan su beneficio neto según las reglas allí contenidas (en especial lo dispuesto en el artículo </w:t>
      </w:r>
      <w:hyperlink r:id="rId85" w:anchor="357" w:history="1">
        <w:r w:rsidRPr="00A0384D">
          <w:rPr>
            <w:rFonts w:ascii="Roboto Condensed" w:eastAsia="Times New Roman" w:hAnsi="Roboto Condensed" w:cs="Times New Roman"/>
            <w:color w:val="00A9E0"/>
            <w:spacing w:val="2"/>
            <w:kern w:val="0"/>
            <w:sz w:val="27"/>
            <w:szCs w:val="27"/>
            <w:u w:val="single"/>
            <w:lang w:val="es-CO" w:eastAsia="es-MX"/>
            <w14:ligatures w14:val="none"/>
          </w:rPr>
          <w:t>357</w:t>
        </w:r>
      </w:hyperlink>
      <w:r w:rsidRPr="00A0384D">
        <w:rPr>
          <w:rFonts w:ascii="Roboto Condensed" w:eastAsia="Times New Roman" w:hAnsi="Roboto Condensed" w:cs="Times New Roman"/>
          <w:color w:val="343536"/>
          <w:spacing w:val="2"/>
          <w:kern w:val="0"/>
          <w:sz w:val="27"/>
          <w:szCs w:val="27"/>
          <w:lang w:val="es-CO" w:eastAsia="es-MX"/>
          <w14:ligatures w14:val="none"/>
        </w:rPr>
        <w:t xml:space="preserve">), no están incluidos dentro </w:t>
      </w:r>
      <w:r w:rsidRPr="00A0384D">
        <w:rPr>
          <w:rFonts w:ascii="Roboto Condensed" w:eastAsia="Times New Roman" w:hAnsi="Roboto Condensed" w:cs="Times New Roman"/>
          <w:color w:val="343536"/>
          <w:spacing w:val="2"/>
          <w:kern w:val="0"/>
          <w:sz w:val="27"/>
          <w:szCs w:val="27"/>
          <w:lang w:val="es-CO" w:eastAsia="es-MX"/>
          <w14:ligatures w14:val="none"/>
        </w:rPr>
        <w:lastRenderedPageBreak/>
        <w:t>de los obligados a presentar la información de que tratan los artículos </w:t>
      </w:r>
      <w:hyperlink r:id="rId86" w:anchor="1.3.12.7"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1.3.12.7</w:t>
        </w:r>
      </w:hyperlink>
      <w:r w:rsidRPr="00A0384D">
        <w:rPr>
          <w:rFonts w:ascii="Roboto Condensed" w:eastAsia="Times New Roman" w:hAnsi="Roboto Condensed" w:cs="Times New Roman"/>
          <w:color w:val="343536"/>
          <w:spacing w:val="2"/>
          <w:kern w:val="0"/>
          <w:sz w:val="27"/>
          <w:szCs w:val="27"/>
          <w:lang w:val="es-CO" w:eastAsia="es-MX"/>
          <w14:ligatures w14:val="none"/>
        </w:rPr>
        <w:t>. y </w:t>
      </w:r>
      <w:hyperlink r:id="rId87" w:anchor="1.3.12.8" w:history="1">
        <w:r w:rsidRPr="00A0384D">
          <w:rPr>
            <w:rFonts w:ascii="Roboto Condensed" w:eastAsia="Times New Roman" w:hAnsi="Roboto Condensed" w:cs="Times New Roman"/>
            <w:color w:val="00A9E0"/>
            <w:spacing w:val="2"/>
            <w:kern w:val="0"/>
            <w:sz w:val="27"/>
            <w:szCs w:val="27"/>
            <w:u w:val="single"/>
            <w:lang w:val="es-CO" w:eastAsia="es-MX"/>
            <w14:ligatures w14:val="none"/>
          </w:rPr>
          <w:t>1.3.12.8</w:t>
        </w:r>
      </w:hyperlink>
      <w:r w:rsidRPr="00A0384D">
        <w:rPr>
          <w:rFonts w:ascii="Roboto Condensed" w:eastAsia="Times New Roman" w:hAnsi="Roboto Condensed" w:cs="Times New Roman"/>
          <w:color w:val="343536"/>
          <w:spacing w:val="2"/>
          <w:kern w:val="0"/>
          <w:sz w:val="27"/>
          <w:szCs w:val="27"/>
          <w:lang w:val="es-CO" w:eastAsia="es-MX"/>
          <w14:ligatures w14:val="none"/>
        </w:rPr>
        <w:t>. de la Resolución 227 de 2025.</w:t>
      </w:r>
    </w:p>
    <w:p w14:paraId="75BD5BB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r w:rsidRPr="00A0384D">
        <w:rPr>
          <w:rFonts w:ascii="Roboto Condensed" w:eastAsia="Times New Roman" w:hAnsi="Roboto Condensed" w:cs="Times New Roman"/>
          <w:color w:val="343536"/>
          <w:spacing w:val="2"/>
          <w:kern w:val="0"/>
          <w:sz w:val="27"/>
          <w:szCs w:val="27"/>
          <w:lang w:val="es-CO" w:eastAsia="es-MX"/>
          <w14:ligatures w14:val="none"/>
        </w:rPr>
        <w:t>19. En los anteriores términos se resuelve su petición y se recuerda que la normativa, jurisprudencia y doctrina en materia tributaria, aduanera y de fiscalización cambiaria, en lo de competencia de esta Entidad, puede consultarse en el normograma DIAN: </w:t>
      </w:r>
      <w:r w:rsidRPr="00A0384D">
        <w:rPr>
          <w:rFonts w:ascii="Roboto Condensed" w:eastAsia="Times New Roman" w:hAnsi="Roboto Condensed" w:cs="Times New Roman"/>
          <w:color w:val="343536"/>
          <w:spacing w:val="2"/>
          <w:kern w:val="0"/>
          <w:sz w:val="27"/>
          <w:szCs w:val="27"/>
          <w:u w:val="single"/>
          <w:lang w:val="es-CO" w:eastAsia="es-MX"/>
          <w14:ligatures w14:val="none"/>
        </w:rPr>
        <w:t>https://normograma.dian.gov.co/dian/</w:t>
      </w:r>
      <w:r w:rsidRPr="00A0384D">
        <w:rPr>
          <w:rFonts w:ascii="Roboto Condensed" w:eastAsia="Times New Roman" w:hAnsi="Roboto Condensed" w:cs="Times New Roman"/>
          <w:color w:val="343536"/>
          <w:spacing w:val="2"/>
          <w:kern w:val="0"/>
          <w:sz w:val="27"/>
          <w:szCs w:val="27"/>
          <w:lang w:val="es-CO" w:eastAsia="es-MX"/>
          <w14:ligatures w14:val="none"/>
        </w:rPr>
        <w:t>.</w:t>
      </w:r>
    </w:p>
    <w:p w14:paraId="7C73882A"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bookmarkStart w:id="1" w:name="NF"/>
      <w:r w:rsidRPr="00A0384D">
        <w:rPr>
          <w:rFonts w:ascii="Roboto Condensed" w:eastAsia="Times New Roman" w:hAnsi="Roboto Condensed" w:cs="Times New Roman"/>
          <w:color w:val="00A9E0"/>
          <w:spacing w:val="2"/>
          <w:kern w:val="0"/>
          <w:sz w:val="27"/>
          <w:szCs w:val="27"/>
          <w:u w:val="single"/>
          <w:lang w:val="es-CO" w:eastAsia="es-MX"/>
          <w14:ligatures w14:val="none"/>
        </w:rPr>
        <w:t>&lt;NOTAS DE PIE DE PÁGINA&gt;.</w:t>
      </w:r>
      <w:bookmarkEnd w:id="1"/>
    </w:p>
    <w:p w14:paraId="773B9EA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bookmarkStart w:id="2" w:name="NF1"/>
      <w:r w:rsidRPr="00A0384D">
        <w:rPr>
          <w:rFonts w:ascii="Roboto Condensed" w:eastAsia="Times New Roman" w:hAnsi="Roboto Condensed" w:cs="Times New Roman"/>
          <w:color w:val="00A9E0"/>
          <w:spacing w:val="2"/>
          <w:kern w:val="0"/>
          <w:sz w:val="27"/>
          <w:szCs w:val="27"/>
          <w:u w:val="single"/>
          <w:lang w:val="es-CO" w:eastAsia="es-MX"/>
          <w14:ligatures w14:val="none"/>
        </w:rPr>
        <w:t>1. </w:t>
      </w:r>
      <w:bookmarkEnd w:id="2"/>
      <w:r w:rsidRPr="00A0384D">
        <w:rPr>
          <w:rFonts w:ascii="Roboto Condensed" w:eastAsia="Times New Roman" w:hAnsi="Roboto Condensed" w:cs="Times New Roman"/>
          <w:b/>
          <w:bCs/>
          <w:color w:val="343536"/>
          <w:spacing w:val="2"/>
          <w:kern w:val="0"/>
          <w:sz w:val="27"/>
          <w:szCs w:val="27"/>
          <w:lang w:val="es-CO" w:eastAsia="es-MX"/>
          <w14:ligatures w14:val="none"/>
        </w:rPr>
        <w:t>De conformidad con el numeral 4 del artículo </w:t>
      </w:r>
      <w:hyperlink r:id="rId88" w:anchor="56" w:history="1">
        <w:r w:rsidRPr="00A0384D">
          <w:rPr>
            <w:rFonts w:ascii="Roboto Condensed" w:eastAsia="Times New Roman" w:hAnsi="Roboto Condensed" w:cs="Times New Roman"/>
            <w:color w:val="00A9E0"/>
            <w:spacing w:val="2"/>
            <w:kern w:val="0"/>
            <w:sz w:val="27"/>
            <w:szCs w:val="27"/>
            <w:u w:val="single"/>
            <w:lang w:val="es-CO" w:eastAsia="es-MX"/>
            <w14:ligatures w14:val="none"/>
          </w:rPr>
          <w:t>56</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del Decreto 1742 de 2020 y el artículo </w:t>
      </w:r>
      <w:hyperlink r:id="rId89" w:anchor="7" w:history="1">
        <w:r w:rsidRPr="00A0384D">
          <w:rPr>
            <w:rFonts w:ascii="Roboto Condensed" w:eastAsia="Times New Roman" w:hAnsi="Roboto Condensed" w:cs="Times New Roman"/>
            <w:color w:val="00A9E0"/>
            <w:spacing w:val="2"/>
            <w:kern w:val="0"/>
            <w:sz w:val="27"/>
            <w:szCs w:val="27"/>
            <w:u w:val="single"/>
            <w:lang w:val="es-CO" w:eastAsia="es-MX"/>
            <w14:ligatures w14:val="none"/>
          </w:rPr>
          <w:t>7</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 la Resolución DIAN 91 de 2021.</w:t>
      </w:r>
    </w:p>
    <w:p w14:paraId="45416B91"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bookmarkStart w:id="3" w:name="NF2"/>
      <w:r w:rsidRPr="00A0384D">
        <w:rPr>
          <w:rFonts w:ascii="Roboto Condensed" w:eastAsia="Times New Roman" w:hAnsi="Roboto Condensed" w:cs="Times New Roman"/>
          <w:color w:val="00A9E0"/>
          <w:spacing w:val="2"/>
          <w:kern w:val="0"/>
          <w:sz w:val="27"/>
          <w:szCs w:val="27"/>
          <w:u w:val="single"/>
          <w:lang w:val="es-CO" w:eastAsia="es-MX"/>
          <w14:ligatures w14:val="none"/>
        </w:rPr>
        <w:t>2. </w:t>
      </w:r>
      <w:bookmarkEnd w:id="3"/>
      <w:r w:rsidRPr="00A0384D">
        <w:rPr>
          <w:rFonts w:ascii="Roboto Condensed" w:eastAsia="Times New Roman" w:hAnsi="Roboto Condensed" w:cs="Times New Roman"/>
          <w:b/>
          <w:bCs/>
          <w:color w:val="343536"/>
          <w:spacing w:val="2"/>
          <w:kern w:val="0"/>
          <w:sz w:val="27"/>
          <w:szCs w:val="27"/>
          <w:lang w:val="es-CO" w:eastAsia="es-MX"/>
          <w14:ligatures w14:val="none"/>
        </w:rPr>
        <w:t>De conformidad con el numeral 1 del artículo </w:t>
      </w:r>
      <w:hyperlink r:id="rId90" w:anchor="56" w:history="1">
        <w:r w:rsidRPr="00A0384D">
          <w:rPr>
            <w:rFonts w:ascii="Roboto Condensed" w:eastAsia="Times New Roman" w:hAnsi="Roboto Condensed" w:cs="Times New Roman"/>
            <w:color w:val="00A9E0"/>
            <w:spacing w:val="2"/>
            <w:kern w:val="0"/>
            <w:sz w:val="27"/>
            <w:szCs w:val="27"/>
            <w:u w:val="single"/>
            <w:lang w:val="es-CO" w:eastAsia="es-MX"/>
            <w14:ligatures w14:val="none"/>
          </w:rPr>
          <w:t>56</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del Decreto 1742 de 2020 y el artículo </w:t>
      </w:r>
      <w:hyperlink r:id="rId91" w:anchor="7-1" w:history="1">
        <w:r w:rsidRPr="00A0384D">
          <w:rPr>
            <w:rFonts w:ascii="Roboto Condensed" w:eastAsia="Times New Roman" w:hAnsi="Roboto Condensed" w:cs="Times New Roman"/>
            <w:color w:val="00A9E0"/>
            <w:spacing w:val="2"/>
            <w:kern w:val="0"/>
            <w:sz w:val="27"/>
            <w:szCs w:val="27"/>
            <w:u w:val="single"/>
            <w:lang w:val="es-CO" w:eastAsia="es-MX"/>
            <w14:ligatures w14:val="none"/>
          </w:rPr>
          <w:t>7-1</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 la Resolución DIAN 91 de 2021.</w:t>
      </w:r>
    </w:p>
    <w:p w14:paraId="79C874DC" w14:textId="77777777" w:rsidR="00A0384D" w:rsidRPr="00A0384D" w:rsidRDefault="00A0384D" w:rsidP="00A0384D">
      <w:pPr>
        <w:shd w:val="clear" w:color="auto" w:fill="FFFFFF"/>
        <w:spacing w:line="480" w:lineRule="atLeast"/>
        <w:jc w:val="both"/>
        <w:rPr>
          <w:rFonts w:ascii="Roboto Condensed" w:eastAsia="Times New Roman" w:hAnsi="Roboto Condensed" w:cs="Times New Roman"/>
          <w:color w:val="343536"/>
          <w:spacing w:val="2"/>
          <w:kern w:val="0"/>
          <w:sz w:val="27"/>
          <w:szCs w:val="27"/>
          <w:lang w:val="es-CO" w:eastAsia="es-MX"/>
          <w14:ligatures w14:val="none"/>
        </w:rPr>
      </w:pPr>
      <w:bookmarkStart w:id="4" w:name="NF3"/>
      <w:r w:rsidRPr="00A0384D">
        <w:rPr>
          <w:rFonts w:ascii="Roboto Condensed" w:eastAsia="Times New Roman" w:hAnsi="Roboto Condensed" w:cs="Times New Roman"/>
          <w:color w:val="00A9E0"/>
          <w:spacing w:val="2"/>
          <w:kern w:val="0"/>
          <w:sz w:val="27"/>
          <w:szCs w:val="27"/>
          <w:u w:val="single"/>
          <w:lang w:val="es-CO" w:eastAsia="es-MX"/>
          <w14:ligatures w14:val="none"/>
        </w:rPr>
        <w:t>3. </w:t>
      </w:r>
      <w:bookmarkEnd w:id="4"/>
      <w:r w:rsidRPr="00A0384D">
        <w:rPr>
          <w:rFonts w:ascii="Roboto Condensed" w:eastAsia="Times New Roman" w:hAnsi="Roboto Condensed" w:cs="Times New Roman"/>
          <w:b/>
          <w:bCs/>
          <w:color w:val="343536"/>
          <w:spacing w:val="2"/>
          <w:kern w:val="0"/>
          <w:sz w:val="27"/>
          <w:szCs w:val="27"/>
          <w:lang w:val="es-CO" w:eastAsia="es-MX"/>
          <w14:ligatures w14:val="none"/>
        </w:rPr>
        <w:t>Compilatorios de los artículos </w:t>
      </w:r>
      <w:hyperlink r:id="rId92" w:anchor="74" w:history="1">
        <w:r w:rsidRPr="00A0384D">
          <w:rPr>
            <w:rFonts w:ascii="Roboto Condensed" w:eastAsia="Times New Roman" w:hAnsi="Roboto Condensed" w:cs="Times New Roman"/>
            <w:color w:val="00A9E0"/>
            <w:spacing w:val="2"/>
            <w:kern w:val="0"/>
            <w:sz w:val="27"/>
            <w:szCs w:val="27"/>
            <w:u w:val="single"/>
            <w:lang w:val="es-CO" w:eastAsia="es-MX"/>
            <w14:ligatures w14:val="none"/>
          </w:rPr>
          <w:t>74</w:t>
        </w:r>
      </w:hyperlink>
      <w:r w:rsidRPr="00A0384D">
        <w:rPr>
          <w:rFonts w:ascii="Roboto Condensed" w:eastAsia="Times New Roman" w:hAnsi="Roboto Condensed" w:cs="Times New Roman"/>
          <w:b/>
          <w:bCs/>
          <w:color w:val="343536"/>
          <w:spacing w:val="2"/>
          <w:kern w:val="0"/>
          <w:sz w:val="27"/>
          <w:szCs w:val="27"/>
          <w:lang w:val="es-CO" w:eastAsia="es-MX"/>
          <w14:ligatures w14:val="none"/>
        </w:rPr>
        <w:t> y </w:t>
      </w:r>
      <w:hyperlink r:id="rId93" w:anchor="75" w:history="1">
        <w:r w:rsidRPr="00A0384D">
          <w:rPr>
            <w:rFonts w:ascii="Roboto Condensed" w:eastAsia="Times New Roman" w:hAnsi="Roboto Condensed" w:cs="Times New Roman"/>
            <w:color w:val="00A9E0"/>
            <w:spacing w:val="2"/>
            <w:kern w:val="0"/>
            <w:sz w:val="27"/>
            <w:szCs w:val="27"/>
            <w:u w:val="single"/>
            <w:lang w:val="es-CO" w:eastAsia="es-MX"/>
            <w14:ligatures w14:val="none"/>
          </w:rPr>
          <w:t>75</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 la Resolución 162 de 2023, adicionado por la Resolución 00</w:t>
      </w:r>
      <w:hyperlink r:id="rId94" w:anchor="0" w:history="1">
        <w:r w:rsidRPr="00A0384D">
          <w:rPr>
            <w:rFonts w:ascii="Roboto Condensed" w:eastAsia="Times New Roman" w:hAnsi="Roboto Condensed" w:cs="Times New Roman"/>
            <w:color w:val="00A9E0"/>
            <w:spacing w:val="2"/>
            <w:kern w:val="0"/>
            <w:sz w:val="27"/>
            <w:szCs w:val="27"/>
            <w:u w:val="single"/>
            <w:lang w:val="es-CO" w:eastAsia="es-MX"/>
            <w14:ligatures w14:val="none"/>
          </w:rPr>
          <w:t>0188</w:t>
        </w:r>
      </w:hyperlink>
      <w:r w:rsidRPr="00A0384D">
        <w:rPr>
          <w:rFonts w:ascii="Roboto Condensed" w:eastAsia="Times New Roman" w:hAnsi="Roboto Condensed" w:cs="Times New Roman"/>
          <w:b/>
          <w:bCs/>
          <w:color w:val="343536"/>
          <w:spacing w:val="2"/>
          <w:kern w:val="0"/>
          <w:sz w:val="27"/>
          <w:szCs w:val="27"/>
          <w:lang w:val="es-CO" w:eastAsia="es-MX"/>
          <w14:ligatures w14:val="none"/>
        </w:rPr>
        <w:t> de 2024.</w:t>
      </w:r>
    </w:p>
    <w:p w14:paraId="22B4182F"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Condensed">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384D"/>
    <w:rsid w:val="000756B7"/>
    <w:rsid w:val="00093FDB"/>
    <w:rsid w:val="000B2285"/>
    <w:rsid w:val="00320F57"/>
    <w:rsid w:val="00537D8F"/>
    <w:rsid w:val="008C61E1"/>
    <w:rsid w:val="00A0384D"/>
    <w:rsid w:val="00B83A7B"/>
    <w:rsid w:val="00C125F1"/>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4E969"/>
  <w14:defaultImageDpi w14:val="32767"/>
  <w15:chartTrackingRefBased/>
  <w15:docId w15:val="{404851B2-B9C0-1345-A815-C9F5F3354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A0384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A0384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A0384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A0384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A0384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A0384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A0384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A0384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A0384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0384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A0384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A0384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A0384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A0384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A0384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A0384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A0384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A0384D"/>
    <w:rPr>
      <w:rFonts w:eastAsiaTheme="majorEastAsia" w:cstheme="majorBidi"/>
      <w:color w:val="272727" w:themeColor="text1" w:themeTint="D8"/>
    </w:rPr>
  </w:style>
  <w:style w:type="paragraph" w:styleId="Ttulo">
    <w:name w:val="Title"/>
    <w:basedOn w:val="Normal"/>
    <w:next w:val="Normal"/>
    <w:link w:val="TtuloCar"/>
    <w:uiPriority w:val="10"/>
    <w:qFormat/>
    <w:rsid w:val="00A0384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0384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A0384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A0384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A0384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A0384D"/>
    <w:rPr>
      <w:i/>
      <w:iCs/>
      <w:color w:val="404040" w:themeColor="text1" w:themeTint="BF"/>
    </w:rPr>
  </w:style>
  <w:style w:type="paragraph" w:styleId="Prrafodelista">
    <w:name w:val="List Paragraph"/>
    <w:basedOn w:val="Normal"/>
    <w:uiPriority w:val="34"/>
    <w:qFormat/>
    <w:rsid w:val="00A0384D"/>
    <w:pPr>
      <w:ind w:left="720"/>
      <w:contextualSpacing/>
    </w:pPr>
  </w:style>
  <w:style w:type="character" w:styleId="nfasisintenso">
    <w:name w:val="Intense Emphasis"/>
    <w:basedOn w:val="Fuentedeprrafopredeter"/>
    <w:uiPriority w:val="21"/>
    <w:qFormat/>
    <w:rsid w:val="00A0384D"/>
    <w:rPr>
      <w:i/>
      <w:iCs/>
      <w:color w:val="2F5496" w:themeColor="accent1" w:themeShade="BF"/>
    </w:rPr>
  </w:style>
  <w:style w:type="paragraph" w:styleId="Citadestacada">
    <w:name w:val="Intense Quote"/>
    <w:basedOn w:val="Normal"/>
    <w:next w:val="Normal"/>
    <w:link w:val="CitadestacadaCar"/>
    <w:uiPriority w:val="30"/>
    <w:qFormat/>
    <w:rsid w:val="00A0384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A0384D"/>
    <w:rPr>
      <w:i/>
      <w:iCs/>
      <w:color w:val="2F5496" w:themeColor="accent1" w:themeShade="BF"/>
    </w:rPr>
  </w:style>
  <w:style w:type="character" w:styleId="Referenciaintensa">
    <w:name w:val="Intense Reference"/>
    <w:basedOn w:val="Fuentedeprrafopredeter"/>
    <w:uiPriority w:val="32"/>
    <w:qFormat/>
    <w:rsid w:val="00A0384D"/>
    <w:rPr>
      <w:b/>
      <w:bCs/>
      <w:smallCaps/>
      <w:color w:val="2F5496" w:themeColor="accent1" w:themeShade="BF"/>
      <w:spacing w:val="5"/>
    </w:rPr>
  </w:style>
  <w:style w:type="character" w:customStyle="1" w:styleId="texto-boton-anotaciones">
    <w:name w:val="texto-boton-anotaciones"/>
    <w:basedOn w:val="Fuentedeprrafopredeter"/>
    <w:rsid w:val="00A0384D"/>
  </w:style>
  <w:style w:type="character" w:customStyle="1" w:styleId="texto-boton-busqueda">
    <w:name w:val="texto-boton-busqueda"/>
    <w:basedOn w:val="Fuentedeprrafopredeter"/>
    <w:rsid w:val="00A0384D"/>
  </w:style>
  <w:style w:type="character" w:customStyle="1" w:styleId="texto-boton-indice">
    <w:name w:val="texto-boton-indice"/>
    <w:basedOn w:val="Fuentedeprrafopredeter"/>
    <w:rsid w:val="00A0384D"/>
  </w:style>
  <w:style w:type="paragraph" w:customStyle="1" w:styleId="centrado">
    <w:name w:val="centrado"/>
    <w:basedOn w:val="Normal"/>
    <w:rsid w:val="00A0384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baj">
    <w:name w:val="b_aj"/>
    <w:basedOn w:val="Fuentedeprrafopredeter"/>
    <w:rsid w:val="00A0384D"/>
  </w:style>
  <w:style w:type="character" w:styleId="Hipervnculo">
    <w:name w:val="Hyperlink"/>
    <w:basedOn w:val="Fuentedeprrafopredeter"/>
    <w:uiPriority w:val="99"/>
    <w:semiHidden/>
    <w:unhideWhenUsed/>
    <w:rsid w:val="00A0384D"/>
    <w:rPr>
      <w:color w:val="0000FF"/>
      <w:u w:val="single"/>
    </w:rPr>
  </w:style>
  <w:style w:type="character" w:customStyle="1" w:styleId="iaj">
    <w:name w:val="i_aj"/>
    <w:basedOn w:val="Fuentedeprrafopredeter"/>
    <w:rsid w:val="00A0384D"/>
  </w:style>
  <w:style w:type="paragraph" w:styleId="NormalWeb">
    <w:name w:val="Normal (Web)"/>
    <w:basedOn w:val="Normal"/>
    <w:uiPriority w:val="99"/>
    <w:semiHidden/>
    <w:unhideWhenUsed/>
    <w:rsid w:val="00A0384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letra8pt">
    <w:name w:val="letra8pt"/>
    <w:basedOn w:val="Fuentedeprrafopredeter"/>
    <w:rsid w:val="00A038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normograma.dian.gov.co/dian/compilacion/docs/ley_2010_2019.htm" TargetMode="External"/><Relationship Id="rId21" Type="http://schemas.openxmlformats.org/officeDocument/2006/relationships/hyperlink" Target="https://normograma.dian.gov.co/dian/compilacion/docs/estatuto_tributario.htm" TargetMode="External"/><Relationship Id="rId42" Type="http://schemas.openxmlformats.org/officeDocument/2006/relationships/hyperlink" Target="https://normograma.dian.gov.co/dian/compilacion/docs/estatuto_tributario.htm" TargetMode="External"/><Relationship Id="rId47" Type="http://schemas.openxmlformats.org/officeDocument/2006/relationships/hyperlink" Target="https://normograma.dian.gov.co/dian/compilacion/docs/estatuto_tributario.htm" TargetMode="External"/><Relationship Id="rId63" Type="http://schemas.openxmlformats.org/officeDocument/2006/relationships/hyperlink" Target="https://normograma.dian.gov.co/dian/compilacion/docs/resolucion_dian_0227_2025.htm" TargetMode="External"/><Relationship Id="rId68" Type="http://schemas.openxmlformats.org/officeDocument/2006/relationships/hyperlink" Target="https://normograma.dian.gov.co/dian/compilacion/docs/estatuto_tributario.htm" TargetMode="External"/><Relationship Id="rId84" Type="http://schemas.openxmlformats.org/officeDocument/2006/relationships/hyperlink" Target="https://normograma.dian.gov.co/dian/compilacion/docs/estatuto_tributario.htm" TargetMode="External"/><Relationship Id="rId89" Type="http://schemas.openxmlformats.org/officeDocument/2006/relationships/hyperlink" Target="https://normograma.dian.gov.co/dian/compilacion/docs/resolucion_dian_0091_2021.htm" TargetMode="External"/><Relationship Id="rId16" Type="http://schemas.openxmlformats.org/officeDocument/2006/relationships/hyperlink" Target="https://normograma.dian.gov.co/dian/compilacion/docs/estatuto_tributario.htm" TargetMode="External"/><Relationship Id="rId11" Type="http://schemas.openxmlformats.org/officeDocument/2006/relationships/hyperlink" Target="https://normograma.dian.gov.co/dian/compilacion/docs/resolucion_dian_0227_2025.htm" TargetMode="External"/><Relationship Id="rId32" Type="http://schemas.openxmlformats.org/officeDocument/2006/relationships/hyperlink" Target="https://normograma.dian.gov.co/dian/compilacion/docs/resolucion_dian_0227_2025.htm" TargetMode="External"/><Relationship Id="rId37" Type="http://schemas.openxmlformats.org/officeDocument/2006/relationships/hyperlink" Target="https://normograma.dian.gov.co/dian/compilacion/docs/resolucion_dian_0162_2023.htm" TargetMode="External"/><Relationship Id="rId53" Type="http://schemas.openxmlformats.org/officeDocument/2006/relationships/hyperlink" Target="https://normograma.dian.gov.co/dian/compilacion/docs/estatuto_tributario.htm" TargetMode="External"/><Relationship Id="rId58" Type="http://schemas.openxmlformats.org/officeDocument/2006/relationships/hyperlink" Target="https://normograma.dian.gov.co/dian/compilacion/docs/resolucion_dian_0227_2025.htm" TargetMode="External"/><Relationship Id="rId74" Type="http://schemas.openxmlformats.org/officeDocument/2006/relationships/hyperlink" Target="https://normograma.dian.gov.co/dian/compilacion/docs/resolucion_dian_0227_2025.htm" TargetMode="External"/><Relationship Id="rId79" Type="http://schemas.openxmlformats.org/officeDocument/2006/relationships/hyperlink" Target="https://normograma.dian.gov.co/dian/compilacion/docs/estatuto_tributario.htm" TargetMode="External"/><Relationship Id="rId5" Type="http://schemas.openxmlformats.org/officeDocument/2006/relationships/hyperlink" Target="https://normograma.dian.gov.co/dian/compilacion/docs/resolucion_dian_0227_2025.htm" TargetMode="External"/><Relationship Id="rId90" Type="http://schemas.openxmlformats.org/officeDocument/2006/relationships/hyperlink" Target="https://normograma.dian.gov.co/dian/compilacion/docs/decreto_1742_2020.htm" TargetMode="External"/><Relationship Id="rId95" Type="http://schemas.openxmlformats.org/officeDocument/2006/relationships/fontTable" Target="fontTable.xml"/><Relationship Id="rId22" Type="http://schemas.openxmlformats.org/officeDocument/2006/relationships/hyperlink" Target="https://normograma.dian.gov.co/dian/compilacion/docs/decreto_1625_2016.htm" TargetMode="External"/><Relationship Id="rId27" Type="http://schemas.openxmlformats.org/officeDocument/2006/relationships/hyperlink" Target="https://normograma.dian.gov.co/dian/compilacion/docs/oficio_dian_15945_2025.htm" TargetMode="External"/><Relationship Id="rId43" Type="http://schemas.openxmlformats.org/officeDocument/2006/relationships/hyperlink" Target="https://normograma.dian.gov.co/dian/compilacion/docs/estatuto_tributario.htm" TargetMode="External"/><Relationship Id="rId48" Type="http://schemas.openxmlformats.org/officeDocument/2006/relationships/hyperlink" Target="https://normograma.dian.gov.co/dian/compilacion/docs/estatuto_tributario.htm" TargetMode="External"/><Relationship Id="rId64" Type="http://schemas.openxmlformats.org/officeDocument/2006/relationships/hyperlink" Target="https://normograma.dian.gov.co/dian/compilacion/docs/estatuto_tributario.htm" TargetMode="External"/><Relationship Id="rId69" Type="http://schemas.openxmlformats.org/officeDocument/2006/relationships/hyperlink" Target="https://normograma.dian.gov.co/dian/compilacion/docs/ley_1819_2016.htm" TargetMode="External"/><Relationship Id="rId8" Type="http://schemas.openxmlformats.org/officeDocument/2006/relationships/hyperlink" Target="https://normograma.dian.gov.co/dian/compilacion/docs/resolucion_dian_0227_2025.htm" TargetMode="External"/><Relationship Id="rId51" Type="http://schemas.openxmlformats.org/officeDocument/2006/relationships/hyperlink" Target="https://normograma.dian.gov.co/dian/compilacion/docs/estatuto_tributario.htm" TargetMode="External"/><Relationship Id="rId72" Type="http://schemas.openxmlformats.org/officeDocument/2006/relationships/hyperlink" Target="https://normograma.dian.gov.co/dian/compilacion/docs/estatuto_tributario.htm" TargetMode="External"/><Relationship Id="rId80" Type="http://schemas.openxmlformats.org/officeDocument/2006/relationships/hyperlink" Target="https://normograma.dian.gov.co/dian/compilacion/docs/estatuto_tributario.htm" TargetMode="External"/><Relationship Id="rId85" Type="http://schemas.openxmlformats.org/officeDocument/2006/relationships/hyperlink" Target="https://normograma.dian.gov.co/dian/compilacion/docs/estatuto_tributario.htm" TargetMode="External"/><Relationship Id="rId93" Type="http://schemas.openxmlformats.org/officeDocument/2006/relationships/hyperlink" Target="https://normograma.dian.gov.co/dian/compilacion/docs/resolucion_dian_0162_2023.htm" TargetMode="External"/><Relationship Id="rId3" Type="http://schemas.openxmlformats.org/officeDocument/2006/relationships/webSettings" Target="webSettings.xml"/><Relationship Id="rId12" Type="http://schemas.openxmlformats.org/officeDocument/2006/relationships/hyperlink" Target="https://normograma.dian.gov.co/dian/compilacion/docs/estatuto_tributario.htm" TargetMode="External"/><Relationship Id="rId17" Type="http://schemas.openxmlformats.org/officeDocument/2006/relationships/hyperlink" Target="https://normograma.dian.gov.co/dian/compilacion/docs/resolucion_dian_0227_2025.htm" TargetMode="External"/><Relationship Id="rId25" Type="http://schemas.openxmlformats.org/officeDocument/2006/relationships/hyperlink" Target="https://normograma.dian.gov.co/dian/compilacion/docs/oficio_dian_15945_2025.htm" TargetMode="External"/><Relationship Id="rId33" Type="http://schemas.openxmlformats.org/officeDocument/2006/relationships/hyperlink" Target="https://normograma.dian.gov.co/dian/compilacion/docs/resolucion_dian_0227_2025.htm" TargetMode="External"/><Relationship Id="rId38" Type="http://schemas.openxmlformats.org/officeDocument/2006/relationships/hyperlink" Target="https://normograma.dian.gov.co/dian/compilacion/docs/resolucion_dian_0162_2023.htm" TargetMode="External"/><Relationship Id="rId46" Type="http://schemas.openxmlformats.org/officeDocument/2006/relationships/hyperlink" Target="https://normograma.dian.gov.co/dian/compilacion/docs/estatuto_tributario.htm" TargetMode="External"/><Relationship Id="rId59" Type="http://schemas.openxmlformats.org/officeDocument/2006/relationships/hyperlink" Target="https://normograma.dian.gov.co/dian/compilacion/docs/resolucion_dian_0227_2025.htm" TargetMode="External"/><Relationship Id="rId67" Type="http://schemas.openxmlformats.org/officeDocument/2006/relationships/hyperlink" Target="https://normograma.dian.gov.co/dian/compilacion/docs/estatuto_tributario.htm" TargetMode="External"/><Relationship Id="rId20" Type="http://schemas.openxmlformats.org/officeDocument/2006/relationships/hyperlink" Target="https://normograma.dian.gov.co/dian/compilacion/docs/estatuto_tributario.htm" TargetMode="External"/><Relationship Id="rId41" Type="http://schemas.openxmlformats.org/officeDocument/2006/relationships/hyperlink" Target="https://normograma.dian.gov.co/dian/compilacion/docs/resolucion_dian_0227_2025.htm" TargetMode="External"/><Relationship Id="rId54" Type="http://schemas.openxmlformats.org/officeDocument/2006/relationships/hyperlink" Target="https://normograma.dian.gov.co/dian/compilacion/docs/resolucion_dian_0162_2023.htm" TargetMode="External"/><Relationship Id="rId62" Type="http://schemas.openxmlformats.org/officeDocument/2006/relationships/hyperlink" Target="https://normograma.dian.gov.co/dian/compilacion/docs/estatuto_tributario.htm" TargetMode="External"/><Relationship Id="rId70" Type="http://schemas.openxmlformats.org/officeDocument/2006/relationships/hyperlink" Target="https://normograma.dian.gov.co/dian/compilacion/docs/estatuto_tributario.htm" TargetMode="External"/><Relationship Id="rId75" Type="http://schemas.openxmlformats.org/officeDocument/2006/relationships/hyperlink" Target="https://normograma.dian.gov.co/dian/compilacion/docs/resolucion_dian_0227_2025.htm" TargetMode="External"/><Relationship Id="rId83" Type="http://schemas.openxmlformats.org/officeDocument/2006/relationships/hyperlink" Target="https://normograma.dian.gov.co/dian/compilacion/docs/estatuto_tributario.htm" TargetMode="External"/><Relationship Id="rId88" Type="http://schemas.openxmlformats.org/officeDocument/2006/relationships/hyperlink" Target="https://normograma.dian.gov.co/dian/compilacion/docs/decreto_1742_2020.htm" TargetMode="External"/><Relationship Id="rId91" Type="http://schemas.openxmlformats.org/officeDocument/2006/relationships/hyperlink" Target="https://normograma.dian.gov.co/dian/compilacion/docs/resolucion_dian_0091_2021.htm" TargetMode="External"/><Relationship Id="rId9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normograma.dian.gov.co/dian/compilacion/docs/resolucion_dian_0227_2025.htm" TargetMode="External"/><Relationship Id="rId15" Type="http://schemas.openxmlformats.org/officeDocument/2006/relationships/hyperlink" Target="https://normograma.dian.gov.co/dian/compilacion/docs/estatuto_tributario.htm" TargetMode="External"/><Relationship Id="rId23" Type="http://schemas.openxmlformats.org/officeDocument/2006/relationships/hyperlink" Target="https://normograma.dian.gov.co/dian/compilacion/docs/resolucion_dian_0227_2025.htm" TargetMode="External"/><Relationship Id="rId28" Type="http://schemas.openxmlformats.org/officeDocument/2006/relationships/hyperlink" Target="https://normograma.dian.gov.co/dian/compilacion/docs/estatuto_tributario.htm" TargetMode="External"/><Relationship Id="rId36" Type="http://schemas.openxmlformats.org/officeDocument/2006/relationships/hyperlink" Target="https://normograma.dian.gov.co/dian/compilacion/docs/resolucion_dian_0227_2025.htm" TargetMode="External"/><Relationship Id="rId49" Type="http://schemas.openxmlformats.org/officeDocument/2006/relationships/hyperlink" Target="https://normograma.dian.gov.co/dian/compilacion/docs/resolucion_dian_0227_2025.htm" TargetMode="External"/><Relationship Id="rId57" Type="http://schemas.openxmlformats.org/officeDocument/2006/relationships/hyperlink" Target="https://normograma.dian.gov.co/dian/compilacion/docs/resolucion_dian_0227_2025.htm" TargetMode="External"/><Relationship Id="rId10" Type="http://schemas.openxmlformats.org/officeDocument/2006/relationships/hyperlink" Target="https://normograma.dian.gov.co/dian/compilacion/docs/resolucion_dian_0227_2025.htm" TargetMode="External"/><Relationship Id="rId31" Type="http://schemas.openxmlformats.org/officeDocument/2006/relationships/hyperlink" Target="https://normograma.dian.gov.co/dian/compilacion/docs/oficio_dian_15945_2025.htm" TargetMode="External"/><Relationship Id="rId44" Type="http://schemas.openxmlformats.org/officeDocument/2006/relationships/hyperlink" Target="https://normograma.dian.gov.co/dian/compilacion/docs/resolucion_dian_0227_2025.htm" TargetMode="External"/><Relationship Id="rId52" Type="http://schemas.openxmlformats.org/officeDocument/2006/relationships/hyperlink" Target="https://normograma.dian.gov.co/dian/compilacion/docs/resolucion_dian_0227_2025.htm" TargetMode="External"/><Relationship Id="rId60" Type="http://schemas.openxmlformats.org/officeDocument/2006/relationships/hyperlink" Target="https://normograma.dian.gov.co/dian/compilacion/docs/estatuto_tributario.htm" TargetMode="External"/><Relationship Id="rId65" Type="http://schemas.openxmlformats.org/officeDocument/2006/relationships/hyperlink" Target="https://normograma.dian.gov.co/dian/compilacion/docs/estatuto_tributario.htm" TargetMode="External"/><Relationship Id="rId73" Type="http://schemas.openxmlformats.org/officeDocument/2006/relationships/hyperlink" Target="https://normograma.dian.gov.co/dian/compilacion/docs/estatuto_tributario.htm" TargetMode="External"/><Relationship Id="rId78" Type="http://schemas.openxmlformats.org/officeDocument/2006/relationships/hyperlink" Target="https://normograma.dian.gov.co/dian/compilacion/docs/estatuto_tributario.htm" TargetMode="External"/><Relationship Id="rId81" Type="http://schemas.openxmlformats.org/officeDocument/2006/relationships/hyperlink" Target="https://normograma.dian.gov.co/dian/compilacion/docs/estatuto_tributario.htm" TargetMode="External"/><Relationship Id="rId86" Type="http://schemas.openxmlformats.org/officeDocument/2006/relationships/hyperlink" Target="https://normograma.dian.gov.co/dian/compilacion/docs/resolucion_dian_0227_2025.htm" TargetMode="External"/><Relationship Id="rId94" Type="http://schemas.openxmlformats.org/officeDocument/2006/relationships/hyperlink" Target="https://normograma.dian.gov.co/dian/compilacion/docs/resolucion_dian_0188_2024.htm" TargetMode="External"/><Relationship Id="rId4" Type="http://schemas.openxmlformats.org/officeDocument/2006/relationships/hyperlink" Target="https://normograma.dian.gov.co/dian/compilacion/docs/estatuto_tributario.htm" TargetMode="External"/><Relationship Id="rId9" Type="http://schemas.openxmlformats.org/officeDocument/2006/relationships/hyperlink" Target="https://normograma.dian.gov.co/dian/compilacion/docs/resolucion_dian_0227_2025.htm" TargetMode="External"/><Relationship Id="rId13" Type="http://schemas.openxmlformats.org/officeDocument/2006/relationships/hyperlink" Target="https://normograma.dian.gov.co/dian/compilacion/docs/resolucion_dian_0227_2025.htm" TargetMode="External"/><Relationship Id="rId18" Type="http://schemas.openxmlformats.org/officeDocument/2006/relationships/hyperlink" Target="https://normograma.dian.gov.co/dian/compilacion/docs/estatuto_tributario.htm" TargetMode="External"/><Relationship Id="rId39" Type="http://schemas.openxmlformats.org/officeDocument/2006/relationships/hyperlink" Target="https://normograma.dian.gov.co/dian/compilacion/docs/resolucion_dian_0188_2024.htm" TargetMode="External"/><Relationship Id="rId34" Type="http://schemas.openxmlformats.org/officeDocument/2006/relationships/hyperlink" Target="https://normograma.dian.gov.co/dian/compilacion/docs/estatuto_tributario.htm" TargetMode="External"/><Relationship Id="rId50" Type="http://schemas.openxmlformats.org/officeDocument/2006/relationships/hyperlink" Target="https://normograma.dian.gov.co/dian/compilacion/docs/estatuto_tributario.htm" TargetMode="External"/><Relationship Id="rId55" Type="http://schemas.openxmlformats.org/officeDocument/2006/relationships/hyperlink" Target="https://normograma.dian.gov.co/dian/compilacion/docs/resolucion_dian_0162_2023.htm" TargetMode="External"/><Relationship Id="rId76" Type="http://schemas.openxmlformats.org/officeDocument/2006/relationships/hyperlink" Target="https://normograma.dian.gov.co/dian/compilacion/docs/decreto_1625_2016.htm" TargetMode="External"/><Relationship Id="rId7" Type="http://schemas.openxmlformats.org/officeDocument/2006/relationships/hyperlink" Target="https://normograma.dian.gov.co/dian/compilacion/docs/estatuto_tributario.htm" TargetMode="External"/><Relationship Id="rId71" Type="http://schemas.openxmlformats.org/officeDocument/2006/relationships/hyperlink" Target="https://normograma.dian.gov.co/dian/compilacion/docs/estatuto_tributario.htm" TargetMode="External"/><Relationship Id="rId92" Type="http://schemas.openxmlformats.org/officeDocument/2006/relationships/hyperlink" Target="https://normograma.dian.gov.co/dian/compilacion/docs/resolucion_dian_0162_2023.htm" TargetMode="External"/><Relationship Id="rId2" Type="http://schemas.openxmlformats.org/officeDocument/2006/relationships/settings" Target="settings.xml"/><Relationship Id="rId29" Type="http://schemas.openxmlformats.org/officeDocument/2006/relationships/hyperlink" Target="https://normograma.dian.gov.co/dian/compilacion/docs/resolucion_dian_0227_2025.htm" TargetMode="External"/><Relationship Id="rId24" Type="http://schemas.openxmlformats.org/officeDocument/2006/relationships/hyperlink" Target="https://normograma.dian.gov.co/dian/compilacion/docs/resolucion_dian_0227_2025.htm" TargetMode="External"/><Relationship Id="rId40" Type="http://schemas.openxmlformats.org/officeDocument/2006/relationships/hyperlink" Target="https://normograma.dian.gov.co/dian/compilacion/docs/estatuto_tributario.htm" TargetMode="External"/><Relationship Id="rId45" Type="http://schemas.openxmlformats.org/officeDocument/2006/relationships/hyperlink" Target="https://normograma.dian.gov.co/dian/compilacion/docs/estatuto_tributario.htm" TargetMode="External"/><Relationship Id="rId66" Type="http://schemas.openxmlformats.org/officeDocument/2006/relationships/hyperlink" Target="https://normograma.dian.gov.co/dian/compilacion/docs/estatuto_tributario.htm" TargetMode="External"/><Relationship Id="rId87" Type="http://schemas.openxmlformats.org/officeDocument/2006/relationships/hyperlink" Target="https://normograma.dian.gov.co/dian/compilacion/docs/resolucion_dian_0227_2025.htm" TargetMode="External"/><Relationship Id="rId61" Type="http://schemas.openxmlformats.org/officeDocument/2006/relationships/hyperlink" Target="https://normograma.dian.gov.co/dian/compilacion/docs/estatuto_tributario.htm" TargetMode="External"/><Relationship Id="rId82" Type="http://schemas.openxmlformats.org/officeDocument/2006/relationships/hyperlink" Target="https://normograma.dian.gov.co/dian/compilacion/docs/estatuto_tributario.htm" TargetMode="External"/><Relationship Id="rId19" Type="http://schemas.openxmlformats.org/officeDocument/2006/relationships/hyperlink" Target="https://normograma.dian.gov.co/dian/compilacion/docs/estatuto_tributario.htm" TargetMode="External"/><Relationship Id="rId14" Type="http://schemas.openxmlformats.org/officeDocument/2006/relationships/hyperlink" Target="https://normograma.dian.gov.co/dian/compilacion/docs/estatuto_tributario.htm" TargetMode="External"/><Relationship Id="rId30" Type="http://schemas.openxmlformats.org/officeDocument/2006/relationships/hyperlink" Target="https://normograma.dian.gov.co/dian/compilacion/docs/resolucion_dian_0227_2025.htm" TargetMode="External"/><Relationship Id="rId35" Type="http://schemas.openxmlformats.org/officeDocument/2006/relationships/hyperlink" Target="https://normograma.dian.gov.co/dian/compilacion/docs/resolucion_dian_0227_2025.htm" TargetMode="External"/><Relationship Id="rId56" Type="http://schemas.openxmlformats.org/officeDocument/2006/relationships/hyperlink" Target="https://normograma.dian.gov.co/dian/compilacion/docs/estatuto_tributario.htm" TargetMode="External"/><Relationship Id="rId77" Type="http://schemas.openxmlformats.org/officeDocument/2006/relationships/hyperlink" Target="https://normograma.dian.gov.co/dian/compilacion/docs/decreto_1625_2016.ht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3511</Words>
  <Characters>18541</Characters>
  <Application>Microsoft Office Word</Application>
  <DocSecurity>0</DocSecurity>
  <Lines>487</Lines>
  <Paragraphs>120</Paragraphs>
  <ScaleCrop>false</ScaleCrop>
  <Company/>
  <LinksUpToDate>false</LinksUpToDate>
  <CharactersWithSpaces>21932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Alejandro Delgado</cp:lastModifiedBy>
  <cp:revision>4</cp:revision>
  <dcterms:created xsi:type="dcterms:W3CDTF">2026-01-08T16:48:00Z</dcterms:created>
  <dcterms:modified xsi:type="dcterms:W3CDTF">2026-01-14T16:03:00Z</dcterms:modified>
</cp:coreProperties>
</file>