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7F8E1B" w14:textId="77777777" w:rsidR="00860E32" w:rsidRPr="00860E32" w:rsidRDefault="00860E32" w:rsidP="00860E32">
      <w:pPr>
        <w:jc w:val="both"/>
        <w:rPr>
          <w:rFonts w:ascii="Times New Roman" w:eastAsia="Times New Roman" w:hAnsi="Times New Roman" w:cs="Times New Roman"/>
          <w:kern w:val="0"/>
          <w:lang w:val="es-CO" w:eastAsia="es-MX"/>
          <w14:ligatures w14:val="none"/>
        </w:rPr>
      </w:pPr>
      <w:r w:rsidRPr="00860E32">
        <w:rPr>
          <w:rFonts w:ascii="Verdana" w:eastAsia="Times New Roman" w:hAnsi="Verdana" w:cs="Times New Roman"/>
          <w:b/>
          <w:bCs/>
          <w:color w:val="000000"/>
          <w:kern w:val="0"/>
          <w:lang w:val="es-CO" w:eastAsia="es-MX"/>
          <w14:ligatures w14:val="none"/>
        </w:rPr>
        <w:t>CONCEPTO DIAN 1950 DEL 24 DE NOVIEMBRE DE 2025</w:t>
      </w:r>
    </w:p>
    <w:p w14:paraId="6C7B7CB2" w14:textId="77777777" w:rsidR="00860E32" w:rsidRPr="00860E32" w:rsidRDefault="00860E32" w:rsidP="00860E32">
      <w:pPr>
        <w:jc w:val="both"/>
        <w:rPr>
          <w:rFonts w:ascii="Times New Roman" w:eastAsia="Times New Roman" w:hAnsi="Times New Roman" w:cs="Times New Roman"/>
          <w:kern w:val="0"/>
          <w:lang w:val="es-CO" w:eastAsia="es-MX"/>
          <w14:ligatures w14:val="none"/>
        </w:rPr>
      </w:pPr>
      <w:r w:rsidRPr="00860E32">
        <w:rPr>
          <w:rFonts w:ascii="Verdana" w:eastAsia="Times New Roman" w:hAnsi="Verdana" w:cs="Times New Roman"/>
          <w:b/>
          <w:bCs/>
          <w:color w:val="000000"/>
          <w:kern w:val="0"/>
          <w:lang w:val="es-CO" w:eastAsia="es-MX"/>
          <w14:ligatures w14:val="none"/>
        </w:rPr>
        <w:t>DIRECCIÓN DE IMPUESTOS Y ADUANAS NACIONALES</w:t>
      </w:r>
    </w:p>
    <w:p w14:paraId="586B9F2A" w14:textId="77777777" w:rsidR="00860E32" w:rsidRPr="00860E32" w:rsidRDefault="00860E32" w:rsidP="00860E32">
      <w:pPr>
        <w:rPr>
          <w:rFonts w:ascii="Times New Roman" w:eastAsia="Times New Roman" w:hAnsi="Times New Roman" w:cs="Times New Roman"/>
          <w:kern w:val="0"/>
          <w:lang w:val="es-CO" w:eastAsia="es-MX"/>
          <w14:ligatures w14:val="none"/>
        </w:rPr>
      </w:pPr>
    </w:p>
    <w:p w14:paraId="33C5FAAE" w14:textId="77777777" w:rsidR="00860E32" w:rsidRPr="00860E32" w:rsidRDefault="00860E32" w:rsidP="00860E32">
      <w:pPr>
        <w:jc w:val="both"/>
        <w:rPr>
          <w:rFonts w:ascii="Times New Roman" w:eastAsia="Times New Roman" w:hAnsi="Times New Roman" w:cs="Times New Roman"/>
          <w:kern w:val="0"/>
          <w:lang w:val="es-CO" w:eastAsia="es-MX"/>
          <w14:ligatures w14:val="none"/>
        </w:rPr>
      </w:pPr>
      <w:r w:rsidRPr="00860E32">
        <w:rPr>
          <w:rFonts w:ascii="Verdana" w:eastAsia="Times New Roman" w:hAnsi="Verdana" w:cs="Times New Roman"/>
          <w:color w:val="000000"/>
          <w:kern w:val="0"/>
          <w:lang w:val="es-CO" w:eastAsia="es-MX"/>
          <w14:ligatures w14:val="none"/>
        </w:rPr>
        <w:t>Bogotá D.C., 24 de noviembre de 2025</w:t>
      </w:r>
    </w:p>
    <w:p w14:paraId="4D2EB8AE" w14:textId="77777777" w:rsidR="00860E32" w:rsidRPr="00860E32" w:rsidRDefault="00860E32" w:rsidP="00860E32">
      <w:pPr>
        <w:rPr>
          <w:rFonts w:ascii="Times New Roman" w:eastAsia="Times New Roman" w:hAnsi="Times New Roman" w:cs="Times New Roman"/>
          <w:kern w:val="0"/>
          <w:lang w:val="es-CO" w:eastAsia="es-MX"/>
          <w14:ligatures w14:val="none"/>
        </w:rPr>
      </w:pPr>
    </w:p>
    <w:p w14:paraId="146FD264" w14:textId="77777777" w:rsidR="00860E32" w:rsidRPr="00860E32" w:rsidRDefault="00860E32" w:rsidP="00860E32">
      <w:pPr>
        <w:ind w:hanging="2410"/>
        <w:jc w:val="both"/>
        <w:rPr>
          <w:rFonts w:ascii="Times New Roman" w:eastAsia="Times New Roman" w:hAnsi="Times New Roman" w:cs="Times New Roman"/>
          <w:kern w:val="0"/>
          <w:lang w:val="es-CO" w:eastAsia="es-MX"/>
          <w14:ligatures w14:val="none"/>
        </w:rPr>
      </w:pPr>
      <w:r w:rsidRPr="00860E32">
        <w:rPr>
          <w:rFonts w:ascii="Verdana" w:eastAsia="Times New Roman" w:hAnsi="Verdana" w:cs="Times New Roman"/>
          <w:color w:val="000000"/>
          <w:kern w:val="0"/>
          <w:lang w:val="es-CO" w:eastAsia="es-MX"/>
          <w14:ligatures w14:val="none"/>
        </w:rPr>
        <w:t>Tema:</w:t>
      </w:r>
      <w:r w:rsidRPr="00860E32">
        <w:rPr>
          <w:rFonts w:ascii="Verdana" w:eastAsia="Times New Roman" w:hAnsi="Verdana" w:cs="Times New Roman"/>
          <w:color w:val="000000"/>
          <w:kern w:val="0"/>
          <w:lang w:val="es-CO" w:eastAsia="es-MX"/>
          <w14:ligatures w14:val="none"/>
        </w:rPr>
        <w:tab/>
        <w:t>Régimen Simple de Tributación</w:t>
      </w:r>
    </w:p>
    <w:p w14:paraId="20E6FE60" w14:textId="77777777" w:rsidR="00860E32" w:rsidRPr="00860E32" w:rsidRDefault="00860E32" w:rsidP="00860E32">
      <w:pPr>
        <w:jc w:val="both"/>
        <w:rPr>
          <w:rFonts w:ascii="Times New Roman" w:eastAsia="Times New Roman" w:hAnsi="Times New Roman" w:cs="Times New Roman"/>
          <w:kern w:val="0"/>
          <w:lang w:val="es-CO" w:eastAsia="es-MX"/>
          <w14:ligatures w14:val="none"/>
        </w:rPr>
      </w:pPr>
      <w:r w:rsidRPr="00860E32">
        <w:rPr>
          <w:rFonts w:ascii="Verdana" w:eastAsia="Times New Roman" w:hAnsi="Verdana" w:cs="Times New Roman"/>
          <w:color w:val="000000"/>
          <w:kern w:val="0"/>
          <w:lang w:val="es-CO" w:eastAsia="es-MX"/>
          <w14:ligatures w14:val="none"/>
        </w:rPr>
        <w:t>Descriptores:</w:t>
      </w:r>
      <w:r w:rsidRPr="00860E32">
        <w:rPr>
          <w:rFonts w:ascii="Verdana" w:eastAsia="Times New Roman" w:hAnsi="Verdana" w:cs="Times New Roman"/>
          <w:color w:val="000000"/>
          <w:kern w:val="0"/>
          <w:lang w:val="es-CO" w:eastAsia="es-MX"/>
          <w14:ligatures w14:val="none"/>
        </w:rPr>
        <w:tab/>
        <w:t>Tarifa</w:t>
      </w:r>
    </w:p>
    <w:p w14:paraId="58B97D9E" w14:textId="5A6B07AF" w:rsidR="00860E32" w:rsidRPr="00860E32" w:rsidRDefault="00860E32" w:rsidP="00860E32">
      <w:pPr>
        <w:jc w:val="both"/>
        <w:rPr>
          <w:rFonts w:ascii="Times New Roman" w:eastAsia="Times New Roman" w:hAnsi="Times New Roman" w:cs="Times New Roman"/>
          <w:kern w:val="0"/>
          <w:lang w:val="es-CO" w:eastAsia="es-MX"/>
          <w14:ligatures w14:val="none"/>
        </w:rPr>
      </w:pPr>
      <w:r w:rsidRPr="00860E32">
        <w:rPr>
          <w:rFonts w:ascii="Verdana" w:eastAsia="Times New Roman" w:hAnsi="Verdana" w:cs="Times New Roman"/>
          <w:color w:val="000000"/>
          <w:kern w:val="0"/>
          <w:lang w:val="es-CO" w:eastAsia="es-MX"/>
          <w14:ligatures w14:val="none"/>
        </w:rPr>
        <w:t>Tarifa simple consolidada más alta </w:t>
      </w:r>
      <w:r>
        <w:rPr>
          <w:rFonts w:ascii="Verdana" w:eastAsia="Times New Roman" w:hAnsi="Verdana" w:cs="Times New Roman"/>
          <w:color w:val="000000"/>
          <w:kern w:val="0"/>
          <w:lang w:val="es-CO" w:eastAsia="es-MX"/>
          <w14:ligatures w14:val="none"/>
        </w:rPr>
        <w:tab/>
      </w:r>
      <w:r>
        <w:rPr>
          <w:rFonts w:ascii="Verdana" w:eastAsia="Times New Roman" w:hAnsi="Verdana" w:cs="Times New Roman"/>
          <w:color w:val="000000"/>
          <w:kern w:val="0"/>
          <w:lang w:val="es-CO" w:eastAsia="es-MX"/>
          <w14:ligatures w14:val="none"/>
        </w:rPr>
        <w:tab/>
      </w:r>
    </w:p>
    <w:p w14:paraId="5F1500F2" w14:textId="77777777" w:rsidR="00860E32" w:rsidRPr="00860E32" w:rsidRDefault="00860E32" w:rsidP="00860E32">
      <w:pPr>
        <w:jc w:val="both"/>
        <w:rPr>
          <w:rFonts w:ascii="Times New Roman" w:eastAsia="Times New Roman" w:hAnsi="Times New Roman" w:cs="Times New Roman"/>
          <w:kern w:val="0"/>
          <w:lang w:val="es-CO" w:eastAsia="es-MX"/>
          <w14:ligatures w14:val="none"/>
        </w:rPr>
      </w:pPr>
      <w:r w:rsidRPr="00860E32">
        <w:rPr>
          <w:rFonts w:ascii="Verdana" w:eastAsia="Times New Roman" w:hAnsi="Verdana" w:cs="Times New Roman"/>
          <w:color w:val="000000"/>
          <w:kern w:val="0"/>
          <w:lang w:val="es-CO" w:eastAsia="es-MX"/>
          <w14:ligatures w14:val="none"/>
        </w:rPr>
        <w:t>Fuentes formales:</w:t>
      </w:r>
      <w:r w:rsidRPr="00860E32">
        <w:rPr>
          <w:rFonts w:ascii="Verdana" w:eastAsia="Times New Roman" w:hAnsi="Verdana" w:cs="Times New Roman"/>
          <w:color w:val="000000"/>
          <w:kern w:val="0"/>
          <w:lang w:val="es-CO" w:eastAsia="es-MX"/>
          <w14:ligatures w14:val="none"/>
        </w:rPr>
        <w:tab/>
        <w:t>Artículos 904 y 908 del Estatuto Tributario</w:t>
      </w:r>
    </w:p>
    <w:p w14:paraId="43D228FE" w14:textId="77777777" w:rsidR="00860E32" w:rsidRPr="00860E32" w:rsidRDefault="00860E32" w:rsidP="00860E32">
      <w:pPr>
        <w:rPr>
          <w:rFonts w:ascii="Times New Roman" w:eastAsia="Times New Roman" w:hAnsi="Times New Roman" w:cs="Times New Roman"/>
          <w:kern w:val="0"/>
          <w:lang w:val="es-CO" w:eastAsia="es-MX"/>
          <w14:ligatures w14:val="none"/>
        </w:rPr>
      </w:pPr>
    </w:p>
    <w:p w14:paraId="707B7362" w14:textId="77777777" w:rsidR="00860E32" w:rsidRPr="00860E32" w:rsidRDefault="00860E32" w:rsidP="00860E32">
      <w:pPr>
        <w:jc w:val="both"/>
        <w:rPr>
          <w:rFonts w:ascii="Times New Roman" w:eastAsia="Times New Roman" w:hAnsi="Times New Roman" w:cs="Times New Roman"/>
          <w:kern w:val="0"/>
          <w:lang w:val="es-CO" w:eastAsia="es-MX"/>
          <w14:ligatures w14:val="none"/>
        </w:rPr>
      </w:pPr>
      <w:r w:rsidRPr="00860E32">
        <w:rPr>
          <w:rFonts w:ascii="Verdana" w:eastAsia="Times New Roman" w:hAnsi="Verdana" w:cs="Times New Roman"/>
          <w:color w:val="000000"/>
          <w:kern w:val="0"/>
          <w:lang w:val="es-CO" w:eastAsia="es-MX"/>
          <w14:ligatures w14:val="none"/>
        </w:rPr>
        <w:t>Cordial saludo, </w:t>
      </w:r>
    </w:p>
    <w:p w14:paraId="4B067202" w14:textId="77777777" w:rsidR="00860E32" w:rsidRPr="00860E32" w:rsidRDefault="00860E32" w:rsidP="00860E32">
      <w:pPr>
        <w:rPr>
          <w:rFonts w:ascii="Times New Roman" w:eastAsia="Times New Roman" w:hAnsi="Times New Roman" w:cs="Times New Roman"/>
          <w:kern w:val="0"/>
          <w:lang w:val="es-CO" w:eastAsia="es-MX"/>
          <w14:ligatures w14:val="none"/>
        </w:rPr>
      </w:pPr>
      <w:r w:rsidRPr="00860E32">
        <w:rPr>
          <w:rFonts w:ascii="Times New Roman" w:eastAsia="Times New Roman" w:hAnsi="Times New Roman" w:cs="Times New Roman"/>
          <w:kern w:val="0"/>
          <w:lang w:val="es-CO" w:eastAsia="es-MX"/>
          <w14:ligatures w14:val="none"/>
        </w:rPr>
        <w:br/>
      </w:r>
    </w:p>
    <w:p w14:paraId="515096DC" w14:textId="77777777" w:rsidR="00860E32" w:rsidRPr="00860E32" w:rsidRDefault="00860E32" w:rsidP="00860E32">
      <w:pPr>
        <w:numPr>
          <w:ilvl w:val="0"/>
          <w:numId w:val="1"/>
        </w:numPr>
        <w:ind w:left="360"/>
        <w:jc w:val="both"/>
        <w:textAlignment w:val="baseline"/>
        <w:rPr>
          <w:rFonts w:ascii="Verdana" w:eastAsia="Times New Roman" w:hAnsi="Verdana" w:cs="Times New Roman"/>
          <w:color w:val="000000"/>
          <w:kern w:val="0"/>
          <w:lang w:val="es-CO" w:eastAsia="es-MX"/>
          <w14:ligatures w14:val="none"/>
        </w:rPr>
      </w:pPr>
      <w:r w:rsidRPr="00860E32">
        <w:rPr>
          <w:rFonts w:ascii="Verdana" w:eastAsia="Times New Roman" w:hAnsi="Verdana" w:cs="Times New Roman"/>
          <w:color w:val="000000"/>
          <w:kern w:val="0"/>
          <w:lang w:val="es-CO" w:eastAsia="es-MX"/>
          <w14:ligatures w14:val="none"/>
        </w:rPr>
        <w:t>Esta Subdirección está facultada para resolver las consultas escritas, presentadas de manera general, sobre la interpretación y aplicación de las normas tributarias, aduaneras y de fiscalización cambiaria, en lo de competencia de la DIAN</w:t>
      </w:r>
      <w:r w:rsidRPr="00860E32">
        <w:rPr>
          <w:rFonts w:ascii="Verdana" w:eastAsia="Times New Roman" w:hAnsi="Verdana" w:cs="Times New Roman"/>
          <w:color w:val="000000"/>
          <w:kern w:val="0"/>
          <w:sz w:val="14"/>
          <w:szCs w:val="14"/>
          <w:vertAlign w:val="superscript"/>
          <w:lang w:val="es-CO" w:eastAsia="es-MX"/>
          <w14:ligatures w14:val="none"/>
        </w:rPr>
        <w:t>1</w:t>
      </w:r>
      <w:r w:rsidRPr="00860E32">
        <w:rPr>
          <w:rFonts w:ascii="Verdana" w:eastAsia="Times New Roman" w:hAnsi="Verdana" w:cs="Times New Roman"/>
          <w:color w:val="000000"/>
          <w:kern w:val="0"/>
          <w:lang w:val="es-CO" w:eastAsia="es-MX"/>
          <w14:ligatures w14:val="none"/>
        </w:rPr>
        <w:t>. En este sentido, la doctrina emitida será de carácter general, no se referirá a asuntos particulares y se someterá a lo consagrado en el artículo 131 de la Ley 2010 de 2019</w:t>
      </w:r>
      <w:r w:rsidRPr="00860E32">
        <w:rPr>
          <w:rFonts w:ascii="Verdana" w:eastAsia="Times New Roman" w:hAnsi="Verdana" w:cs="Times New Roman"/>
          <w:color w:val="000000"/>
          <w:kern w:val="0"/>
          <w:sz w:val="14"/>
          <w:szCs w:val="14"/>
          <w:vertAlign w:val="superscript"/>
          <w:lang w:val="es-CO" w:eastAsia="es-MX"/>
          <w14:ligatures w14:val="none"/>
        </w:rPr>
        <w:t>2</w:t>
      </w:r>
      <w:r w:rsidRPr="00860E32">
        <w:rPr>
          <w:rFonts w:ascii="Verdana" w:eastAsia="Times New Roman" w:hAnsi="Verdana" w:cs="Times New Roman"/>
          <w:color w:val="000000"/>
          <w:kern w:val="0"/>
          <w:lang w:val="es-CO" w:eastAsia="es-MX"/>
          <w14:ligatures w14:val="none"/>
        </w:rPr>
        <w:t>.</w:t>
      </w:r>
    </w:p>
    <w:p w14:paraId="1BB8517D" w14:textId="77777777" w:rsidR="00860E32" w:rsidRPr="00860E32" w:rsidRDefault="00860E32" w:rsidP="00860E32">
      <w:pPr>
        <w:rPr>
          <w:rFonts w:ascii="Times New Roman" w:eastAsia="Times New Roman" w:hAnsi="Times New Roman" w:cs="Times New Roman"/>
          <w:kern w:val="0"/>
          <w:lang w:val="es-CO" w:eastAsia="es-MX"/>
          <w14:ligatures w14:val="none"/>
        </w:rPr>
      </w:pPr>
    </w:p>
    <w:p w14:paraId="091ADA8A" w14:textId="77777777" w:rsidR="00860E32" w:rsidRPr="00860E32" w:rsidRDefault="00860E32" w:rsidP="00860E32">
      <w:pPr>
        <w:jc w:val="both"/>
        <w:outlineLvl w:val="0"/>
        <w:rPr>
          <w:rFonts w:ascii="Times New Roman" w:eastAsia="Times New Roman" w:hAnsi="Times New Roman" w:cs="Times New Roman"/>
          <w:b/>
          <w:bCs/>
          <w:kern w:val="36"/>
          <w:sz w:val="48"/>
          <w:szCs w:val="48"/>
          <w:lang w:val="es-CO" w:eastAsia="es-MX"/>
          <w14:ligatures w14:val="none"/>
        </w:rPr>
      </w:pPr>
      <w:r w:rsidRPr="00860E32">
        <w:rPr>
          <w:rFonts w:ascii="Verdana" w:eastAsia="Times New Roman" w:hAnsi="Verdana" w:cs="Times New Roman"/>
          <w:b/>
          <w:bCs/>
          <w:color w:val="000000"/>
          <w:kern w:val="36"/>
          <w:lang w:val="es-CO" w:eastAsia="es-MX"/>
          <w14:ligatures w14:val="none"/>
        </w:rPr>
        <w:t>PROBLEMA JURÍDICO</w:t>
      </w:r>
    </w:p>
    <w:p w14:paraId="663EA776" w14:textId="77777777" w:rsidR="00860E32" w:rsidRPr="00860E32" w:rsidRDefault="00860E32" w:rsidP="00860E32">
      <w:pPr>
        <w:rPr>
          <w:rFonts w:ascii="Times New Roman" w:eastAsia="Times New Roman" w:hAnsi="Times New Roman" w:cs="Times New Roman"/>
          <w:kern w:val="0"/>
          <w:lang w:val="es-CO" w:eastAsia="es-MX"/>
          <w14:ligatures w14:val="none"/>
        </w:rPr>
      </w:pPr>
      <w:r w:rsidRPr="00860E32">
        <w:rPr>
          <w:rFonts w:ascii="Times New Roman" w:eastAsia="Times New Roman" w:hAnsi="Times New Roman" w:cs="Times New Roman"/>
          <w:kern w:val="0"/>
          <w:lang w:val="es-CO" w:eastAsia="es-MX"/>
          <w14:ligatures w14:val="none"/>
        </w:rPr>
        <w:br/>
      </w:r>
    </w:p>
    <w:p w14:paraId="0CAB5713" w14:textId="77777777" w:rsidR="00860E32" w:rsidRPr="00860E32" w:rsidRDefault="00860E32" w:rsidP="00860E32">
      <w:pPr>
        <w:numPr>
          <w:ilvl w:val="0"/>
          <w:numId w:val="2"/>
        </w:numPr>
        <w:jc w:val="both"/>
        <w:textAlignment w:val="baseline"/>
        <w:rPr>
          <w:rFonts w:ascii="Verdana" w:eastAsia="Times New Roman" w:hAnsi="Verdana" w:cs="Times New Roman"/>
          <w:color w:val="000000"/>
          <w:kern w:val="0"/>
          <w:lang w:val="es-CO" w:eastAsia="es-MX"/>
          <w14:ligatures w14:val="none"/>
        </w:rPr>
      </w:pPr>
      <w:r w:rsidRPr="00860E32">
        <w:rPr>
          <w:rFonts w:ascii="Verdana" w:eastAsia="Times New Roman" w:hAnsi="Verdana" w:cs="Times New Roman"/>
          <w:color w:val="000000"/>
          <w:kern w:val="0"/>
          <w:lang w:val="es-CO" w:eastAsia="es-MX"/>
          <w14:ligatures w14:val="none"/>
        </w:rPr>
        <w:t>¿La expresión tarifa simple consolidada más alta del parágrafo 5 del artículo 908 del Estatuto Tributario debe entenderse como la tarifa nominal superior entre las actividades efectivamente desarrolladas, o como una regla de reclasificación integral de la totalidad de los ingresos brutos en la actividad más gravada para efectos de ubicar al contribuyente en el rango correspondiente de dicha actividad?</w:t>
      </w:r>
    </w:p>
    <w:p w14:paraId="24383B63" w14:textId="77777777" w:rsidR="00860E32" w:rsidRPr="00860E32" w:rsidRDefault="00860E32" w:rsidP="00860E32">
      <w:pPr>
        <w:rPr>
          <w:rFonts w:ascii="Times New Roman" w:eastAsia="Times New Roman" w:hAnsi="Times New Roman" w:cs="Times New Roman"/>
          <w:kern w:val="0"/>
          <w:lang w:val="es-CO" w:eastAsia="es-MX"/>
          <w14:ligatures w14:val="none"/>
        </w:rPr>
      </w:pPr>
    </w:p>
    <w:p w14:paraId="1C4B0362" w14:textId="77777777" w:rsidR="00860E32" w:rsidRPr="00860E32" w:rsidRDefault="00860E32" w:rsidP="00860E32">
      <w:pPr>
        <w:jc w:val="both"/>
        <w:outlineLvl w:val="0"/>
        <w:rPr>
          <w:rFonts w:ascii="Times New Roman" w:eastAsia="Times New Roman" w:hAnsi="Times New Roman" w:cs="Times New Roman"/>
          <w:b/>
          <w:bCs/>
          <w:kern w:val="36"/>
          <w:sz w:val="48"/>
          <w:szCs w:val="48"/>
          <w:lang w:val="es-CO" w:eastAsia="es-MX"/>
          <w14:ligatures w14:val="none"/>
        </w:rPr>
      </w:pPr>
      <w:r w:rsidRPr="00860E32">
        <w:rPr>
          <w:rFonts w:ascii="Verdana" w:eastAsia="Times New Roman" w:hAnsi="Verdana" w:cs="Times New Roman"/>
          <w:b/>
          <w:bCs/>
          <w:color w:val="000000"/>
          <w:kern w:val="36"/>
          <w:lang w:val="es-CO" w:eastAsia="es-MX"/>
          <w14:ligatures w14:val="none"/>
        </w:rPr>
        <w:t>TESIS JURÍDICA</w:t>
      </w:r>
    </w:p>
    <w:p w14:paraId="04CD85D8" w14:textId="77777777" w:rsidR="00860E32" w:rsidRPr="00860E32" w:rsidRDefault="00860E32" w:rsidP="00860E32">
      <w:pPr>
        <w:rPr>
          <w:rFonts w:ascii="Times New Roman" w:eastAsia="Times New Roman" w:hAnsi="Times New Roman" w:cs="Times New Roman"/>
          <w:kern w:val="0"/>
          <w:lang w:val="es-CO" w:eastAsia="es-MX"/>
          <w14:ligatures w14:val="none"/>
        </w:rPr>
      </w:pPr>
      <w:r w:rsidRPr="00860E32">
        <w:rPr>
          <w:rFonts w:ascii="Times New Roman" w:eastAsia="Times New Roman" w:hAnsi="Times New Roman" w:cs="Times New Roman"/>
          <w:kern w:val="0"/>
          <w:lang w:val="es-CO" w:eastAsia="es-MX"/>
          <w14:ligatures w14:val="none"/>
        </w:rPr>
        <w:br/>
      </w:r>
    </w:p>
    <w:p w14:paraId="5B946EA2" w14:textId="77777777" w:rsidR="00860E32" w:rsidRPr="00860E32" w:rsidRDefault="00860E32" w:rsidP="00860E32">
      <w:pPr>
        <w:numPr>
          <w:ilvl w:val="0"/>
          <w:numId w:val="3"/>
        </w:numPr>
        <w:jc w:val="both"/>
        <w:textAlignment w:val="baseline"/>
        <w:rPr>
          <w:rFonts w:ascii="Verdana" w:eastAsia="Times New Roman" w:hAnsi="Verdana" w:cs="Times New Roman"/>
          <w:color w:val="000000"/>
          <w:kern w:val="0"/>
          <w:lang w:val="es-CO" w:eastAsia="es-MX"/>
          <w14:ligatures w14:val="none"/>
        </w:rPr>
      </w:pPr>
      <w:r w:rsidRPr="00860E32">
        <w:rPr>
          <w:rFonts w:ascii="Verdana" w:eastAsia="Times New Roman" w:hAnsi="Verdana" w:cs="Times New Roman"/>
          <w:color w:val="000000"/>
          <w:kern w:val="0"/>
          <w:lang w:val="es-CO" w:eastAsia="es-MX"/>
          <w14:ligatures w14:val="none"/>
        </w:rPr>
        <w:t xml:space="preserve">La tarifa simple consolidada más alta no constituye una regla de reclasificación de los ingresos brutos obtenidos por el contribuyente, debe entenderse como la tarifa superior entre las actividades efectivamente desarrolladas aplicable a la base gravable unificada del artículo 904 </w:t>
      </w:r>
      <w:proofErr w:type="spellStart"/>
      <w:r w:rsidRPr="00860E32">
        <w:rPr>
          <w:rFonts w:ascii="Verdana" w:eastAsia="Times New Roman" w:hAnsi="Verdana" w:cs="Times New Roman"/>
          <w:color w:val="000000"/>
          <w:kern w:val="0"/>
          <w:lang w:val="es-CO" w:eastAsia="es-MX"/>
          <w14:ligatures w14:val="none"/>
        </w:rPr>
        <w:t>ibídem</w:t>
      </w:r>
      <w:proofErr w:type="spellEnd"/>
      <w:r w:rsidRPr="00860E32">
        <w:rPr>
          <w:rFonts w:ascii="Verdana" w:eastAsia="Times New Roman" w:hAnsi="Verdana" w:cs="Times New Roman"/>
          <w:color w:val="000000"/>
          <w:kern w:val="0"/>
          <w:lang w:val="es-CO" w:eastAsia="es-MX"/>
          <w14:ligatures w14:val="none"/>
        </w:rPr>
        <w:t>.</w:t>
      </w:r>
    </w:p>
    <w:p w14:paraId="68651B69" w14:textId="77777777" w:rsidR="00860E32" w:rsidRPr="00860E32" w:rsidRDefault="00860E32" w:rsidP="00860E32">
      <w:pPr>
        <w:rPr>
          <w:rFonts w:ascii="Times New Roman" w:eastAsia="Times New Roman" w:hAnsi="Times New Roman" w:cs="Times New Roman"/>
          <w:kern w:val="0"/>
          <w:lang w:val="es-CO" w:eastAsia="es-MX"/>
          <w14:ligatures w14:val="none"/>
        </w:rPr>
      </w:pPr>
    </w:p>
    <w:p w14:paraId="09D96DD4" w14:textId="77777777" w:rsidR="00860E32" w:rsidRPr="00860E32" w:rsidRDefault="00860E32" w:rsidP="00860E32">
      <w:pPr>
        <w:jc w:val="both"/>
        <w:outlineLvl w:val="0"/>
        <w:rPr>
          <w:rFonts w:ascii="Times New Roman" w:eastAsia="Times New Roman" w:hAnsi="Times New Roman" w:cs="Times New Roman"/>
          <w:b/>
          <w:bCs/>
          <w:kern w:val="36"/>
          <w:sz w:val="48"/>
          <w:szCs w:val="48"/>
          <w:lang w:val="es-CO" w:eastAsia="es-MX"/>
          <w14:ligatures w14:val="none"/>
        </w:rPr>
      </w:pPr>
      <w:r w:rsidRPr="00860E32">
        <w:rPr>
          <w:rFonts w:ascii="Verdana" w:eastAsia="Times New Roman" w:hAnsi="Verdana" w:cs="Times New Roman"/>
          <w:b/>
          <w:bCs/>
          <w:color w:val="000000"/>
          <w:kern w:val="36"/>
          <w:lang w:val="es-CO" w:eastAsia="es-MX"/>
          <w14:ligatures w14:val="none"/>
        </w:rPr>
        <w:t>FUNDAMENTACIÓN</w:t>
      </w:r>
    </w:p>
    <w:p w14:paraId="755719F5" w14:textId="77777777" w:rsidR="00860E32" w:rsidRPr="00860E32" w:rsidRDefault="00860E32" w:rsidP="00860E32">
      <w:pPr>
        <w:rPr>
          <w:rFonts w:ascii="Times New Roman" w:eastAsia="Times New Roman" w:hAnsi="Times New Roman" w:cs="Times New Roman"/>
          <w:kern w:val="0"/>
          <w:lang w:val="es-CO" w:eastAsia="es-MX"/>
          <w14:ligatures w14:val="none"/>
        </w:rPr>
      </w:pPr>
      <w:r w:rsidRPr="00860E32">
        <w:rPr>
          <w:rFonts w:ascii="Times New Roman" w:eastAsia="Times New Roman" w:hAnsi="Times New Roman" w:cs="Times New Roman"/>
          <w:kern w:val="0"/>
          <w:lang w:val="es-CO" w:eastAsia="es-MX"/>
          <w14:ligatures w14:val="none"/>
        </w:rPr>
        <w:br/>
      </w:r>
    </w:p>
    <w:p w14:paraId="298BB1D5" w14:textId="77777777" w:rsidR="00860E32" w:rsidRPr="00860E32" w:rsidRDefault="00860E32" w:rsidP="00860E32">
      <w:pPr>
        <w:numPr>
          <w:ilvl w:val="0"/>
          <w:numId w:val="4"/>
        </w:numPr>
        <w:jc w:val="both"/>
        <w:textAlignment w:val="baseline"/>
        <w:rPr>
          <w:rFonts w:ascii="Verdana" w:eastAsia="Times New Roman" w:hAnsi="Verdana" w:cs="Times New Roman"/>
          <w:color w:val="000000"/>
          <w:kern w:val="0"/>
          <w:lang w:val="es-CO" w:eastAsia="es-MX"/>
          <w14:ligatures w14:val="none"/>
        </w:rPr>
      </w:pPr>
      <w:r w:rsidRPr="00860E32">
        <w:rPr>
          <w:rFonts w:ascii="Verdana" w:eastAsia="Times New Roman" w:hAnsi="Verdana" w:cs="Times New Roman"/>
          <w:color w:val="000000"/>
          <w:kern w:val="0"/>
          <w:lang w:val="es-CO" w:eastAsia="es-MX"/>
          <w14:ligatures w14:val="none"/>
        </w:rPr>
        <w:t>En primer lugar y previo a resolver el problema jurídico formulado, destacamos que la doctrina</w:t>
      </w:r>
      <w:r w:rsidRPr="00860E32">
        <w:rPr>
          <w:rFonts w:ascii="Verdana" w:eastAsia="Times New Roman" w:hAnsi="Verdana" w:cs="Times New Roman"/>
          <w:color w:val="000000"/>
          <w:kern w:val="0"/>
          <w:sz w:val="14"/>
          <w:szCs w:val="14"/>
          <w:vertAlign w:val="superscript"/>
          <w:lang w:val="es-CO" w:eastAsia="es-MX"/>
          <w14:ligatures w14:val="none"/>
        </w:rPr>
        <w:t>3</w:t>
      </w:r>
      <w:r w:rsidRPr="00860E32">
        <w:rPr>
          <w:rFonts w:ascii="Verdana" w:eastAsia="Times New Roman" w:hAnsi="Verdana" w:cs="Times New Roman"/>
          <w:color w:val="000000"/>
          <w:kern w:val="0"/>
          <w:lang w:val="es-CO" w:eastAsia="es-MX"/>
          <w14:ligatures w14:val="none"/>
        </w:rPr>
        <w:t xml:space="preserve"> de este Despacho ha considerado que en lo relacionado con el Régimen Simple de Tributación (en adelante RST) la </w:t>
      </w:r>
      <w:r w:rsidRPr="00860E32">
        <w:rPr>
          <w:rFonts w:ascii="Verdana" w:eastAsia="Times New Roman" w:hAnsi="Verdana" w:cs="Times New Roman"/>
          <w:color w:val="000000"/>
          <w:kern w:val="0"/>
          <w:lang w:val="es-CO" w:eastAsia="es-MX"/>
          <w14:ligatures w14:val="none"/>
        </w:rPr>
        <w:lastRenderedPageBreak/>
        <w:t>ley no previó una regla de ponderación o proporcionalidad cuando un contribuyente obtiene ingresos por diversas actividades para apreciar unos sobre otros.</w:t>
      </w:r>
    </w:p>
    <w:p w14:paraId="6F320C85" w14:textId="77777777" w:rsidR="00860E32" w:rsidRPr="00860E32" w:rsidRDefault="00860E32" w:rsidP="00860E32">
      <w:pPr>
        <w:rPr>
          <w:rFonts w:ascii="Times New Roman" w:eastAsia="Times New Roman" w:hAnsi="Times New Roman" w:cs="Times New Roman"/>
          <w:kern w:val="0"/>
          <w:lang w:val="es-CO" w:eastAsia="es-MX"/>
          <w14:ligatures w14:val="none"/>
        </w:rPr>
      </w:pPr>
      <w:r w:rsidRPr="00860E32">
        <w:rPr>
          <w:rFonts w:ascii="Times New Roman" w:eastAsia="Times New Roman" w:hAnsi="Times New Roman" w:cs="Times New Roman"/>
          <w:kern w:val="0"/>
          <w:lang w:val="es-CO" w:eastAsia="es-MX"/>
          <w14:ligatures w14:val="none"/>
        </w:rPr>
        <w:br/>
      </w:r>
    </w:p>
    <w:p w14:paraId="6E1749D8" w14:textId="77777777" w:rsidR="00860E32" w:rsidRPr="00860E32" w:rsidRDefault="00860E32" w:rsidP="00860E32">
      <w:pPr>
        <w:numPr>
          <w:ilvl w:val="0"/>
          <w:numId w:val="5"/>
        </w:numPr>
        <w:jc w:val="both"/>
        <w:textAlignment w:val="baseline"/>
        <w:rPr>
          <w:rFonts w:ascii="Verdana" w:eastAsia="Times New Roman" w:hAnsi="Verdana" w:cs="Times New Roman"/>
          <w:color w:val="000000"/>
          <w:kern w:val="0"/>
          <w:lang w:val="es-CO" w:eastAsia="es-MX"/>
          <w14:ligatures w14:val="none"/>
        </w:rPr>
      </w:pPr>
      <w:r w:rsidRPr="00860E32">
        <w:rPr>
          <w:rFonts w:ascii="Verdana" w:eastAsia="Times New Roman" w:hAnsi="Verdana" w:cs="Times New Roman"/>
          <w:color w:val="000000"/>
          <w:kern w:val="0"/>
          <w:lang w:val="es-CO" w:eastAsia="es-MX"/>
          <w14:ligatures w14:val="none"/>
        </w:rPr>
        <w:t>También se considera oportuno precisar que el artículo 27 del Código Civil Colombiano establece que cuando el sentido de la ley sea claro debe aplicarse literalmente y no desatenderse so pretexto de consultar su aspecto teleológico.</w:t>
      </w:r>
    </w:p>
    <w:p w14:paraId="0E78C328" w14:textId="77777777" w:rsidR="00860E32" w:rsidRPr="00860E32" w:rsidRDefault="00860E32" w:rsidP="00860E32">
      <w:pPr>
        <w:rPr>
          <w:rFonts w:ascii="Times New Roman" w:eastAsia="Times New Roman" w:hAnsi="Times New Roman" w:cs="Times New Roman"/>
          <w:kern w:val="0"/>
          <w:lang w:val="es-CO" w:eastAsia="es-MX"/>
          <w14:ligatures w14:val="none"/>
        </w:rPr>
      </w:pPr>
      <w:r w:rsidRPr="00860E32">
        <w:rPr>
          <w:rFonts w:ascii="Times New Roman" w:eastAsia="Times New Roman" w:hAnsi="Times New Roman" w:cs="Times New Roman"/>
          <w:kern w:val="0"/>
          <w:lang w:val="es-CO" w:eastAsia="es-MX"/>
          <w14:ligatures w14:val="none"/>
        </w:rPr>
        <w:br/>
      </w:r>
    </w:p>
    <w:p w14:paraId="49E3875C" w14:textId="77777777" w:rsidR="00860E32" w:rsidRPr="00860E32" w:rsidRDefault="00860E32" w:rsidP="00860E32">
      <w:pPr>
        <w:numPr>
          <w:ilvl w:val="0"/>
          <w:numId w:val="6"/>
        </w:numPr>
        <w:jc w:val="both"/>
        <w:textAlignment w:val="baseline"/>
        <w:rPr>
          <w:rFonts w:ascii="Verdana" w:eastAsia="Times New Roman" w:hAnsi="Verdana" w:cs="Times New Roman"/>
          <w:color w:val="000000"/>
          <w:kern w:val="0"/>
          <w:lang w:val="es-CO" w:eastAsia="es-MX"/>
          <w14:ligatures w14:val="none"/>
        </w:rPr>
      </w:pPr>
      <w:r w:rsidRPr="00860E32">
        <w:rPr>
          <w:rFonts w:ascii="Verdana" w:eastAsia="Times New Roman" w:hAnsi="Verdana" w:cs="Times New Roman"/>
          <w:color w:val="000000"/>
          <w:kern w:val="0"/>
          <w:lang w:val="es-CO" w:eastAsia="es-MX"/>
          <w14:ligatures w14:val="none"/>
        </w:rPr>
        <w:t>A la par de lo anterior, debe tenerse presente que el artículo 908 del Estatuto Tributario regula lo concerniente a la tarifa del tributo aplicable en virtud de la actividad que realice el contribuyente y los ingresos que este perciba, nótese que el inciso primero estipula con precisión que la tarifa depende de estos dos factores.</w:t>
      </w:r>
    </w:p>
    <w:p w14:paraId="38CCA63F" w14:textId="77777777" w:rsidR="00860E32" w:rsidRPr="00860E32" w:rsidRDefault="00860E32" w:rsidP="00860E32">
      <w:pPr>
        <w:rPr>
          <w:rFonts w:ascii="Times New Roman" w:eastAsia="Times New Roman" w:hAnsi="Times New Roman" w:cs="Times New Roman"/>
          <w:kern w:val="0"/>
          <w:lang w:val="es-CO" w:eastAsia="es-MX"/>
          <w14:ligatures w14:val="none"/>
        </w:rPr>
      </w:pPr>
      <w:r w:rsidRPr="00860E32">
        <w:rPr>
          <w:rFonts w:ascii="Times New Roman" w:eastAsia="Times New Roman" w:hAnsi="Times New Roman" w:cs="Times New Roman"/>
          <w:kern w:val="0"/>
          <w:lang w:val="es-CO" w:eastAsia="es-MX"/>
          <w14:ligatures w14:val="none"/>
        </w:rPr>
        <w:br/>
      </w:r>
    </w:p>
    <w:p w14:paraId="1E127FDA" w14:textId="77777777" w:rsidR="00860E32" w:rsidRPr="00860E32" w:rsidRDefault="00860E32" w:rsidP="00860E32">
      <w:pPr>
        <w:numPr>
          <w:ilvl w:val="0"/>
          <w:numId w:val="7"/>
        </w:numPr>
        <w:jc w:val="both"/>
        <w:textAlignment w:val="baseline"/>
        <w:rPr>
          <w:rFonts w:ascii="Verdana" w:eastAsia="Times New Roman" w:hAnsi="Verdana" w:cs="Times New Roman"/>
          <w:color w:val="000000"/>
          <w:kern w:val="0"/>
          <w:lang w:val="es-CO" w:eastAsia="es-MX"/>
          <w14:ligatures w14:val="none"/>
        </w:rPr>
      </w:pPr>
      <w:r w:rsidRPr="00860E32">
        <w:rPr>
          <w:rFonts w:ascii="Verdana" w:eastAsia="Times New Roman" w:hAnsi="Verdana" w:cs="Times New Roman"/>
          <w:color w:val="000000"/>
          <w:kern w:val="0"/>
          <w:lang w:val="es-CO" w:eastAsia="es-MX"/>
          <w14:ligatures w14:val="none"/>
        </w:rPr>
        <w:t xml:space="preserve">Es así como de la lectura atenta de la norma puede determinarse que según la actividad que desarrolle el contribuyente, a mayor obtención de ingresos mayor será la tarifa aplicable en cada uno de los grupos de actividades que contempla el artículo 908 </w:t>
      </w:r>
      <w:proofErr w:type="spellStart"/>
      <w:r w:rsidRPr="00860E32">
        <w:rPr>
          <w:rFonts w:ascii="Verdana" w:eastAsia="Times New Roman" w:hAnsi="Verdana" w:cs="Times New Roman"/>
          <w:color w:val="000000"/>
          <w:kern w:val="0"/>
          <w:lang w:val="es-CO" w:eastAsia="es-MX"/>
          <w14:ligatures w14:val="none"/>
        </w:rPr>
        <w:t>ibídem</w:t>
      </w:r>
      <w:proofErr w:type="spellEnd"/>
      <w:r w:rsidRPr="00860E32">
        <w:rPr>
          <w:rFonts w:ascii="Verdana" w:eastAsia="Times New Roman" w:hAnsi="Verdana" w:cs="Times New Roman"/>
          <w:color w:val="000000"/>
          <w:kern w:val="0"/>
          <w:lang w:val="es-CO" w:eastAsia="es-MX"/>
          <w14:ligatures w14:val="none"/>
        </w:rPr>
        <w:t>, lo cual debe interpretarse de manera armónica con lo estipulado en el parágrafo 5 del artículo en cuestión.</w:t>
      </w:r>
    </w:p>
    <w:p w14:paraId="46BF942E" w14:textId="77777777" w:rsidR="00860E32" w:rsidRPr="00860E32" w:rsidRDefault="00860E32" w:rsidP="00860E32">
      <w:pPr>
        <w:rPr>
          <w:rFonts w:ascii="Times New Roman" w:eastAsia="Times New Roman" w:hAnsi="Times New Roman" w:cs="Times New Roman"/>
          <w:kern w:val="0"/>
          <w:lang w:val="es-CO" w:eastAsia="es-MX"/>
          <w14:ligatures w14:val="none"/>
        </w:rPr>
      </w:pPr>
      <w:r w:rsidRPr="00860E32">
        <w:rPr>
          <w:rFonts w:ascii="Times New Roman" w:eastAsia="Times New Roman" w:hAnsi="Times New Roman" w:cs="Times New Roman"/>
          <w:kern w:val="0"/>
          <w:lang w:val="es-CO" w:eastAsia="es-MX"/>
          <w14:ligatures w14:val="none"/>
        </w:rPr>
        <w:br/>
      </w:r>
    </w:p>
    <w:p w14:paraId="3EA47537" w14:textId="77777777" w:rsidR="00860E32" w:rsidRPr="00860E32" w:rsidRDefault="00860E32" w:rsidP="00860E32">
      <w:pPr>
        <w:numPr>
          <w:ilvl w:val="0"/>
          <w:numId w:val="8"/>
        </w:numPr>
        <w:jc w:val="both"/>
        <w:textAlignment w:val="baseline"/>
        <w:rPr>
          <w:rFonts w:ascii="Verdana" w:eastAsia="Times New Roman" w:hAnsi="Verdana" w:cs="Times New Roman"/>
          <w:color w:val="000000"/>
          <w:kern w:val="0"/>
          <w:lang w:val="es-CO" w:eastAsia="es-MX"/>
          <w14:ligatures w14:val="none"/>
        </w:rPr>
      </w:pPr>
      <w:r w:rsidRPr="00860E32">
        <w:rPr>
          <w:rFonts w:ascii="Verdana" w:eastAsia="Times New Roman" w:hAnsi="Verdana" w:cs="Times New Roman"/>
          <w:color w:val="000000"/>
          <w:kern w:val="0"/>
          <w:lang w:val="es-CO" w:eastAsia="es-MX"/>
          <w14:ligatures w14:val="none"/>
        </w:rPr>
        <w:t>En efecto, el parágrafo 5 del artículo 908 del Estatuto Tributario textualmente dispone:</w:t>
      </w:r>
    </w:p>
    <w:p w14:paraId="463183EA" w14:textId="77777777" w:rsidR="00860E32" w:rsidRPr="00860E32" w:rsidRDefault="00860E32" w:rsidP="00860E32">
      <w:pPr>
        <w:rPr>
          <w:rFonts w:ascii="Times New Roman" w:eastAsia="Times New Roman" w:hAnsi="Times New Roman" w:cs="Times New Roman"/>
          <w:kern w:val="0"/>
          <w:lang w:val="es-CO" w:eastAsia="es-MX"/>
          <w14:ligatures w14:val="none"/>
        </w:rPr>
      </w:pPr>
    </w:p>
    <w:p w14:paraId="749E860A" w14:textId="77777777" w:rsidR="00860E32" w:rsidRPr="00860E32" w:rsidRDefault="00860E32" w:rsidP="00860E32">
      <w:pPr>
        <w:ind w:left="567"/>
        <w:jc w:val="both"/>
        <w:rPr>
          <w:rFonts w:ascii="Times New Roman" w:eastAsia="Times New Roman" w:hAnsi="Times New Roman" w:cs="Times New Roman"/>
          <w:kern w:val="0"/>
          <w:lang w:val="es-CO" w:eastAsia="es-MX"/>
          <w14:ligatures w14:val="none"/>
        </w:rPr>
      </w:pPr>
      <w:r w:rsidRPr="00860E32">
        <w:rPr>
          <w:rFonts w:ascii="Verdana" w:eastAsia="Times New Roman" w:hAnsi="Verdana" w:cs="Times New Roman"/>
          <w:i/>
          <w:iCs/>
          <w:color w:val="000000"/>
          <w:kern w:val="0"/>
          <w:u w:val="single"/>
          <w:lang w:val="es-CO" w:eastAsia="es-MX"/>
          <w14:ligatures w14:val="none"/>
        </w:rPr>
        <w:t>Cuando un mismo contribuyente del régimen simple de tributación-SIMPLE realice dos o más actividades empresariales, este estará sometido a la tarifa simple consolidada más alta,</w:t>
      </w:r>
      <w:r w:rsidRPr="00860E32">
        <w:rPr>
          <w:rFonts w:ascii="Verdana" w:eastAsia="Times New Roman" w:hAnsi="Verdana" w:cs="Times New Roman"/>
          <w:i/>
          <w:iCs/>
          <w:color w:val="000000"/>
          <w:kern w:val="0"/>
          <w:lang w:val="es-CO" w:eastAsia="es-MX"/>
          <w14:ligatures w14:val="none"/>
        </w:rPr>
        <w:t xml:space="preserve"> incluyendo la tarifa del impuesto al consumo. El formulario que prescriba la Dirección de Impuestos y Aduanas Nacionales (DIAN) debe permitir que los contribuyentes reporten los municipios donde son desarrolladas sus actividades y los ingresos atribuidos a cada uno de ellos. Lo anterior con el propósito que el Ministerio de Hacienda y Crédito Público pueda transferir los recursos recaudados por concepto de impuesto de industria y comercio consolidado al municipio o distrito que corresponda. </w:t>
      </w:r>
      <w:r w:rsidRPr="00860E32">
        <w:rPr>
          <w:rFonts w:ascii="Verdana" w:eastAsia="Times New Roman" w:hAnsi="Verdana" w:cs="Times New Roman"/>
          <w:color w:val="000000"/>
          <w:kern w:val="0"/>
          <w:lang w:val="es-CO" w:eastAsia="es-MX"/>
          <w14:ligatures w14:val="none"/>
        </w:rPr>
        <w:t>(Subrayas fuera del texto original)</w:t>
      </w:r>
    </w:p>
    <w:p w14:paraId="00892C44" w14:textId="77777777" w:rsidR="00860E32" w:rsidRPr="00860E32" w:rsidRDefault="00860E32" w:rsidP="00860E32">
      <w:pPr>
        <w:rPr>
          <w:rFonts w:ascii="Times New Roman" w:eastAsia="Times New Roman" w:hAnsi="Times New Roman" w:cs="Times New Roman"/>
          <w:kern w:val="0"/>
          <w:lang w:val="es-CO" w:eastAsia="es-MX"/>
          <w14:ligatures w14:val="none"/>
        </w:rPr>
      </w:pPr>
      <w:r w:rsidRPr="00860E32">
        <w:rPr>
          <w:rFonts w:ascii="Times New Roman" w:eastAsia="Times New Roman" w:hAnsi="Times New Roman" w:cs="Times New Roman"/>
          <w:kern w:val="0"/>
          <w:lang w:val="es-CO" w:eastAsia="es-MX"/>
          <w14:ligatures w14:val="none"/>
        </w:rPr>
        <w:br/>
      </w:r>
    </w:p>
    <w:p w14:paraId="2973DF22" w14:textId="77777777" w:rsidR="00860E32" w:rsidRPr="00860E32" w:rsidRDefault="00860E32" w:rsidP="00860E32">
      <w:pPr>
        <w:numPr>
          <w:ilvl w:val="0"/>
          <w:numId w:val="9"/>
        </w:numPr>
        <w:jc w:val="both"/>
        <w:textAlignment w:val="baseline"/>
        <w:rPr>
          <w:rFonts w:ascii="Verdana" w:eastAsia="Times New Roman" w:hAnsi="Verdana" w:cs="Times New Roman"/>
          <w:color w:val="000000"/>
          <w:kern w:val="0"/>
          <w:lang w:val="es-CO" w:eastAsia="es-MX"/>
          <w14:ligatures w14:val="none"/>
        </w:rPr>
      </w:pPr>
      <w:r w:rsidRPr="00860E32">
        <w:rPr>
          <w:rFonts w:ascii="Verdana" w:eastAsia="Times New Roman" w:hAnsi="Verdana" w:cs="Times New Roman"/>
          <w:color w:val="000000"/>
          <w:kern w:val="0"/>
          <w:lang w:val="es-CO" w:eastAsia="es-MX"/>
          <w14:ligatures w14:val="none"/>
        </w:rPr>
        <w:t xml:space="preserve">Nótese como de manera clara la norma citada establece que el contribuyente del RST que realice dos o más actividades, que no son otras diferentes a las señaladas en el mismo artículo, se someterá a la tarifa </w:t>
      </w:r>
      <w:r w:rsidRPr="00860E32">
        <w:rPr>
          <w:rFonts w:ascii="Verdana" w:eastAsia="Times New Roman" w:hAnsi="Verdana" w:cs="Times New Roman"/>
          <w:color w:val="000000"/>
          <w:kern w:val="0"/>
          <w:lang w:val="es-CO" w:eastAsia="es-MX"/>
          <w14:ligatures w14:val="none"/>
        </w:rPr>
        <w:lastRenderedPageBreak/>
        <w:t>más alta aplicable a los ingresos brutos (base gravable) entre las actividades desarrolladas por ese contribuyente.</w:t>
      </w:r>
    </w:p>
    <w:p w14:paraId="5D43D831" w14:textId="77777777" w:rsidR="00860E32" w:rsidRPr="00860E32" w:rsidRDefault="00860E32" w:rsidP="00860E32">
      <w:pPr>
        <w:rPr>
          <w:rFonts w:ascii="Times New Roman" w:eastAsia="Times New Roman" w:hAnsi="Times New Roman" w:cs="Times New Roman"/>
          <w:kern w:val="0"/>
          <w:lang w:val="es-CO" w:eastAsia="es-MX"/>
          <w14:ligatures w14:val="none"/>
        </w:rPr>
      </w:pPr>
      <w:r w:rsidRPr="00860E32">
        <w:rPr>
          <w:rFonts w:ascii="Times New Roman" w:eastAsia="Times New Roman" w:hAnsi="Times New Roman" w:cs="Times New Roman"/>
          <w:kern w:val="0"/>
          <w:lang w:val="es-CO" w:eastAsia="es-MX"/>
          <w14:ligatures w14:val="none"/>
        </w:rPr>
        <w:br/>
      </w:r>
    </w:p>
    <w:p w14:paraId="0EC9C807" w14:textId="77777777" w:rsidR="00860E32" w:rsidRPr="00860E32" w:rsidRDefault="00860E32" w:rsidP="00860E32">
      <w:pPr>
        <w:numPr>
          <w:ilvl w:val="0"/>
          <w:numId w:val="10"/>
        </w:numPr>
        <w:jc w:val="both"/>
        <w:textAlignment w:val="baseline"/>
        <w:rPr>
          <w:rFonts w:ascii="Verdana" w:eastAsia="Times New Roman" w:hAnsi="Verdana" w:cs="Times New Roman"/>
          <w:color w:val="000000"/>
          <w:kern w:val="0"/>
          <w:lang w:val="es-CO" w:eastAsia="es-MX"/>
          <w14:ligatures w14:val="none"/>
        </w:rPr>
      </w:pPr>
      <w:r w:rsidRPr="00860E32">
        <w:rPr>
          <w:rFonts w:ascii="Verdana" w:eastAsia="Times New Roman" w:hAnsi="Verdana" w:cs="Times New Roman"/>
          <w:color w:val="000000"/>
          <w:kern w:val="0"/>
          <w:lang w:val="es-CO" w:eastAsia="es-MX"/>
          <w14:ligatures w14:val="none"/>
        </w:rPr>
        <w:t>A modo de ejemplo, si un contribuyente desempeña cualquiera de las actividades indicadas en el grupo No. 3 (Actividades de expendio de comidas y bebidas, y actividades de transporte) obteniendo ingresos brutos anuales (base gravable) de 15.000 UVT y también desempeña alguna actividad de las indicadas en el grupo No. 1 obteniendo ingresos de 6.000 UVT, entonces a los ingresos brutos de 21.000 UVT se le aplicará la tarifa del 4.0% que es la tarifa más alta consolidada entre las dos actividades que realiza.</w:t>
      </w:r>
    </w:p>
    <w:p w14:paraId="6E0B65D8" w14:textId="77777777" w:rsidR="00860E32" w:rsidRPr="00860E32" w:rsidRDefault="00860E32" w:rsidP="00860E32">
      <w:pPr>
        <w:rPr>
          <w:rFonts w:ascii="Times New Roman" w:eastAsia="Times New Roman" w:hAnsi="Times New Roman" w:cs="Times New Roman"/>
          <w:kern w:val="0"/>
          <w:lang w:val="es-CO" w:eastAsia="es-MX"/>
          <w14:ligatures w14:val="none"/>
        </w:rPr>
      </w:pPr>
      <w:r w:rsidRPr="00860E32">
        <w:rPr>
          <w:rFonts w:ascii="Times New Roman" w:eastAsia="Times New Roman" w:hAnsi="Times New Roman" w:cs="Times New Roman"/>
          <w:kern w:val="0"/>
          <w:lang w:val="es-CO" w:eastAsia="es-MX"/>
          <w14:ligatures w14:val="none"/>
        </w:rPr>
        <w:br/>
      </w:r>
    </w:p>
    <w:p w14:paraId="464EFD3D" w14:textId="77777777" w:rsidR="00860E32" w:rsidRPr="00860E32" w:rsidRDefault="00860E32" w:rsidP="00860E32">
      <w:pPr>
        <w:numPr>
          <w:ilvl w:val="0"/>
          <w:numId w:val="11"/>
        </w:numPr>
        <w:jc w:val="both"/>
        <w:textAlignment w:val="baseline"/>
        <w:rPr>
          <w:rFonts w:ascii="Verdana" w:eastAsia="Times New Roman" w:hAnsi="Verdana" w:cs="Times New Roman"/>
          <w:color w:val="000000"/>
          <w:kern w:val="0"/>
          <w:lang w:val="es-CO" w:eastAsia="es-MX"/>
          <w14:ligatures w14:val="none"/>
        </w:rPr>
      </w:pPr>
      <w:r w:rsidRPr="00860E32">
        <w:rPr>
          <w:rFonts w:ascii="Verdana" w:eastAsia="Times New Roman" w:hAnsi="Verdana" w:cs="Times New Roman"/>
          <w:color w:val="000000"/>
          <w:kern w:val="0"/>
          <w:lang w:val="es-CO" w:eastAsia="es-MX"/>
          <w14:ligatures w14:val="none"/>
        </w:rPr>
        <w:t>Visto lo anterior, es dable concluir que cuando un contribuyente perteneciente al RST realiza dos o más actividades empresariales, al total de la base gravable (totalidad de los ingreso brutos percibidos por las actividades realizadas) siempre se aplicará la tarifa más alta incluyendo la tarifa del impuesto al consumo, que resulte entre las múltiples actividades que desarrolle el contribuyente y el rango de ingresos que este obtenga.)</w:t>
      </w:r>
    </w:p>
    <w:p w14:paraId="5F55EB0B" w14:textId="77777777" w:rsidR="00860E32" w:rsidRPr="00860E32" w:rsidRDefault="00860E32" w:rsidP="00860E32">
      <w:pPr>
        <w:rPr>
          <w:rFonts w:ascii="Times New Roman" w:eastAsia="Times New Roman" w:hAnsi="Times New Roman" w:cs="Times New Roman"/>
          <w:kern w:val="0"/>
          <w:lang w:val="es-CO" w:eastAsia="es-MX"/>
          <w14:ligatures w14:val="none"/>
        </w:rPr>
      </w:pPr>
      <w:r w:rsidRPr="00860E32">
        <w:rPr>
          <w:rFonts w:ascii="Times New Roman" w:eastAsia="Times New Roman" w:hAnsi="Times New Roman" w:cs="Times New Roman"/>
          <w:kern w:val="0"/>
          <w:lang w:val="es-CO" w:eastAsia="es-MX"/>
          <w14:ligatures w14:val="none"/>
        </w:rPr>
        <w:br/>
      </w:r>
    </w:p>
    <w:p w14:paraId="7E26F5AF" w14:textId="77777777" w:rsidR="00860E32" w:rsidRPr="00860E32" w:rsidRDefault="00860E32" w:rsidP="00860E32">
      <w:pPr>
        <w:numPr>
          <w:ilvl w:val="0"/>
          <w:numId w:val="12"/>
        </w:numPr>
        <w:jc w:val="both"/>
        <w:textAlignment w:val="baseline"/>
        <w:rPr>
          <w:rFonts w:ascii="Verdana" w:eastAsia="Times New Roman" w:hAnsi="Verdana" w:cs="Times New Roman"/>
          <w:color w:val="000000"/>
          <w:kern w:val="0"/>
          <w:lang w:val="es-CO" w:eastAsia="es-MX"/>
          <w14:ligatures w14:val="none"/>
        </w:rPr>
      </w:pPr>
      <w:r w:rsidRPr="00860E32">
        <w:rPr>
          <w:rFonts w:ascii="Verdana" w:eastAsia="Times New Roman" w:hAnsi="Verdana" w:cs="Times New Roman"/>
          <w:color w:val="000000"/>
          <w:kern w:val="0"/>
          <w:lang w:val="es-CO" w:eastAsia="es-MX"/>
          <w14:ligatures w14:val="none"/>
        </w:rPr>
        <w:t>Interpretar que cuando el parágrafo 5 del artículo 908 alude a “la tarifa simple consolidada más alta” conlleva a que se realice una reclasificación de ingresos de un grupo o actividad a otro que no pertenecen, contraría directamente los principios de legalidad, certeza y transparencia tributaria, y desconocería la correcta aplicación de la tarifa del tributo, distanciándose de la finalidad del RST.</w:t>
      </w:r>
    </w:p>
    <w:p w14:paraId="37AC41F8" w14:textId="77777777" w:rsidR="00860E32" w:rsidRPr="00860E32" w:rsidRDefault="00860E32" w:rsidP="00860E32">
      <w:pPr>
        <w:rPr>
          <w:rFonts w:ascii="Times New Roman" w:eastAsia="Times New Roman" w:hAnsi="Times New Roman" w:cs="Times New Roman"/>
          <w:kern w:val="0"/>
          <w:lang w:val="es-CO" w:eastAsia="es-MX"/>
          <w14:ligatures w14:val="none"/>
        </w:rPr>
      </w:pPr>
      <w:r w:rsidRPr="00860E32">
        <w:rPr>
          <w:rFonts w:ascii="Times New Roman" w:eastAsia="Times New Roman" w:hAnsi="Times New Roman" w:cs="Times New Roman"/>
          <w:kern w:val="0"/>
          <w:lang w:val="es-CO" w:eastAsia="es-MX"/>
          <w14:ligatures w14:val="none"/>
        </w:rPr>
        <w:br/>
      </w:r>
    </w:p>
    <w:p w14:paraId="666BA99F" w14:textId="77777777" w:rsidR="00860E32" w:rsidRPr="00860E32" w:rsidRDefault="00860E32" w:rsidP="00860E32">
      <w:pPr>
        <w:numPr>
          <w:ilvl w:val="0"/>
          <w:numId w:val="13"/>
        </w:numPr>
        <w:jc w:val="both"/>
        <w:textAlignment w:val="baseline"/>
        <w:rPr>
          <w:rFonts w:ascii="Verdana" w:eastAsia="Times New Roman" w:hAnsi="Verdana" w:cs="Times New Roman"/>
          <w:color w:val="000000"/>
          <w:kern w:val="0"/>
          <w:lang w:val="es-CO" w:eastAsia="es-MX"/>
          <w14:ligatures w14:val="none"/>
        </w:rPr>
      </w:pPr>
      <w:r w:rsidRPr="00860E32">
        <w:rPr>
          <w:rFonts w:ascii="Verdana" w:eastAsia="Times New Roman" w:hAnsi="Verdana" w:cs="Times New Roman"/>
          <w:color w:val="000000"/>
          <w:kern w:val="0"/>
          <w:lang w:val="es-CO" w:eastAsia="es-MX"/>
          <w14:ligatures w14:val="none"/>
        </w:rPr>
        <w:t xml:space="preserve">En los anteriores términos se absuelve su petición y se recuerda que la normativa, jurisprudencia y doctrina en materia tributaria, aduanera y de fiscalización cambiaria, en lo de competencia de esta Entidad, puede consultarse en el normograma DIAN: </w:t>
      </w:r>
      <w:hyperlink r:id="rId5" w:history="1">
        <w:r w:rsidRPr="00860E32">
          <w:rPr>
            <w:rFonts w:ascii="Verdana" w:eastAsia="Times New Roman" w:hAnsi="Verdana" w:cs="Times New Roman"/>
            <w:color w:val="000000"/>
            <w:kern w:val="0"/>
            <w:lang w:val="es-CO" w:eastAsia="es-MX"/>
            <w14:ligatures w14:val="none"/>
          </w:rPr>
          <w:t>https://normograma.dian.gov.co/dian/</w:t>
        </w:r>
      </w:hyperlink>
      <w:r w:rsidRPr="00860E32">
        <w:rPr>
          <w:rFonts w:ascii="Verdana" w:eastAsia="Times New Roman" w:hAnsi="Verdana" w:cs="Times New Roman"/>
          <w:color w:val="000000"/>
          <w:kern w:val="0"/>
          <w:lang w:val="es-CO" w:eastAsia="es-MX"/>
          <w14:ligatures w14:val="none"/>
        </w:rPr>
        <w:t>.</w:t>
      </w:r>
    </w:p>
    <w:p w14:paraId="4B57337E" w14:textId="77777777" w:rsidR="00860E32" w:rsidRPr="00860E32" w:rsidRDefault="00860E32" w:rsidP="00860E32">
      <w:pPr>
        <w:rPr>
          <w:rFonts w:ascii="Times New Roman" w:eastAsia="Times New Roman" w:hAnsi="Times New Roman" w:cs="Times New Roman"/>
          <w:kern w:val="0"/>
          <w:lang w:val="es-CO" w:eastAsia="es-MX"/>
          <w14:ligatures w14:val="none"/>
        </w:rPr>
      </w:pPr>
    </w:p>
    <w:p w14:paraId="6B5F56D7" w14:textId="77777777" w:rsidR="00860E32" w:rsidRPr="00860E32" w:rsidRDefault="00860E32" w:rsidP="00860E32">
      <w:pPr>
        <w:jc w:val="both"/>
        <w:rPr>
          <w:rFonts w:ascii="Times New Roman" w:eastAsia="Times New Roman" w:hAnsi="Times New Roman" w:cs="Times New Roman"/>
          <w:kern w:val="0"/>
          <w:lang w:val="es-CO" w:eastAsia="es-MX"/>
          <w14:ligatures w14:val="none"/>
        </w:rPr>
      </w:pPr>
      <w:r w:rsidRPr="00860E32">
        <w:rPr>
          <w:rFonts w:ascii="Verdana" w:eastAsia="Times New Roman" w:hAnsi="Verdana" w:cs="Times New Roman"/>
          <w:color w:val="000000"/>
          <w:kern w:val="0"/>
          <w:lang w:val="es-CO" w:eastAsia="es-MX"/>
          <w14:ligatures w14:val="none"/>
        </w:rPr>
        <w:t>Atentamente,</w:t>
      </w:r>
    </w:p>
    <w:p w14:paraId="43936FCA" w14:textId="77777777" w:rsidR="00860E32" w:rsidRPr="00860E32" w:rsidRDefault="00860E32" w:rsidP="00860E32">
      <w:pPr>
        <w:rPr>
          <w:rFonts w:ascii="Times New Roman" w:eastAsia="Times New Roman" w:hAnsi="Times New Roman" w:cs="Times New Roman"/>
          <w:kern w:val="0"/>
          <w:lang w:val="es-CO" w:eastAsia="es-MX"/>
          <w14:ligatures w14:val="none"/>
        </w:rPr>
      </w:pPr>
    </w:p>
    <w:p w14:paraId="0A3471A0" w14:textId="77777777" w:rsidR="00860E32" w:rsidRPr="00860E32" w:rsidRDefault="00860E32" w:rsidP="00860E32">
      <w:pPr>
        <w:jc w:val="both"/>
        <w:outlineLvl w:val="0"/>
        <w:rPr>
          <w:rFonts w:ascii="Times New Roman" w:eastAsia="Times New Roman" w:hAnsi="Times New Roman" w:cs="Times New Roman"/>
          <w:b/>
          <w:bCs/>
          <w:kern w:val="36"/>
          <w:sz w:val="48"/>
          <w:szCs w:val="48"/>
          <w:lang w:val="es-CO" w:eastAsia="es-MX"/>
          <w14:ligatures w14:val="none"/>
        </w:rPr>
      </w:pPr>
      <w:r w:rsidRPr="00860E32">
        <w:rPr>
          <w:rFonts w:ascii="Verdana" w:eastAsia="Times New Roman" w:hAnsi="Verdana" w:cs="Times New Roman"/>
          <w:b/>
          <w:bCs/>
          <w:color w:val="000000"/>
          <w:kern w:val="36"/>
          <w:lang w:val="es-CO" w:eastAsia="es-MX"/>
          <w14:ligatures w14:val="none"/>
        </w:rPr>
        <w:t>INGRID CASTAÑEDA CEPEDA</w:t>
      </w:r>
    </w:p>
    <w:p w14:paraId="18F7C76B" w14:textId="77777777" w:rsidR="00860E32" w:rsidRPr="00860E32" w:rsidRDefault="00860E32" w:rsidP="00860E32">
      <w:pPr>
        <w:jc w:val="both"/>
        <w:rPr>
          <w:rFonts w:ascii="Times New Roman" w:eastAsia="Times New Roman" w:hAnsi="Times New Roman" w:cs="Times New Roman"/>
          <w:kern w:val="0"/>
          <w:lang w:val="es-CO" w:eastAsia="es-MX"/>
          <w14:ligatures w14:val="none"/>
        </w:rPr>
      </w:pPr>
      <w:r w:rsidRPr="00860E32">
        <w:rPr>
          <w:rFonts w:ascii="Verdana" w:eastAsia="Times New Roman" w:hAnsi="Verdana" w:cs="Times New Roman"/>
          <w:color w:val="000000"/>
          <w:kern w:val="0"/>
          <w:lang w:val="es-CO" w:eastAsia="es-MX"/>
          <w14:ligatures w14:val="none"/>
        </w:rPr>
        <w:t>Subdirectora de Normativa y Doctrina (A) </w:t>
      </w:r>
    </w:p>
    <w:p w14:paraId="74AA0180" w14:textId="77777777" w:rsidR="00860E32" w:rsidRPr="00860E32" w:rsidRDefault="00860E32" w:rsidP="00860E32">
      <w:pPr>
        <w:jc w:val="both"/>
        <w:rPr>
          <w:rFonts w:ascii="Times New Roman" w:eastAsia="Times New Roman" w:hAnsi="Times New Roman" w:cs="Times New Roman"/>
          <w:kern w:val="0"/>
          <w:lang w:val="es-CO" w:eastAsia="es-MX"/>
          <w14:ligatures w14:val="none"/>
        </w:rPr>
      </w:pPr>
      <w:r w:rsidRPr="00860E32">
        <w:rPr>
          <w:rFonts w:ascii="Verdana" w:eastAsia="Times New Roman" w:hAnsi="Verdana" w:cs="Times New Roman"/>
          <w:color w:val="000000"/>
          <w:kern w:val="0"/>
          <w:lang w:val="es-CO" w:eastAsia="es-MX"/>
          <w14:ligatures w14:val="none"/>
        </w:rPr>
        <w:t>Dirección de Gestión Jurídica</w:t>
      </w:r>
    </w:p>
    <w:p w14:paraId="39087D18" w14:textId="77777777" w:rsidR="00860E32" w:rsidRPr="00860E32" w:rsidRDefault="00860E32" w:rsidP="00860E32">
      <w:pPr>
        <w:jc w:val="both"/>
        <w:rPr>
          <w:rFonts w:ascii="Times New Roman" w:eastAsia="Times New Roman" w:hAnsi="Times New Roman" w:cs="Times New Roman"/>
          <w:kern w:val="0"/>
          <w:lang w:val="es-CO" w:eastAsia="es-MX"/>
          <w14:ligatures w14:val="none"/>
        </w:rPr>
      </w:pPr>
      <w:r w:rsidRPr="00860E32">
        <w:rPr>
          <w:rFonts w:ascii="Verdana" w:eastAsia="Times New Roman" w:hAnsi="Verdana" w:cs="Times New Roman"/>
          <w:color w:val="000000"/>
          <w:kern w:val="0"/>
          <w:lang w:val="es-CO" w:eastAsia="es-MX"/>
          <w14:ligatures w14:val="none"/>
        </w:rPr>
        <w:t>U.A.E. Dirección de Impuestos y Aduanas Nacionales – DIAN </w:t>
      </w:r>
    </w:p>
    <w:p w14:paraId="15B3C349" w14:textId="77777777" w:rsidR="00860E32" w:rsidRPr="00860E32" w:rsidRDefault="00860E32" w:rsidP="00860E32">
      <w:pPr>
        <w:jc w:val="both"/>
        <w:rPr>
          <w:rFonts w:ascii="Times New Roman" w:eastAsia="Times New Roman" w:hAnsi="Times New Roman" w:cs="Times New Roman"/>
          <w:kern w:val="0"/>
          <w:lang w:val="es-CO" w:eastAsia="es-MX"/>
          <w14:ligatures w14:val="none"/>
        </w:rPr>
      </w:pPr>
      <w:r w:rsidRPr="00860E32">
        <w:rPr>
          <w:rFonts w:ascii="Verdana" w:eastAsia="Times New Roman" w:hAnsi="Verdana" w:cs="Times New Roman"/>
          <w:color w:val="000000"/>
          <w:kern w:val="0"/>
          <w:lang w:val="es-CO" w:eastAsia="es-MX"/>
          <w14:ligatures w14:val="none"/>
        </w:rPr>
        <w:t xml:space="preserve">Dirección: </w:t>
      </w:r>
      <w:proofErr w:type="spellStart"/>
      <w:r w:rsidRPr="00860E32">
        <w:rPr>
          <w:rFonts w:ascii="Verdana" w:eastAsia="Times New Roman" w:hAnsi="Verdana" w:cs="Times New Roman"/>
          <w:color w:val="000000"/>
          <w:kern w:val="0"/>
          <w:lang w:val="es-CO" w:eastAsia="es-MX"/>
          <w14:ligatures w14:val="none"/>
        </w:rPr>
        <w:t>Cra</w:t>
      </w:r>
      <w:proofErr w:type="spellEnd"/>
      <w:r w:rsidRPr="00860E32">
        <w:rPr>
          <w:rFonts w:ascii="Verdana" w:eastAsia="Times New Roman" w:hAnsi="Verdana" w:cs="Times New Roman"/>
          <w:color w:val="000000"/>
          <w:kern w:val="0"/>
          <w:lang w:val="es-CO" w:eastAsia="es-MX"/>
          <w14:ligatures w14:val="none"/>
        </w:rPr>
        <w:t>. 8 # 6C-38 Edificio San Agustín - Piso 4 </w:t>
      </w:r>
    </w:p>
    <w:p w14:paraId="2C577886" w14:textId="77777777" w:rsidR="00860E32" w:rsidRPr="00860E32" w:rsidRDefault="00860E32" w:rsidP="00860E32">
      <w:pPr>
        <w:jc w:val="both"/>
        <w:rPr>
          <w:rFonts w:ascii="Times New Roman" w:eastAsia="Times New Roman" w:hAnsi="Times New Roman" w:cs="Times New Roman"/>
          <w:kern w:val="0"/>
          <w:lang w:val="es-CO" w:eastAsia="es-MX"/>
          <w14:ligatures w14:val="none"/>
        </w:rPr>
      </w:pPr>
      <w:r w:rsidRPr="00860E32">
        <w:rPr>
          <w:rFonts w:ascii="Verdana" w:eastAsia="Times New Roman" w:hAnsi="Verdana" w:cs="Times New Roman"/>
          <w:color w:val="000000"/>
          <w:kern w:val="0"/>
          <w:lang w:val="es-CO" w:eastAsia="es-MX"/>
          <w14:ligatures w14:val="none"/>
        </w:rPr>
        <w:t>Bogotá, D.C.</w:t>
      </w:r>
    </w:p>
    <w:p w14:paraId="32B77E94" w14:textId="77777777" w:rsidR="00860E32" w:rsidRPr="00860E32" w:rsidRDefault="00860E32" w:rsidP="00860E32">
      <w:pPr>
        <w:jc w:val="both"/>
        <w:rPr>
          <w:rFonts w:ascii="Times New Roman" w:eastAsia="Times New Roman" w:hAnsi="Times New Roman" w:cs="Times New Roman"/>
          <w:kern w:val="0"/>
          <w:lang w:val="es-CO" w:eastAsia="es-MX"/>
          <w14:ligatures w14:val="none"/>
        </w:rPr>
      </w:pPr>
      <w:hyperlink r:id="rId6" w:history="1">
        <w:r w:rsidRPr="00860E32">
          <w:rPr>
            <w:rFonts w:ascii="Verdana" w:eastAsia="Times New Roman" w:hAnsi="Verdana" w:cs="Times New Roman"/>
            <w:color w:val="000000"/>
            <w:kern w:val="0"/>
            <w:lang w:val="es-CO" w:eastAsia="es-MX"/>
            <w14:ligatures w14:val="none"/>
          </w:rPr>
          <w:t>www.dian.gov.co</w:t>
        </w:r>
      </w:hyperlink>
    </w:p>
    <w:p w14:paraId="447FBBB2" w14:textId="77777777" w:rsidR="00860E32" w:rsidRPr="00860E32" w:rsidRDefault="00860E32" w:rsidP="00860E32">
      <w:pPr>
        <w:rPr>
          <w:rFonts w:ascii="Times New Roman" w:eastAsia="Times New Roman" w:hAnsi="Times New Roman" w:cs="Times New Roman"/>
          <w:kern w:val="0"/>
          <w:lang w:val="es-CO" w:eastAsia="es-MX"/>
          <w14:ligatures w14:val="none"/>
        </w:rPr>
      </w:pPr>
    </w:p>
    <w:p w14:paraId="37370CDD"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B42161"/>
    <w:multiLevelType w:val="multilevel"/>
    <w:tmpl w:val="72DCF19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93952C0"/>
    <w:multiLevelType w:val="multilevel"/>
    <w:tmpl w:val="92EE4B3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3D22CEB"/>
    <w:multiLevelType w:val="multilevel"/>
    <w:tmpl w:val="E236D86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64B221A"/>
    <w:multiLevelType w:val="multilevel"/>
    <w:tmpl w:val="F41EB96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E41787F"/>
    <w:multiLevelType w:val="multilevel"/>
    <w:tmpl w:val="D3F4EA7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3BE174B"/>
    <w:multiLevelType w:val="multilevel"/>
    <w:tmpl w:val="9794A7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40F348B"/>
    <w:multiLevelType w:val="multilevel"/>
    <w:tmpl w:val="F5C0499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6223D3A"/>
    <w:multiLevelType w:val="multilevel"/>
    <w:tmpl w:val="4806901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0A04B50"/>
    <w:multiLevelType w:val="multilevel"/>
    <w:tmpl w:val="13E0C62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14167A7"/>
    <w:multiLevelType w:val="multilevel"/>
    <w:tmpl w:val="8430CAD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B8D7DB5"/>
    <w:multiLevelType w:val="multilevel"/>
    <w:tmpl w:val="CF64A73C"/>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4555075"/>
    <w:multiLevelType w:val="multilevel"/>
    <w:tmpl w:val="B6BAA030"/>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79434D7C"/>
    <w:multiLevelType w:val="multilevel"/>
    <w:tmpl w:val="B2FAC3A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931968117">
    <w:abstractNumId w:val="5"/>
  </w:num>
  <w:num w:numId="2" w16cid:durableId="754782229">
    <w:abstractNumId w:val="2"/>
    <w:lvlOverride w:ilvl="0">
      <w:lvl w:ilvl="0">
        <w:numFmt w:val="decimal"/>
        <w:lvlText w:val="%1."/>
        <w:lvlJc w:val="left"/>
      </w:lvl>
    </w:lvlOverride>
  </w:num>
  <w:num w:numId="3" w16cid:durableId="720590308">
    <w:abstractNumId w:val="1"/>
    <w:lvlOverride w:ilvl="0">
      <w:lvl w:ilvl="0">
        <w:numFmt w:val="decimal"/>
        <w:lvlText w:val="%1."/>
        <w:lvlJc w:val="left"/>
      </w:lvl>
    </w:lvlOverride>
  </w:num>
  <w:num w:numId="4" w16cid:durableId="495537769">
    <w:abstractNumId w:val="6"/>
    <w:lvlOverride w:ilvl="0">
      <w:lvl w:ilvl="0">
        <w:numFmt w:val="decimal"/>
        <w:lvlText w:val="%1."/>
        <w:lvlJc w:val="left"/>
      </w:lvl>
    </w:lvlOverride>
  </w:num>
  <w:num w:numId="5" w16cid:durableId="898052667">
    <w:abstractNumId w:val="12"/>
    <w:lvlOverride w:ilvl="0">
      <w:lvl w:ilvl="0">
        <w:numFmt w:val="decimal"/>
        <w:lvlText w:val="%1."/>
        <w:lvlJc w:val="left"/>
      </w:lvl>
    </w:lvlOverride>
  </w:num>
  <w:num w:numId="6" w16cid:durableId="1033772158">
    <w:abstractNumId w:val="7"/>
    <w:lvlOverride w:ilvl="0">
      <w:lvl w:ilvl="0">
        <w:numFmt w:val="decimal"/>
        <w:lvlText w:val="%1."/>
        <w:lvlJc w:val="left"/>
      </w:lvl>
    </w:lvlOverride>
  </w:num>
  <w:num w:numId="7" w16cid:durableId="598296603">
    <w:abstractNumId w:val="0"/>
    <w:lvlOverride w:ilvl="0">
      <w:lvl w:ilvl="0">
        <w:numFmt w:val="decimal"/>
        <w:lvlText w:val="%1."/>
        <w:lvlJc w:val="left"/>
      </w:lvl>
    </w:lvlOverride>
  </w:num>
  <w:num w:numId="8" w16cid:durableId="653535790">
    <w:abstractNumId w:val="4"/>
    <w:lvlOverride w:ilvl="0">
      <w:lvl w:ilvl="0">
        <w:numFmt w:val="decimal"/>
        <w:lvlText w:val="%1."/>
        <w:lvlJc w:val="left"/>
      </w:lvl>
    </w:lvlOverride>
  </w:num>
  <w:num w:numId="9" w16cid:durableId="307829268">
    <w:abstractNumId w:val="8"/>
    <w:lvlOverride w:ilvl="0">
      <w:lvl w:ilvl="0">
        <w:numFmt w:val="decimal"/>
        <w:lvlText w:val="%1."/>
        <w:lvlJc w:val="left"/>
      </w:lvl>
    </w:lvlOverride>
  </w:num>
  <w:num w:numId="10" w16cid:durableId="2087922307">
    <w:abstractNumId w:val="3"/>
    <w:lvlOverride w:ilvl="0">
      <w:lvl w:ilvl="0">
        <w:numFmt w:val="decimal"/>
        <w:lvlText w:val="%1."/>
        <w:lvlJc w:val="left"/>
      </w:lvl>
    </w:lvlOverride>
  </w:num>
  <w:num w:numId="11" w16cid:durableId="776409482">
    <w:abstractNumId w:val="9"/>
    <w:lvlOverride w:ilvl="0">
      <w:lvl w:ilvl="0">
        <w:numFmt w:val="decimal"/>
        <w:lvlText w:val="%1."/>
        <w:lvlJc w:val="left"/>
      </w:lvl>
    </w:lvlOverride>
  </w:num>
  <w:num w:numId="12" w16cid:durableId="181364355">
    <w:abstractNumId w:val="10"/>
    <w:lvlOverride w:ilvl="0">
      <w:lvl w:ilvl="0">
        <w:numFmt w:val="decimal"/>
        <w:lvlText w:val="%1."/>
        <w:lvlJc w:val="left"/>
      </w:lvl>
    </w:lvlOverride>
  </w:num>
  <w:num w:numId="13" w16cid:durableId="504518504">
    <w:abstractNumId w:val="11"/>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2"/>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0E32"/>
    <w:rsid w:val="000B2285"/>
    <w:rsid w:val="00537D8F"/>
    <w:rsid w:val="00860E32"/>
    <w:rsid w:val="008C61E1"/>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00C6C563"/>
  <w14:defaultImageDpi w14:val="32767"/>
  <w15:chartTrackingRefBased/>
  <w15:docId w15:val="{27B5000F-6AEF-BF49-AA98-B2C3299DEE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860E3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860E3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860E32"/>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860E32"/>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860E32"/>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860E32"/>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860E32"/>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860E32"/>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860E32"/>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60E32"/>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860E32"/>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860E32"/>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860E32"/>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860E32"/>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860E32"/>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860E32"/>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860E32"/>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860E32"/>
    <w:rPr>
      <w:rFonts w:eastAsiaTheme="majorEastAsia" w:cstheme="majorBidi"/>
      <w:color w:val="272727" w:themeColor="text1" w:themeTint="D8"/>
    </w:rPr>
  </w:style>
  <w:style w:type="paragraph" w:styleId="Ttulo">
    <w:name w:val="Title"/>
    <w:basedOn w:val="Normal"/>
    <w:next w:val="Normal"/>
    <w:link w:val="TtuloCar"/>
    <w:uiPriority w:val="10"/>
    <w:qFormat/>
    <w:rsid w:val="00860E32"/>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860E32"/>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860E32"/>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860E32"/>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860E32"/>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860E32"/>
    <w:rPr>
      <w:i/>
      <w:iCs/>
      <w:color w:val="404040" w:themeColor="text1" w:themeTint="BF"/>
    </w:rPr>
  </w:style>
  <w:style w:type="paragraph" w:styleId="Prrafodelista">
    <w:name w:val="List Paragraph"/>
    <w:basedOn w:val="Normal"/>
    <w:uiPriority w:val="34"/>
    <w:qFormat/>
    <w:rsid w:val="00860E32"/>
    <w:pPr>
      <w:ind w:left="720"/>
      <w:contextualSpacing/>
    </w:pPr>
  </w:style>
  <w:style w:type="character" w:styleId="nfasisintenso">
    <w:name w:val="Intense Emphasis"/>
    <w:basedOn w:val="Fuentedeprrafopredeter"/>
    <w:uiPriority w:val="21"/>
    <w:qFormat/>
    <w:rsid w:val="00860E32"/>
    <w:rPr>
      <w:i/>
      <w:iCs/>
      <w:color w:val="2F5496" w:themeColor="accent1" w:themeShade="BF"/>
    </w:rPr>
  </w:style>
  <w:style w:type="paragraph" w:styleId="Citadestacada">
    <w:name w:val="Intense Quote"/>
    <w:basedOn w:val="Normal"/>
    <w:next w:val="Normal"/>
    <w:link w:val="CitadestacadaCar"/>
    <w:uiPriority w:val="30"/>
    <w:qFormat/>
    <w:rsid w:val="00860E3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860E32"/>
    <w:rPr>
      <w:i/>
      <w:iCs/>
      <w:color w:val="2F5496" w:themeColor="accent1" w:themeShade="BF"/>
    </w:rPr>
  </w:style>
  <w:style w:type="character" w:styleId="Referenciaintensa">
    <w:name w:val="Intense Reference"/>
    <w:basedOn w:val="Fuentedeprrafopredeter"/>
    <w:uiPriority w:val="32"/>
    <w:qFormat/>
    <w:rsid w:val="00860E32"/>
    <w:rPr>
      <w:b/>
      <w:bCs/>
      <w:smallCaps/>
      <w:color w:val="2F5496" w:themeColor="accent1" w:themeShade="BF"/>
      <w:spacing w:val="5"/>
    </w:rPr>
  </w:style>
  <w:style w:type="paragraph" w:styleId="NormalWeb">
    <w:name w:val="Normal (Web)"/>
    <w:basedOn w:val="Normal"/>
    <w:uiPriority w:val="99"/>
    <w:semiHidden/>
    <w:unhideWhenUsed/>
    <w:rsid w:val="00860E32"/>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860E32"/>
  </w:style>
  <w:style w:type="character" w:styleId="Hipervnculo">
    <w:name w:val="Hyperlink"/>
    <w:basedOn w:val="Fuentedeprrafopredeter"/>
    <w:uiPriority w:val="99"/>
    <w:semiHidden/>
    <w:unhideWhenUsed/>
    <w:rsid w:val="00860E3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dian.gov.co/" TargetMode="External"/><Relationship Id="rId5" Type="http://schemas.openxmlformats.org/officeDocument/2006/relationships/hyperlink" Target="https://normograma.dian.gov.co/dian/"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908</Words>
  <Characters>4995</Characters>
  <Application>Microsoft Office Word</Application>
  <DocSecurity>0</DocSecurity>
  <Lines>41</Lines>
  <Paragraphs>11</Paragraphs>
  <ScaleCrop>false</ScaleCrop>
  <Company/>
  <LinksUpToDate>false</LinksUpToDate>
  <CharactersWithSpaces>5892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2026-01-08T16:28:00Z</dcterms:created>
  <dcterms:modified xsi:type="dcterms:W3CDTF">2026-01-08T16:29:00Z</dcterms:modified>
</cp:coreProperties>
</file>