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FA898F" w14:textId="77777777" w:rsidR="00722C68" w:rsidRPr="00722C68" w:rsidRDefault="00722C68" w:rsidP="00722C68">
      <w:pPr>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b/>
          <w:bCs/>
          <w:color w:val="000000"/>
          <w:kern w:val="0"/>
          <w:lang w:val="es-CO" w:eastAsia="es-MX"/>
          <w14:ligatures w14:val="none"/>
        </w:rPr>
        <w:t>CONCEPTO DIAN 2011 DEL 5 DE DICIEMBRE DE 2025</w:t>
      </w:r>
    </w:p>
    <w:p w14:paraId="3F7C1555" w14:textId="77777777" w:rsidR="00722C68" w:rsidRPr="00722C68" w:rsidRDefault="00722C68" w:rsidP="00722C68">
      <w:pPr>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b/>
          <w:bCs/>
          <w:color w:val="000000"/>
          <w:kern w:val="0"/>
          <w:lang w:val="es-CO" w:eastAsia="es-MX"/>
          <w14:ligatures w14:val="none"/>
        </w:rPr>
        <w:t>DIRECCIÓN DE IMPUESTOS Y ADUANAS NACIONALES</w:t>
      </w:r>
    </w:p>
    <w:p w14:paraId="164B2464" w14:textId="77777777" w:rsidR="00722C68" w:rsidRPr="00722C68" w:rsidRDefault="00722C68" w:rsidP="00722C68">
      <w:pPr>
        <w:rPr>
          <w:rFonts w:ascii="Times New Roman" w:eastAsia="Times New Roman" w:hAnsi="Times New Roman" w:cs="Times New Roman"/>
          <w:kern w:val="0"/>
          <w:lang w:val="es-CO" w:eastAsia="es-MX"/>
          <w14:ligatures w14:val="none"/>
        </w:rPr>
      </w:pPr>
    </w:p>
    <w:p w14:paraId="5BBFC0E1" w14:textId="77777777" w:rsidR="00722C68" w:rsidRPr="00722C68" w:rsidRDefault="00722C68" w:rsidP="00722C68">
      <w:pPr>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color w:val="000000"/>
          <w:kern w:val="0"/>
          <w:lang w:val="es-CO" w:eastAsia="es-MX"/>
          <w14:ligatures w14:val="none"/>
        </w:rPr>
        <w:t>Bogotá D.C.,</w:t>
      </w:r>
    </w:p>
    <w:p w14:paraId="66576C8D" w14:textId="77777777" w:rsidR="00722C68" w:rsidRPr="00722C68" w:rsidRDefault="00722C68" w:rsidP="00722C68">
      <w:pPr>
        <w:rPr>
          <w:rFonts w:ascii="Times New Roman" w:eastAsia="Times New Roman" w:hAnsi="Times New Roman" w:cs="Times New Roman"/>
          <w:kern w:val="0"/>
          <w:lang w:val="es-CO" w:eastAsia="es-MX"/>
          <w14:ligatures w14:val="none"/>
        </w:rPr>
      </w:pPr>
    </w:p>
    <w:p w14:paraId="42EC3DE1" w14:textId="77777777" w:rsidR="00722C68" w:rsidRPr="00722C68" w:rsidRDefault="00722C68" w:rsidP="00722C68">
      <w:pPr>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color w:val="000000"/>
          <w:kern w:val="0"/>
          <w:lang w:val="es-CO" w:eastAsia="es-MX"/>
          <w14:ligatures w14:val="none"/>
        </w:rPr>
        <w:t>Señor:</w:t>
      </w:r>
    </w:p>
    <w:p w14:paraId="7C0EC6B6" w14:textId="77777777" w:rsidR="00722C68" w:rsidRPr="00722C68" w:rsidRDefault="00722C68" w:rsidP="00722C68">
      <w:pPr>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b/>
          <w:bCs/>
          <w:color w:val="000000"/>
          <w:kern w:val="0"/>
          <w:lang w:val="es-CO" w:eastAsia="es-MX"/>
          <w14:ligatures w14:val="none"/>
        </w:rPr>
        <w:t>CARLOS GUERRA RANGEL</w:t>
      </w:r>
    </w:p>
    <w:p w14:paraId="5DEA3C7C" w14:textId="77777777" w:rsidR="00722C68" w:rsidRPr="00722C68" w:rsidRDefault="00722C68" w:rsidP="00722C68">
      <w:pPr>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color w:val="000000"/>
          <w:kern w:val="0"/>
          <w:u w:val="single"/>
          <w:lang w:val="es-CO" w:eastAsia="es-MX"/>
          <w14:ligatures w14:val="none"/>
        </w:rPr>
        <w:t>Carlos.guerra@impuestosconbotas.com</w:t>
      </w:r>
    </w:p>
    <w:p w14:paraId="7E1F515C" w14:textId="77777777" w:rsidR="00722C68" w:rsidRPr="00722C68" w:rsidRDefault="00722C68" w:rsidP="00722C68">
      <w:pPr>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color w:val="000000"/>
          <w:kern w:val="0"/>
          <w:lang w:val="es-CO" w:eastAsia="es-MX"/>
          <w14:ligatures w14:val="none"/>
        </w:rPr>
        <w:t>Turbaco (Bolívar)</w:t>
      </w:r>
    </w:p>
    <w:p w14:paraId="12814158" w14:textId="77777777" w:rsidR="00722C68" w:rsidRPr="00722C68" w:rsidRDefault="00722C68" w:rsidP="00722C68">
      <w:pPr>
        <w:rPr>
          <w:rFonts w:ascii="Times New Roman" w:eastAsia="Times New Roman" w:hAnsi="Times New Roman" w:cs="Times New Roman"/>
          <w:kern w:val="0"/>
          <w:lang w:val="es-CO" w:eastAsia="es-MX"/>
          <w14:ligatures w14:val="none"/>
        </w:rPr>
      </w:pPr>
    </w:p>
    <w:p w14:paraId="03B4774F" w14:textId="77777777" w:rsidR="00722C68" w:rsidRPr="00722C68" w:rsidRDefault="00722C68" w:rsidP="00722C68">
      <w:pPr>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color w:val="000000"/>
          <w:kern w:val="0"/>
          <w:lang w:val="es-CO" w:eastAsia="es-MX"/>
          <w14:ligatures w14:val="none"/>
        </w:rPr>
        <w:t>Ref.: Radicado No. 000883 - 2025DP000192410-1 del 30/07/2025</w:t>
      </w:r>
    </w:p>
    <w:p w14:paraId="3D51B6DD" w14:textId="77777777" w:rsidR="00722C68" w:rsidRPr="00722C68" w:rsidRDefault="00722C68" w:rsidP="00722C68">
      <w:pPr>
        <w:rPr>
          <w:rFonts w:ascii="Times New Roman" w:eastAsia="Times New Roman" w:hAnsi="Times New Roman" w:cs="Times New Roman"/>
          <w:kern w:val="0"/>
          <w:lang w:val="es-CO" w:eastAsia="es-MX"/>
          <w14:ligatures w14:val="none"/>
        </w:rPr>
      </w:pPr>
    </w:p>
    <w:p w14:paraId="02E119BA" w14:textId="77777777" w:rsidR="00722C68" w:rsidRPr="00722C68" w:rsidRDefault="00722C68" w:rsidP="00722C68">
      <w:pPr>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b/>
          <w:bCs/>
          <w:color w:val="000000"/>
          <w:kern w:val="0"/>
          <w:lang w:val="es-CO" w:eastAsia="es-MX"/>
          <w14:ligatures w14:val="none"/>
        </w:rPr>
        <w:t>Tema:</w:t>
      </w:r>
      <w:r w:rsidRPr="00722C68">
        <w:rPr>
          <w:rFonts w:ascii="Verdana" w:eastAsia="Times New Roman" w:hAnsi="Verdana" w:cs="Times New Roman"/>
          <w:b/>
          <w:bCs/>
          <w:color w:val="000000"/>
          <w:kern w:val="0"/>
          <w:lang w:val="es-CO" w:eastAsia="es-MX"/>
          <w14:ligatures w14:val="none"/>
        </w:rPr>
        <w:tab/>
      </w:r>
      <w:r w:rsidRPr="00722C68">
        <w:rPr>
          <w:rFonts w:ascii="Verdana" w:eastAsia="Times New Roman" w:hAnsi="Verdana" w:cs="Times New Roman"/>
          <w:b/>
          <w:bCs/>
          <w:color w:val="000000"/>
          <w:kern w:val="0"/>
          <w:lang w:val="es-CO" w:eastAsia="es-MX"/>
          <w14:ligatures w14:val="none"/>
        </w:rPr>
        <w:tab/>
      </w:r>
      <w:r w:rsidRPr="00722C68">
        <w:rPr>
          <w:rFonts w:ascii="Verdana" w:eastAsia="Times New Roman" w:hAnsi="Verdana" w:cs="Times New Roman"/>
          <w:b/>
          <w:bCs/>
          <w:color w:val="000000"/>
          <w:kern w:val="0"/>
          <w:lang w:val="es-CO" w:eastAsia="es-MX"/>
          <w14:ligatures w14:val="none"/>
        </w:rPr>
        <w:tab/>
      </w:r>
      <w:r w:rsidRPr="00722C68">
        <w:rPr>
          <w:rFonts w:ascii="Verdana" w:eastAsia="Times New Roman" w:hAnsi="Verdana" w:cs="Times New Roman"/>
          <w:color w:val="000000"/>
          <w:kern w:val="0"/>
          <w:lang w:val="es-CO" w:eastAsia="es-MX"/>
          <w14:ligatures w14:val="none"/>
        </w:rPr>
        <w:t>Impuesto de Renta</w:t>
      </w:r>
    </w:p>
    <w:p w14:paraId="10A49518" w14:textId="395F52BF" w:rsidR="00722C68" w:rsidRPr="00722C68" w:rsidRDefault="00722C68" w:rsidP="00722C68">
      <w:pPr>
        <w:jc w:val="both"/>
        <w:rPr>
          <w:rFonts w:ascii="Times New Roman" w:eastAsia="Times New Roman" w:hAnsi="Times New Roman" w:cs="Times New Roman"/>
          <w:kern w:val="0"/>
          <w:lang w:val="es-CO" w:eastAsia="es-MX"/>
          <w14:ligatures w14:val="none"/>
        </w:rPr>
      </w:pPr>
      <w:r>
        <w:rPr>
          <w:rFonts w:ascii="Verdana" w:eastAsia="Times New Roman" w:hAnsi="Verdana" w:cs="Times New Roman"/>
          <w:b/>
          <w:bCs/>
          <w:color w:val="000000"/>
          <w:kern w:val="0"/>
          <w:lang w:val="es-CO" w:eastAsia="es-MX"/>
          <w14:ligatures w14:val="none"/>
        </w:rPr>
        <w:t>D</w:t>
      </w:r>
      <w:r w:rsidRPr="00722C68">
        <w:rPr>
          <w:rFonts w:ascii="Verdana" w:eastAsia="Times New Roman" w:hAnsi="Verdana" w:cs="Times New Roman"/>
          <w:b/>
          <w:bCs/>
          <w:color w:val="000000"/>
          <w:kern w:val="0"/>
          <w:lang w:val="es-CO" w:eastAsia="es-MX"/>
          <w14:ligatures w14:val="none"/>
        </w:rPr>
        <w:t>escriptores:</w:t>
      </w:r>
      <w:r w:rsidRPr="00722C68">
        <w:rPr>
          <w:rFonts w:ascii="Verdana" w:eastAsia="Times New Roman" w:hAnsi="Verdana" w:cs="Times New Roman"/>
          <w:b/>
          <w:bCs/>
          <w:color w:val="000000"/>
          <w:kern w:val="0"/>
          <w:lang w:val="es-CO" w:eastAsia="es-MX"/>
          <w14:ligatures w14:val="none"/>
        </w:rPr>
        <w:tab/>
      </w:r>
      <w:r w:rsidRPr="00722C68">
        <w:rPr>
          <w:rFonts w:ascii="Verdana" w:eastAsia="Times New Roman" w:hAnsi="Verdana" w:cs="Times New Roman"/>
          <w:color w:val="000000"/>
          <w:kern w:val="0"/>
          <w:lang w:val="es-CO" w:eastAsia="es-MX"/>
          <w14:ligatures w14:val="none"/>
        </w:rPr>
        <w:t>Deducción especial de renta en inversiones en proyectos de generación de energía con fuentes no convencionales (FNCE) y gestión eficiente de la energía (GEE)</w:t>
      </w:r>
    </w:p>
    <w:p w14:paraId="14F866C2" w14:textId="77777777" w:rsidR="00722C68" w:rsidRPr="00722C68" w:rsidRDefault="00722C68" w:rsidP="00722C68">
      <w:pPr>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b/>
          <w:bCs/>
          <w:color w:val="000000"/>
          <w:kern w:val="0"/>
          <w:lang w:val="es-CO" w:eastAsia="es-MX"/>
          <w14:ligatures w14:val="none"/>
        </w:rPr>
        <w:t>Fuentes formales:</w:t>
      </w:r>
      <w:r w:rsidRPr="00722C68">
        <w:rPr>
          <w:rFonts w:ascii="Verdana" w:eastAsia="Times New Roman" w:hAnsi="Verdana" w:cs="Times New Roman"/>
          <w:b/>
          <w:bCs/>
          <w:color w:val="000000"/>
          <w:kern w:val="0"/>
          <w:lang w:val="es-CO" w:eastAsia="es-MX"/>
          <w14:ligatures w14:val="none"/>
        </w:rPr>
        <w:tab/>
      </w:r>
      <w:r w:rsidRPr="00722C68">
        <w:rPr>
          <w:rFonts w:ascii="Verdana" w:eastAsia="Times New Roman" w:hAnsi="Verdana" w:cs="Times New Roman"/>
          <w:color w:val="000000"/>
          <w:kern w:val="0"/>
          <w:lang w:val="es-CO" w:eastAsia="es-MX"/>
          <w14:ligatures w14:val="none"/>
        </w:rPr>
        <w:t>Artículos 1, 2 y 11 de la Ley 1715 de 2014</w:t>
      </w:r>
    </w:p>
    <w:p w14:paraId="188ACAF7" w14:textId="77777777" w:rsidR="00722C68" w:rsidRPr="00722C68" w:rsidRDefault="00722C68" w:rsidP="00722C68">
      <w:pPr>
        <w:ind w:left="2160" w:firstLine="720"/>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color w:val="000000"/>
          <w:kern w:val="0"/>
          <w:lang w:val="es-CO" w:eastAsia="es-MX"/>
          <w14:ligatures w14:val="none"/>
        </w:rPr>
        <w:t>Artículo 107, 335, 336 del Estatuto Tributario</w:t>
      </w:r>
    </w:p>
    <w:p w14:paraId="1F9918D5" w14:textId="77777777" w:rsidR="00722C68" w:rsidRPr="00722C68" w:rsidRDefault="00722C68" w:rsidP="00722C68">
      <w:pPr>
        <w:ind w:left="2160" w:firstLine="720"/>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color w:val="000000"/>
          <w:kern w:val="0"/>
          <w:lang w:val="es-CO" w:eastAsia="es-MX"/>
          <w14:ligatures w14:val="none"/>
        </w:rPr>
        <w:t>Artículo 1.2.1.18.74. del Decreto 1625 de 2016</w:t>
      </w:r>
    </w:p>
    <w:p w14:paraId="4F5A7892" w14:textId="77777777" w:rsidR="00722C68" w:rsidRPr="00722C68" w:rsidRDefault="00722C68" w:rsidP="00722C68">
      <w:pPr>
        <w:ind w:left="2160" w:firstLine="720"/>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color w:val="000000"/>
          <w:kern w:val="0"/>
          <w:lang w:val="es-CO" w:eastAsia="es-MX"/>
          <w14:ligatures w14:val="none"/>
        </w:rPr>
        <w:t>Resolución CREG 174 de 2021</w:t>
      </w:r>
    </w:p>
    <w:p w14:paraId="5CD06708" w14:textId="77777777" w:rsidR="00722C68" w:rsidRPr="00722C68" w:rsidRDefault="00722C68" w:rsidP="00722C68">
      <w:pPr>
        <w:rPr>
          <w:rFonts w:ascii="Times New Roman" w:eastAsia="Times New Roman" w:hAnsi="Times New Roman" w:cs="Times New Roman"/>
          <w:kern w:val="0"/>
          <w:lang w:val="es-CO" w:eastAsia="es-MX"/>
          <w14:ligatures w14:val="none"/>
        </w:rPr>
      </w:pPr>
    </w:p>
    <w:p w14:paraId="420D909F" w14:textId="77777777" w:rsidR="00722C68" w:rsidRPr="00722C68" w:rsidRDefault="00722C68" w:rsidP="00722C68">
      <w:pPr>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color w:val="000000"/>
          <w:kern w:val="0"/>
          <w:lang w:val="es-CO" w:eastAsia="es-MX"/>
          <w14:ligatures w14:val="none"/>
        </w:rPr>
        <w:t>Cordial saludo Sr. Salazar.</w:t>
      </w:r>
    </w:p>
    <w:p w14:paraId="1D720120" w14:textId="77777777" w:rsidR="00722C68" w:rsidRPr="00722C68" w:rsidRDefault="00722C68" w:rsidP="00722C68">
      <w:pPr>
        <w:rPr>
          <w:rFonts w:ascii="Times New Roman" w:eastAsia="Times New Roman" w:hAnsi="Times New Roman" w:cs="Times New Roman"/>
          <w:kern w:val="0"/>
          <w:lang w:val="es-CO" w:eastAsia="es-MX"/>
          <w14:ligatures w14:val="none"/>
        </w:rPr>
      </w:pPr>
      <w:r w:rsidRPr="00722C68">
        <w:rPr>
          <w:rFonts w:ascii="Times New Roman" w:eastAsia="Times New Roman" w:hAnsi="Times New Roman" w:cs="Times New Roman"/>
          <w:kern w:val="0"/>
          <w:lang w:val="es-CO" w:eastAsia="es-MX"/>
          <w14:ligatures w14:val="none"/>
        </w:rPr>
        <w:br/>
      </w:r>
    </w:p>
    <w:p w14:paraId="39A1E88A" w14:textId="77777777" w:rsidR="00722C68" w:rsidRPr="00722C68" w:rsidRDefault="00722C68" w:rsidP="00722C68">
      <w:pPr>
        <w:numPr>
          <w:ilvl w:val="0"/>
          <w:numId w:val="1"/>
        </w:numPr>
        <w:jc w:val="both"/>
        <w:textAlignment w:val="baseline"/>
        <w:rPr>
          <w:rFonts w:ascii="Verdana" w:eastAsia="Times New Roman" w:hAnsi="Verdana" w:cs="Times New Roman"/>
          <w:color w:val="000000"/>
          <w:kern w:val="0"/>
          <w:lang w:val="es-CO" w:eastAsia="es-MX"/>
          <w14:ligatures w14:val="none"/>
        </w:rPr>
      </w:pPr>
      <w:r w:rsidRPr="00722C68">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1362CDA7" w14:textId="77777777" w:rsidR="00722C68" w:rsidRPr="00722C68" w:rsidRDefault="00722C68" w:rsidP="00722C68">
      <w:pPr>
        <w:rPr>
          <w:rFonts w:ascii="Times New Roman" w:eastAsia="Times New Roman" w:hAnsi="Times New Roman" w:cs="Times New Roman"/>
          <w:kern w:val="0"/>
          <w:lang w:val="es-CO" w:eastAsia="es-MX"/>
          <w14:ligatures w14:val="none"/>
        </w:rPr>
      </w:pPr>
    </w:p>
    <w:p w14:paraId="50783923" w14:textId="77777777" w:rsidR="00722C68" w:rsidRPr="00722C68" w:rsidRDefault="00722C68" w:rsidP="00722C68">
      <w:pPr>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b/>
          <w:bCs/>
          <w:color w:val="000000"/>
          <w:kern w:val="0"/>
          <w:lang w:val="es-CO" w:eastAsia="es-MX"/>
          <w14:ligatures w14:val="none"/>
        </w:rPr>
        <w:t>PROBLEMA JURÍDICO No. 1:</w:t>
      </w:r>
    </w:p>
    <w:p w14:paraId="2F34D9C5" w14:textId="77777777" w:rsidR="00722C68" w:rsidRPr="00722C68" w:rsidRDefault="00722C68" w:rsidP="00722C68">
      <w:pPr>
        <w:rPr>
          <w:rFonts w:ascii="Times New Roman" w:eastAsia="Times New Roman" w:hAnsi="Times New Roman" w:cs="Times New Roman"/>
          <w:kern w:val="0"/>
          <w:lang w:val="es-CO" w:eastAsia="es-MX"/>
          <w14:ligatures w14:val="none"/>
        </w:rPr>
      </w:pPr>
      <w:r w:rsidRPr="00722C68">
        <w:rPr>
          <w:rFonts w:ascii="Times New Roman" w:eastAsia="Times New Roman" w:hAnsi="Times New Roman" w:cs="Times New Roman"/>
          <w:kern w:val="0"/>
          <w:lang w:val="es-CO" w:eastAsia="es-MX"/>
          <w14:ligatures w14:val="none"/>
        </w:rPr>
        <w:br/>
      </w:r>
    </w:p>
    <w:p w14:paraId="19931D2E" w14:textId="77777777" w:rsidR="00722C68" w:rsidRPr="00722C68" w:rsidRDefault="00722C68" w:rsidP="00722C68">
      <w:pPr>
        <w:numPr>
          <w:ilvl w:val="0"/>
          <w:numId w:val="2"/>
        </w:numPr>
        <w:jc w:val="both"/>
        <w:textAlignment w:val="baseline"/>
        <w:rPr>
          <w:rFonts w:ascii="Verdana" w:eastAsia="Times New Roman" w:hAnsi="Verdana" w:cs="Times New Roman"/>
          <w:color w:val="000000"/>
          <w:kern w:val="0"/>
          <w:lang w:val="es-CO" w:eastAsia="es-MX"/>
          <w14:ligatures w14:val="none"/>
        </w:rPr>
      </w:pPr>
      <w:r w:rsidRPr="00722C68">
        <w:rPr>
          <w:rFonts w:ascii="Verdana" w:eastAsia="Times New Roman" w:hAnsi="Verdana" w:cs="Times New Roman"/>
          <w:color w:val="000000"/>
          <w:kern w:val="0"/>
          <w:lang w:val="es-CO" w:eastAsia="es-MX"/>
          <w14:ligatures w14:val="none"/>
        </w:rPr>
        <w:t>¿La deducción establecida en el artículo 11 de la Ley 1715 de 2014 —equivalente al 50% del valor de la inversión en proyectos de generación de energía con fuentes no convencionales (FNCE) y gestión eficiente de la energía (GEE)— está sujeta al límite general de deducciones previsto en el numeral 3 del artículo 336 del Estatuto Tributario?</w:t>
      </w:r>
    </w:p>
    <w:p w14:paraId="3BD3338B" w14:textId="77777777" w:rsidR="00722C68" w:rsidRPr="00722C68" w:rsidRDefault="00722C68" w:rsidP="00722C68">
      <w:pPr>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b/>
          <w:bCs/>
          <w:color w:val="000000"/>
          <w:kern w:val="0"/>
          <w:lang w:val="es-CO" w:eastAsia="es-MX"/>
          <w14:ligatures w14:val="none"/>
        </w:rPr>
        <w:t>TESIS JURÍDICA No. 1:</w:t>
      </w:r>
    </w:p>
    <w:p w14:paraId="306D406D" w14:textId="77777777" w:rsidR="00722C68" w:rsidRPr="00722C68" w:rsidRDefault="00722C68" w:rsidP="00722C68">
      <w:pPr>
        <w:rPr>
          <w:rFonts w:ascii="Times New Roman" w:eastAsia="Times New Roman" w:hAnsi="Times New Roman" w:cs="Times New Roman"/>
          <w:kern w:val="0"/>
          <w:lang w:val="es-CO" w:eastAsia="es-MX"/>
          <w14:ligatures w14:val="none"/>
        </w:rPr>
      </w:pPr>
      <w:r w:rsidRPr="00722C68">
        <w:rPr>
          <w:rFonts w:ascii="Times New Roman" w:eastAsia="Times New Roman" w:hAnsi="Times New Roman" w:cs="Times New Roman"/>
          <w:kern w:val="0"/>
          <w:lang w:val="es-CO" w:eastAsia="es-MX"/>
          <w14:ligatures w14:val="none"/>
        </w:rPr>
        <w:br/>
      </w:r>
    </w:p>
    <w:p w14:paraId="6A4D62C6" w14:textId="77777777" w:rsidR="00722C68" w:rsidRPr="00722C68" w:rsidRDefault="00722C68" w:rsidP="00722C68">
      <w:pPr>
        <w:numPr>
          <w:ilvl w:val="0"/>
          <w:numId w:val="3"/>
        </w:numPr>
        <w:jc w:val="both"/>
        <w:textAlignment w:val="baseline"/>
        <w:rPr>
          <w:rFonts w:ascii="Verdana" w:eastAsia="Times New Roman" w:hAnsi="Verdana" w:cs="Times New Roman"/>
          <w:color w:val="000000"/>
          <w:kern w:val="0"/>
          <w:lang w:val="es-CO" w:eastAsia="es-MX"/>
          <w14:ligatures w14:val="none"/>
        </w:rPr>
      </w:pPr>
      <w:r w:rsidRPr="00722C68">
        <w:rPr>
          <w:rFonts w:ascii="Verdana" w:eastAsia="Times New Roman" w:hAnsi="Verdana" w:cs="Times New Roman"/>
          <w:color w:val="000000"/>
          <w:kern w:val="0"/>
          <w:lang w:val="es-CO" w:eastAsia="es-MX"/>
          <w14:ligatures w14:val="none"/>
        </w:rPr>
        <w:t xml:space="preserve">Sí, dado que para determinar la renta líquida de las personas naturales cuyos ingresos se clasifican en la cédula general, las </w:t>
      </w:r>
      <w:r w:rsidRPr="00722C68">
        <w:rPr>
          <w:rFonts w:ascii="Verdana" w:eastAsia="Times New Roman" w:hAnsi="Verdana" w:cs="Times New Roman"/>
          <w:color w:val="000000"/>
          <w:kern w:val="0"/>
          <w:lang w:val="es-CO" w:eastAsia="es-MX"/>
          <w14:ligatures w14:val="none"/>
        </w:rPr>
        <w:lastRenderedPageBreak/>
        <w:t>deducciones especiales y las exenciones no pueden superar el 40% del ingreso neto del contribuyente, con un límite absoluto de 1.340 UVT anuales, salvo que exista una disposición normativa que expresamente las excluya de dicho límite. En el caso de la deducción por inversión en proyectos de generación de energía con fuentes no convencionales (FNCE) y gestión eficiente de la energía (GEE), contemplada en el artículo 11 de la Ley 1715 de 2014, no se establece una excepción expresa, por lo que dicha deducción está sujeta al límite general previsto en el numeral 3 del artículo 336 del Estatuto Tributario.</w:t>
      </w:r>
    </w:p>
    <w:p w14:paraId="35D32337" w14:textId="77777777" w:rsidR="00722C68" w:rsidRPr="00722C68" w:rsidRDefault="00722C68" w:rsidP="00722C68">
      <w:pPr>
        <w:rPr>
          <w:rFonts w:ascii="Times New Roman" w:eastAsia="Times New Roman" w:hAnsi="Times New Roman" w:cs="Times New Roman"/>
          <w:kern w:val="0"/>
          <w:lang w:val="es-CO" w:eastAsia="es-MX"/>
          <w14:ligatures w14:val="none"/>
        </w:rPr>
      </w:pPr>
    </w:p>
    <w:p w14:paraId="7FFAD449" w14:textId="77777777" w:rsidR="00722C68" w:rsidRPr="00722C68" w:rsidRDefault="00722C68" w:rsidP="00722C68">
      <w:pPr>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b/>
          <w:bCs/>
          <w:color w:val="000000"/>
          <w:kern w:val="0"/>
          <w:lang w:val="es-CO" w:eastAsia="es-MX"/>
          <w14:ligatures w14:val="none"/>
        </w:rPr>
        <w:t>FUNDAMENTACIÓN JURÍDICA:</w:t>
      </w:r>
    </w:p>
    <w:p w14:paraId="54AEF685" w14:textId="77777777" w:rsidR="00722C68" w:rsidRPr="00722C68" w:rsidRDefault="00722C68" w:rsidP="00722C68">
      <w:pPr>
        <w:rPr>
          <w:rFonts w:ascii="Times New Roman" w:eastAsia="Times New Roman" w:hAnsi="Times New Roman" w:cs="Times New Roman"/>
          <w:kern w:val="0"/>
          <w:lang w:val="es-CO" w:eastAsia="es-MX"/>
          <w14:ligatures w14:val="none"/>
        </w:rPr>
      </w:pPr>
      <w:r w:rsidRPr="00722C68">
        <w:rPr>
          <w:rFonts w:ascii="Times New Roman" w:eastAsia="Times New Roman" w:hAnsi="Times New Roman" w:cs="Times New Roman"/>
          <w:kern w:val="0"/>
          <w:lang w:val="es-CO" w:eastAsia="es-MX"/>
          <w14:ligatures w14:val="none"/>
        </w:rPr>
        <w:br/>
      </w:r>
    </w:p>
    <w:p w14:paraId="57342BD9" w14:textId="77777777" w:rsidR="00722C68" w:rsidRPr="00722C68" w:rsidRDefault="00722C68" w:rsidP="00722C68">
      <w:pPr>
        <w:numPr>
          <w:ilvl w:val="0"/>
          <w:numId w:val="4"/>
        </w:numPr>
        <w:jc w:val="both"/>
        <w:textAlignment w:val="baseline"/>
        <w:rPr>
          <w:rFonts w:ascii="Verdana" w:eastAsia="Times New Roman" w:hAnsi="Verdana" w:cs="Times New Roman"/>
          <w:color w:val="000000"/>
          <w:kern w:val="0"/>
          <w:lang w:val="es-CO" w:eastAsia="es-MX"/>
          <w14:ligatures w14:val="none"/>
        </w:rPr>
      </w:pPr>
      <w:r w:rsidRPr="00722C68">
        <w:rPr>
          <w:rFonts w:ascii="Verdana" w:eastAsia="Times New Roman" w:hAnsi="Verdana" w:cs="Times New Roman"/>
          <w:color w:val="000000"/>
          <w:kern w:val="0"/>
          <w:lang w:val="es-CO" w:eastAsia="es-MX"/>
          <w14:ligatures w14:val="none"/>
        </w:rPr>
        <w:t>El artículo 336 del Estatuto Tributario</w:t>
      </w:r>
      <w:r w:rsidRPr="00722C68">
        <w:rPr>
          <w:rFonts w:ascii="Verdana" w:eastAsia="Times New Roman" w:hAnsi="Verdana" w:cs="Times New Roman"/>
          <w:color w:val="000000"/>
          <w:kern w:val="0"/>
          <w:vertAlign w:val="superscript"/>
          <w:lang w:val="es-CO" w:eastAsia="es-MX"/>
          <w14:ligatures w14:val="none"/>
        </w:rPr>
        <w:t xml:space="preserve"> </w:t>
      </w:r>
      <w:r w:rsidRPr="00722C68">
        <w:rPr>
          <w:rFonts w:ascii="Verdana" w:eastAsia="Times New Roman" w:hAnsi="Verdana" w:cs="Times New Roman"/>
          <w:color w:val="000000"/>
          <w:kern w:val="0"/>
          <w:lang w:val="es-CO" w:eastAsia="es-MX"/>
          <w14:ligatures w14:val="none"/>
        </w:rPr>
        <w:t>establece las reglas para determinar la renta líquida de los ingresos incluidos en la cédula general de las personas naturales. Por su parte, el artículo 335 ibidem</w:t>
      </w:r>
      <w:r w:rsidRPr="00722C68">
        <w:rPr>
          <w:rFonts w:ascii="Verdana" w:eastAsia="Times New Roman" w:hAnsi="Verdana" w:cs="Times New Roman"/>
          <w:color w:val="000000"/>
          <w:kern w:val="0"/>
          <w:vertAlign w:val="superscript"/>
          <w:lang w:val="es-CO" w:eastAsia="es-MX"/>
          <w14:ligatures w14:val="none"/>
        </w:rPr>
        <w:t xml:space="preserve"> </w:t>
      </w:r>
      <w:r w:rsidRPr="00722C68">
        <w:rPr>
          <w:rFonts w:ascii="Verdana" w:eastAsia="Times New Roman" w:hAnsi="Verdana" w:cs="Times New Roman"/>
          <w:color w:val="000000"/>
          <w:kern w:val="0"/>
          <w:lang w:val="es-CO" w:eastAsia="es-MX"/>
          <w14:ligatures w14:val="none"/>
        </w:rPr>
        <w:t>dispone que hacen parte de la cédula general las rentas de trabajo, las rentas de capital y las rentas no laborales.</w:t>
      </w:r>
    </w:p>
    <w:p w14:paraId="07831461" w14:textId="77777777" w:rsidR="00722C68" w:rsidRPr="00722C68" w:rsidRDefault="00722C68" w:rsidP="00722C68">
      <w:pPr>
        <w:rPr>
          <w:rFonts w:ascii="Times New Roman" w:eastAsia="Times New Roman" w:hAnsi="Times New Roman" w:cs="Times New Roman"/>
          <w:kern w:val="0"/>
          <w:lang w:val="es-CO" w:eastAsia="es-MX"/>
          <w14:ligatures w14:val="none"/>
        </w:rPr>
      </w:pPr>
      <w:r w:rsidRPr="00722C68">
        <w:rPr>
          <w:rFonts w:ascii="Times New Roman" w:eastAsia="Times New Roman" w:hAnsi="Times New Roman" w:cs="Times New Roman"/>
          <w:kern w:val="0"/>
          <w:lang w:val="es-CO" w:eastAsia="es-MX"/>
          <w14:ligatures w14:val="none"/>
        </w:rPr>
        <w:br/>
      </w:r>
    </w:p>
    <w:p w14:paraId="4AB179F8" w14:textId="77777777" w:rsidR="00722C68" w:rsidRPr="00722C68" w:rsidRDefault="00722C68" w:rsidP="00722C68">
      <w:pPr>
        <w:numPr>
          <w:ilvl w:val="0"/>
          <w:numId w:val="5"/>
        </w:numPr>
        <w:jc w:val="both"/>
        <w:textAlignment w:val="baseline"/>
        <w:rPr>
          <w:rFonts w:ascii="Verdana" w:eastAsia="Times New Roman" w:hAnsi="Verdana" w:cs="Times New Roman"/>
          <w:color w:val="000000"/>
          <w:kern w:val="0"/>
          <w:lang w:val="es-CO" w:eastAsia="es-MX"/>
          <w14:ligatures w14:val="none"/>
        </w:rPr>
      </w:pPr>
      <w:r w:rsidRPr="00722C68">
        <w:rPr>
          <w:rFonts w:ascii="Verdana" w:eastAsia="Times New Roman" w:hAnsi="Verdana" w:cs="Times New Roman"/>
          <w:color w:val="000000"/>
          <w:kern w:val="0"/>
          <w:lang w:val="es-CO" w:eastAsia="es-MX"/>
          <w14:ligatures w14:val="none"/>
        </w:rPr>
        <w:t>Dentro de las reglas para determinar la renta líquida en la cédula general, el Estatuto Tributario establece un límite según el cual las rentas exentas y las deducciones especiales imputables a dicha cédula pueden ser restadas, siempre que no excedan el cuarenta por ciento (40%) del ingreso neto del contribuyente, que en todo caso no puede exceder de mil trescientas cuarenta (1.340) UVT anuales.</w:t>
      </w:r>
    </w:p>
    <w:p w14:paraId="15A109CB" w14:textId="77777777" w:rsidR="00722C68" w:rsidRPr="00722C68" w:rsidRDefault="00722C68" w:rsidP="00722C68">
      <w:pPr>
        <w:rPr>
          <w:rFonts w:ascii="Times New Roman" w:eastAsia="Times New Roman" w:hAnsi="Times New Roman" w:cs="Times New Roman"/>
          <w:kern w:val="0"/>
          <w:lang w:val="es-CO" w:eastAsia="es-MX"/>
          <w14:ligatures w14:val="none"/>
        </w:rPr>
      </w:pPr>
      <w:r w:rsidRPr="00722C68">
        <w:rPr>
          <w:rFonts w:ascii="Times New Roman" w:eastAsia="Times New Roman" w:hAnsi="Times New Roman" w:cs="Times New Roman"/>
          <w:kern w:val="0"/>
          <w:lang w:val="es-CO" w:eastAsia="es-MX"/>
          <w14:ligatures w14:val="none"/>
        </w:rPr>
        <w:br/>
      </w:r>
    </w:p>
    <w:p w14:paraId="5E017D65" w14:textId="77777777" w:rsidR="00722C68" w:rsidRPr="00722C68" w:rsidRDefault="00722C68" w:rsidP="00722C68">
      <w:pPr>
        <w:numPr>
          <w:ilvl w:val="0"/>
          <w:numId w:val="6"/>
        </w:numPr>
        <w:jc w:val="both"/>
        <w:textAlignment w:val="baseline"/>
        <w:rPr>
          <w:rFonts w:ascii="Verdana" w:eastAsia="Times New Roman" w:hAnsi="Verdana" w:cs="Times New Roman"/>
          <w:color w:val="000000"/>
          <w:kern w:val="0"/>
          <w:lang w:val="es-CO" w:eastAsia="es-MX"/>
          <w14:ligatures w14:val="none"/>
        </w:rPr>
      </w:pPr>
      <w:r w:rsidRPr="00722C68">
        <w:rPr>
          <w:rFonts w:ascii="Verdana" w:eastAsia="Times New Roman" w:hAnsi="Verdana" w:cs="Times New Roman"/>
          <w:color w:val="000000"/>
          <w:kern w:val="0"/>
          <w:lang w:val="es-CO" w:eastAsia="es-MX"/>
          <w14:ligatures w14:val="none"/>
        </w:rPr>
        <w:t>En este sentido, al momento de detraer las deducciones especiales y rentas exentas se debe respetar el límite establecido, salvo que la norma que otorga el beneficio disponga expresamente su exclusión.</w:t>
      </w:r>
    </w:p>
    <w:p w14:paraId="7A3484EC" w14:textId="77777777" w:rsidR="00722C68" w:rsidRPr="00722C68" w:rsidRDefault="00722C68" w:rsidP="00722C68">
      <w:pPr>
        <w:rPr>
          <w:rFonts w:ascii="Times New Roman" w:eastAsia="Times New Roman" w:hAnsi="Times New Roman" w:cs="Times New Roman"/>
          <w:kern w:val="0"/>
          <w:lang w:val="es-CO" w:eastAsia="es-MX"/>
          <w14:ligatures w14:val="none"/>
        </w:rPr>
      </w:pPr>
      <w:r w:rsidRPr="00722C68">
        <w:rPr>
          <w:rFonts w:ascii="Times New Roman" w:eastAsia="Times New Roman" w:hAnsi="Times New Roman" w:cs="Times New Roman"/>
          <w:kern w:val="0"/>
          <w:lang w:val="es-CO" w:eastAsia="es-MX"/>
          <w14:ligatures w14:val="none"/>
        </w:rPr>
        <w:br/>
      </w:r>
    </w:p>
    <w:p w14:paraId="4BDC4DE4" w14:textId="77777777" w:rsidR="00722C68" w:rsidRPr="00722C68" w:rsidRDefault="00722C68" w:rsidP="00722C68">
      <w:pPr>
        <w:numPr>
          <w:ilvl w:val="0"/>
          <w:numId w:val="7"/>
        </w:numPr>
        <w:jc w:val="both"/>
        <w:textAlignment w:val="baseline"/>
        <w:rPr>
          <w:rFonts w:ascii="Verdana" w:eastAsia="Times New Roman" w:hAnsi="Verdana" w:cs="Times New Roman"/>
          <w:color w:val="000000"/>
          <w:kern w:val="0"/>
          <w:lang w:val="es-CO" w:eastAsia="es-MX"/>
          <w14:ligatures w14:val="none"/>
        </w:rPr>
      </w:pPr>
      <w:r w:rsidRPr="00722C68">
        <w:rPr>
          <w:rFonts w:ascii="Verdana" w:eastAsia="Times New Roman" w:hAnsi="Verdana" w:cs="Times New Roman"/>
          <w:color w:val="000000"/>
          <w:kern w:val="0"/>
          <w:lang w:val="es-CO" w:eastAsia="es-MX"/>
          <w14:ligatures w14:val="none"/>
        </w:rPr>
        <w:t>El artículo 11 de la Ley 1715 de 2014 otorga un beneficio a los contribuyentes obligados a declarar renta, consistente en la posibilidad de deducir de su renta el 50% del valor total de las inversiones realizadas directamente en proyectos de generación de energía con fuentes no convencionales (FNCE) y en gestión eficiente de la energía (GEE). Esta deducción puede aplicarse durante un periodo máximo de quince (15) años, contados a partir del año gravable siguiente a aquel en que la inversión haya entrado en operación. Para acceder al beneficio, el proyecto debe contar con la certificación expedida por la Unidad de Planeación Minero Energética (UPME).</w:t>
      </w:r>
    </w:p>
    <w:p w14:paraId="5DA4FCEB" w14:textId="77777777" w:rsidR="00722C68" w:rsidRPr="00722C68" w:rsidRDefault="00722C68" w:rsidP="00722C68">
      <w:pPr>
        <w:rPr>
          <w:rFonts w:ascii="Times New Roman" w:eastAsia="Times New Roman" w:hAnsi="Times New Roman" w:cs="Times New Roman"/>
          <w:kern w:val="0"/>
          <w:lang w:val="es-CO" w:eastAsia="es-MX"/>
          <w14:ligatures w14:val="none"/>
        </w:rPr>
      </w:pPr>
      <w:r w:rsidRPr="00722C68">
        <w:rPr>
          <w:rFonts w:ascii="Times New Roman" w:eastAsia="Times New Roman" w:hAnsi="Times New Roman" w:cs="Times New Roman"/>
          <w:kern w:val="0"/>
          <w:lang w:val="es-CO" w:eastAsia="es-MX"/>
          <w14:ligatures w14:val="none"/>
        </w:rPr>
        <w:br/>
      </w:r>
    </w:p>
    <w:p w14:paraId="1D879C17" w14:textId="77777777" w:rsidR="00722C68" w:rsidRPr="00722C68" w:rsidRDefault="00722C68" w:rsidP="00722C68">
      <w:pPr>
        <w:numPr>
          <w:ilvl w:val="0"/>
          <w:numId w:val="8"/>
        </w:numPr>
        <w:jc w:val="both"/>
        <w:textAlignment w:val="baseline"/>
        <w:rPr>
          <w:rFonts w:ascii="Verdana" w:eastAsia="Times New Roman" w:hAnsi="Verdana" w:cs="Times New Roman"/>
          <w:color w:val="000000"/>
          <w:kern w:val="0"/>
          <w:lang w:val="es-CO" w:eastAsia="es-MX"/>
          <w14:ligatures w14:val="none"/>
        </w:rPr>
      </w:pPr>
      <w:r w:rsidRPr="00722C68">
        <w:rPr>
          <w:rFonts w:ascii="Verdana" w:eastAsia="Times New Roman" w:hAnsi="Verdana" w:cs="Times New Roman"/>
          <w:color w:val="000000"/>
          <w:kern w:val="0"/>
          <w:lang w:val="es-CO" w:eastAsia="es-MX"/>
          <w14:ligatures w14:val="none"/>
        </w:rPr>
        <w:lastRenderedPageBreak/>
        <w:t>De acuerdo con lo expuesto, y dado que no existe una disposición normativa que excluya expresamente este beneficio del límite general, se concluye que, aunque el artículo 11 de la Ley 1715 de 2014 permite deducir hasta el 50% del valor de la inversión realizada en proyectos de FNCE y GEE, dicha deducción está sujeta al límite previsto en el numeral 3 del artículo 336 del Estatuto Tributario.</w:t>
      </w:r>
    </w:p>
    <w:p w14:paraId="767BD43A" w14:textId="77777777" w:rsidR="00722C68" w:rsidRPr="00722C68" w:rsidRDefault="00722C68" w:rsidP="00722C68">
      <w:pPr>
        <w:rPr>
          <w:rFonts w:ascii="Times New Roman" w:eastAsia="Times New Roman" w:hAnsi="Times New Roman" w:cs="Times New Roman"/>
          <w:kern w:val="0"/>
          <w:lang w:val="es-CO" w:eastAsia="es-MX"/>
          <w14:ligatures w14:val="none"/>
        </w:rPr>
      </w:pPr>
    </w:p>
    <w:p w14:paraId="0789A5EB" w14:textId="77777777" w:rsidR="00722C68" w:rsidRPr="00722C68" w:rsidRDefault="00722C68" w:rsidP="00722C68">
      <w:pPr>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b/>
          <w:bCs/>
          <w:color w:val="000000"/>
          <w:kern w:val="0"/>
          <w:lang w:val="es-CO" w:eastAsia="es-MX"/>
          <w14:ligatures w14:val="none"/>
        </w:rPr>
        <w:t>PROBLEMA JURÍDICO No. 2</w:t>
      </w:r>
    </w:p>
    <w:p w14:paraId="46AECA9D" w14:textId="77777777" w:rsidR="00722C68" w:rsidRPr="00722C68" w:rsidRDefault="00722C68" w:rsidP="00722C68">
      <w:pPr>
        <w:rPr>
          <w:rFonts w:ascii="Times New Roman" w:eastAsia="Times New Roman" w:hAnsi="Times New Roman" w:cs="Times New Roman"/>
          <w:kern w:val="0"/>
          <w:lang w:val="es-CO" w:eastAsia="es-MX"/>
          <w14:ligatures w14:val="none"/>
        </w:rPr>
      </w:pPr>
      <w:r w:rsidRPr="00722C68">
        <w:rPr>
          <w:rFonts w:ascii="Times New Roman" w:eastAsia="Times New Roman" w:hAnsi="Times New Roman" w:cs="Times New Roman"/>
          <w:kern w:val="0"/>
          <w:lang w:val="es-CO" w:eastAsia="es-MX"/>
          <w14:ligatures w14:val="none"/>
        </w:rPr>
        <w:br/>
      </w:r>
    </w:p>
    <w:p w14:paraId="3A9FC340" w14:textId="77777777" w:rsidR="00722C68" w:rsidRPr="00722C68" w:rsidRDefault="00722C68" w:rsidP="00722C68">
      <w:pPr>
        <w:numPr>
          <w:ilvl w:val="0"/>
          <w:numId w:val="9"/>
        </w:numPr>
        <w:jc w:val="both"/>
        <w:textAlignment w:val="baseline"/>
        <w:rPr>
          <w:rFonts w:ascii="Verdana" w:eastAsia="Times New Roman" w:hAnsi="Verdana" w:cs="Times New Roman"/>
          <w:color w:val="000000"/>
          <w:kern w:val="0"/>
          <w:lang w:val="es-CO" w:eastAsia="es-MX"/>
          <w14:ligatures w14:val="none"/>
        </w:rPr>
      </w:pPr>
      <w:r w:rsidRPr="00722C68">
        <w:rPr>
          <w:rFonts w:ascii="Verdana" w:eastAsia="Times New Roman" w:hAnsi="Verdana" w:cs="Times New Roman"/>
          <w:color w:val="000000"/>
          <w:kern w:val="0"/>
          <w:lang w:val="es-CO" w:eastAsia="es-MX"/>
          <w14:ligatures w14:val="none"/>
        </w:rPr>
        <w:t>¿El cálculo del límite del 50% de la deducción por período gravable, previsto en el numeral 2 del artículo 1.2.1.18.74 del Decreto 1625 de 2016, debe realizarse sobre la renta líquida de las personas naturales antes o después de aplicar el límite del artículo 336 del Estatuto Tributario?</w:t>
      </w:r>
    </w:p>
    <w:p w14:paraId="1E123C67" w14:textId="77777777" w:rsidR="00722C68" w:rsidRPr="00722C68" w:rsidRDefault="00722C68" w:rsidP="00722C68">
      <w:pPr>
        <w:rPr>
          <w:rFonts w:ascii="Times New Roman" w:eastAsia="Times New Roman" w:hAnsi="Times New Roman" w:cs="Times New Roman"/>
          <w:kern w:val="0"/>
          <w:lang w:val="es-CO" w:eastAsia="es-MX"/>
          <w14:ligatures w14:val="none"/>
        </w:rPr>
      </w:pPr>
    </w:p>
    <w:p w14:paraId="3CA40034" w14:textId="77777777" w:rsidR="00722C68" w:rsidRPr="00722C68" w:rsidRDefault="00722C68" w:rsidP="00722C68">
      <w:pPr>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b/>
          <w:bCs/>
          <w:color w:val="000000"/>
          <w:kern w:val="0"/>
          <w:lang w:val="es-CO" w:eastAsia="es-MX"/>
          <w14:ligatures w14:val="none"/>
        </w:rPr>
        <w:t>TESIS JURÍDICA No. 2:</w:t>
      </w:r>
    </w:p>
    <w:p w14:paraId="7AA89AFC" w14:textId="77777777" w:rsidR="00722C68" w:rsidRPr="00722C68" w:rsidRDefault="00722C68" w:rsidP="00722C68">
      <w:pPr>
        <w:rPr>
          <w:rFonts w:ascii="Times New Roman" w:eastAsia="Times New Roman" w:hAnsi="Times New Roman" w:cs="Times New Roman"/>
          <w:kern w:val="0"/>
          <w:lang w:val="es-CO" w:eastAsia="es-MX"/>
          <w14:ligatures w14:val="none"/>
        </w:rPr>
      </w:pPr>
      <w:r w:rsidRPr="00722C68">
        <w:rPr>
          <w:rFonts w:ascii="Times New Roman" w:eastAsia="Times New Roman" w:hAnsi="Times New Roman" w:cs="Times New Roman"/>
          <w:kern w:val="0"/>
          <w:lang w:val="es-CO" w:eastAsia="es-MX"/>
          <w14:ligatures w14:val="none"/>
        </w:rPr>
        <w:br/>
      </w:r>
    </w:p>
    <w:p w14:paraId="314EBC6B" w14:textId="77777777" w:rsidR="00722C68" w:rsidRPr="00722C68" w:rsidRDefault="00722C68" w:rsidP="00722C68">
      <w:pPr>
        <w:numPr>
          <w:ilvl w:val="0"/>
          <w:numId w:val="10"/>
        </w:numPr>
        <w:jc w:val="both"/>
        <w:textAlignment w:val="baseline"/>
        <w:rPr>
          <w:rFonts w:ascii="Verdana" w:eastAsia="Times New Roman" w:hAnsi="Verdana" w:cs="Times New Roman"/>
          <w:color w:val="000000"/>
          <w:kern w:val="0"/>
          <w:lang w:val="es-CO" w:eastAsia="es-MX"/>
          <w14:ligatures w14:val="none"/>
        </w:rPr>
      </w:pPr>
      <w:r w:rsidRPr="00722C68">
        <w:rPr>
          <w:rFonts w:ascii="Verdana" w:eastAsia="Times New Roman" w:hAnsi="Verdana" w:cs="Times New Roman"/>
          <w:color w:val="000000"/>
          <w:kern w:val="0"/>
          <w:lang w:val="es-CO" w:eastAsia="es-MX"/>
          <w14:ligatures w14:val="none"/>
        </w:rPr>
        <w:t>Para el cálculo del valor máximo a deducir por período gravable, correspondiente al 50% de la renta líquida del contribuyente, debe tomarse como referencia la renta líquida determinada antes de aplicar la deducción especial y antes de aplicar el límite previsto en el artículo 336 del Estatuto Tributario, sin perjuicio de que dicha deducción esté sujeta a dicho límite en el caso de personas naturales pertenecientes a la cédula general.</w:t>
      </w:r>
    </w:p>
    <w:p w14:paraId="349F2CEA" w14:textId="77777777" w:rsidR="00722C68" w:rsidRPr="00722C68" w:rsidRDefault="00722C68" w:rsidP="00722C68">
      <w:pPr>
        <w:rPr>
          <w:rFonts w:ascii="Times New Roman" w:eastAsia="Times New Roman" w:hAnsi="Times New Roman" w:cs="Times New Roman"/>
          <w:kern w:val="0"/>
          <w:lang w:val="es-CO" w:eastAsia="es-MX"/>
          <w14:ligatures w14:val="none"/>
        </w:rPr>
      </w:pPr>
    </w:p>
    <w:p w14:paraId="598AD0E4" w14:textId="77777777" w:rsidR="00722C68" w:rsidRPr="00722C68" w:rsidRDefault="00722C68" w:rsidP="00722C68">
      <w:pPr>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b/>
          <w:bCs/>
          <w:color w:val="000000"/>
          <w:kern w:val="0"/>
          <w:lang w:val="es-CO" w:eastAsia="es-MX"/>
          <w14:ligatures w14:val="none"/>
        </w:rPr>
        <w:t>FUNDAMENTACIÓN JURÍDICA</w:t>
      </w:r>
    </w:p>
    <w:p w14:paraId="3D7CAA66" w14:textId="77777777" w:rsidR="00722C68" w:rsidRPr="00722C68" w:rsidRDefault="00722C68" w:rsidP="00722C68">
      <w:pPr>
        <w:rPr>
          <w:rFonts w:ascii="Times New Roman" w:eastAsia="Times New Roman" w:hAnsi="Times New Roman" w:cs="Times New Roman"/>
          <w:kern w:val="0"/>
          <w:lang w:val="es-CO" w:eastAsia="es-MX"/>
          <w14:ligatures w14:val="none"/>
        </w:rPr>
      </w:pPr>
      <w:r w:rsidRPr="00722C68">
        <w:rPr>
          <w:rFonts w:ascii="Times New Roman" w:eastAsia="Times New Roman" w:hAnsi="Times New Roman" w:cs="Times New Roman"/>
          <w:kern w:val="0"/>
          <w:lang w:val="es-CO" w:eastAsia="es-MX"/>
          <w14:ligatures w14:val="none"/>
        </w:rPr>
        <w:br/>
      </w:r>
    </w:p>
    <w:p w14:paraId="72A1D049" w14:textId="77777777" w:rsidR="00722C68" w:rsidRPr="00722C68" w:rsidRDefault="00722C68" w:rsidP="00722C68">
      <w:pPr>
        <w:numPr>
          <w:ilvl w:val="0"/>
          <w:numId w:val="11"/>
        </w:numPr>
        <w:jc w:val="both"/>
        <w:textAlignment w:val="baseline"/>
        <w:rPr>
          <w:rFonts w:ascii="Verdana" w:eastAsia="Times New Roman" w:hAnsi="Verdana" w:cs="Times New Roman"/>
          <w:color w:val="000000"/>
          <w:kern w:val="0"/>
          <w:lang w:val="es-CO" w:eastAsia="es-MX"/>
          <w14:ligatures w14:val="none"/>
        </w:rPr>
      </w:pPr>
      <w:r w:rsidRPr="00722C68">
        <w:rPr>
          <w:rFonts w:ascii="Verdana" w:eastAsia="Times New Roman" w:hAnsi="Verdana" w:cs="Times New Roman"/>
          <w:color w:val="000000"/>
          <w:kern w:val="0"/>
          <w:lang w:val="es-CO" w:eastAsia="es-MX"/>
          <w14:ligatures w14:val="none"/>
        </w:rPr>
        <w:t>El numeral 2 del artículo 1.2.1.18.74 del Decreto 1625 de 2016 establece que, para efectos de la procedencia y aplicación de la deducción prevista en el artículo 11 de la Ley 1715 de 2014, el valor máximo a deducir por período gravable no podrá exceder el cincuenta por ciento (50%) de la renta líquida del contribuyente, determinada antes de restar el valor de la deducción.</w:t>
      </w:r>
    </w:p>
    <w:p w14:paraId="44C07A6E" w14:textId="77777777" w:rsidR="00722C68" w:rsidRPr="00722C68" w:rsidRDefault="00722C68" w:rsidP="00722C68">
      <w:pPr>
        <w:rPr>
          <w:rFonts w:ascii="Times New Roman" w:eastAsia="Times New Roman" w:hAnsi="Times New Roman" w:cs="Times New Roman"/>
          <w:kern w:val="0"/>
          <w:lang w:val="es-CO" w:eastAsia="es-MX"/>
          <w14:ligatures w14:val="none"/>
        </w:rPr>
      </w:pPr>
      <w:r w:rsidRPr="00722C68">
        <w:rPr>
          <w:rFonts w:ascii="Times New Roman" w:eastAsia="Times New Roman" w:hAnsi="Times New Roman" w:cs="Times New Roman"/>
          <w:kern w:val="0"/>
          <w:lang w:val="es-CO" w:eastAsia="es-MX"/>
          <w14:ligatures w14:val="none"/>
        </w:rPr>
        <w:br/>
      </w:r>
    </w:p>
    <w:p w14:paraId="272595D2" w14:textId="77777777" w:rsidR="00722C68" w:rsidRPr="00722C68" w:rsidRDefault="00722C68" w:rsidP="00722C68">
      <w:pPr>
        <w:numPr>
          <w:ilvl w:val="0"/>
          <w:numId w:val="12"/>
        </w:numPr>
        <w:jc w:val="both"/>
        <w:textAlignment w:val="baseline"/>
        <w:rPr>
          <w:rFonts w:ascii="Verdana" w:eastAsia="Times New Roman" w:hAnsi="Verdana" w:cs="Times New Roman"/>
          <w:color w:val="000000"/>
          <w:kern w:val="0"/>
          <w:lang w:val="es-CO" w:eastAsia="es-MX"/>
          <w14:ligatures w14:val="none"/>
        </w:rPr>
      </w:pPr>
      <w:r w:rsidRPr="00722C68">
        <w:rPr>
          <w:rFonts w:ascii="Verdana" w:eastAsia="Times New Roman" w:hAnsi="Verdana" w:cs="Times New Roman"/>
          <w:color w:val="000000"/>
          <w:kern w:val="0"/>
          <w:lang w:val="es-CO" w:eastAsia="es-MX"/>
          <w14:ligatures w14:val="none"/>
        </w:rPr>
        <w:t xml:space="preserve">Mediante Oficio 915278 - </w:t>
      </w:r>
      <w:proofErr w:type="spellStart"/>
      <w:r w:rsidRPr="00722C68">
        <w:rPr>
          <w:rFonts w:ascii="Verdana" w:eastAsia="Times New Roman" w:hAnsi="Verdana" w:cs="Times New Roman"/>
          <w:color w:val="000000"/>
          <w:kern w:val="0"/>
          <w:lang w:val="es-CO" w:eastAsia="es-MX"/>
          <w14:ligatures w14:val="none"/>
        </w:rPr>
        <w:t>int</w:t>
      </w:r>
      <w:proofErr w:type="spellEnd"/>
      <w:r w:rsidRPr="00722C68">
        <w:rPr>
          <w:rFonts w:ascii="Verdana" w:eastAsia="Times New Roman" w:hAnsi="Verdana" w:cs="Times New Roman"/>
          <w:color w:val="000000"/>
          <w:kern w:val="0"/>
          <w:lang w:val="es-CO" w:eastAsia="es-MX"/>
          <w14:ligatures w14:val="none"/>
        </w:rPr>
        <w:t xml:space="preserve"> 394 de 15 de diciembre de 2021, esta Subdirección se pronunció en este mismo sentido, estableciendo que el límite anual para deducir dependerá de la renta líquida del contribuyente, antes de restar el valor de la inversión, pues el artículo 11 de la Ley 1715 de 2014, establece que la deducción especial no podrá superar el 50% de dicha renta líquida, calculada antes de restar el valor de la inversión. Por lo tanto, el contribuyente deberá calcular su renta líquida gravable, de </w:t>
      </w:r>
      <w:r w:rsidRPr="00722C68">
        <w:rPr>
          <w:rFonts w:ascii="Verdana" w:eastAsia="Times New Roman" w:hAnsi="Verdana" w:cs="Times New Roman"/>
          <w:color w:val="000000"/>
          <w:kern w:val="0"/>
          <w:lang w:val="es-CO" w:eastAsia="es-MX"/>
          <w14:ligatures w14:val="none"/>
        </w:rPr>
        <w:lastRenderedPageBreak/>
        <w:t>acuerdo con el artículo 26 del Estatuto Tributario, antes de restar el valor de la inversión, para evaluar el límite aplicable a la deducción de la inversión del artículo 11 de la Ley 1715 de 2014.</w:t>
      </w:r>
    </w:p>
    <w:p w14:paraId="67F1542E" w14:textId="77777777" w:rsidR="00722C68" w:rsidRPr="00722C68" w:rsidRDefault="00722C68" w:rsidP="00722C68">
      <w:pPr>
        <w:rPr>
          <w:rFonts w:ascii="Times New Roman" w:eastAsia="Times New Roman" w:hAnsi="Times New Roman" w:cs="Times New Roman"/>
          <w:kern w:val="0"/>
          <w:lang w:val="es-CO" w:eastAsia="es-MX"/>
          <w14:ligatures w14:val="none"/>
        </w:rPr>
      </w:pPr>
      <w:r w:rsidRPr="00722C68">
        <w:rPr>
          <w:rFonts w:ascii="Times New Roman" w:eastAsia="Times New Roman" w:hAnsi="Times New Roman" w:cs="Times New Roman"/>
          <w:kern w:val="0"/>
          <w:lang w:val="es-CO" w:eastAsia="es-MX"/>
          <w14:ligatures w14:val="none"/>
        </w:rPr>
        <w:br/>
      </w:r>
    </w:p>
    <w:p w14:paraId="30376013" w14:textId="77777777" w:rsidR="00722C68" w:rsidRPr="00722C68" w:rsidRDefault="00722C68" w:rsidP="00722C68">
      <w:pPr>
        <w:numPr>
          <w:ilvl w:val="0"/>
          <w:numId w:val="13"/>
        </w:numPr>
        <w:jc w:val="both"/>
        <w:textAlignment w:val="baseline"/>
        <w:rPr>
          <w:rFonts w:ascii="Verdana" w:eastAsia="Times New Roman" w:hAnsi="Verdana" w:cs="Times New Roman"/>
          <w:color w:val="000000"/>
          <w:kern w:val="0"/>
          <w:lang w:val="es-CO" w:eastAsia="es-MX"/>
          <w14:ligatures w14:val="none"/>
        </w:rPr>
      </w:pPr>
      <w:r w:rsidRPr="00722C68">
        <w:rPr>
          <w:rFonts w:ascii="Verdana" w:eastAsia="Times New Roman" w:hAnsi="Verdana" w:cs="Times New Roman"/>
          <w:color w:val="000000"/>
          <w:kern w:val="0"/>
          <w:lang w:val="es-CO" w:eastAsia="es-MX"/>
          <w14:ligatures w14:val="none"/>
        </w:rPr>
        <w:t>Este límite anual tiene como finalidad evitar que la deducción especial exceda la capacidad contributiva del contribuyente en cada año gravable, y se calcula sobre la renta líquida previa a la aplicación de cualquier deducción especial o renta exenta, incluyendo las contempladas en el artículo 336 del Estatuto Tributario.</w:t>
      </w:r>
    </w:p>
    <w:p w14:paraId="576D79F0" w14:textId="77777777" w:rsidR="00722C68" w:rsidRPr="00722C68" w:rsidRDefault="00722C68" w:rsidP="00722C68">
      <w:pPr>
        <w:rPr>
          <w:rFonts w:ascii="Times New Roman" w:eastAsia="Times New Roman" w:hAnsi="Times New Roman" w:cs="Times New Roman"/>
          <w:kern w:val="0"/>
          <w:lang w:val="es-CO" w:eastAsia="es-MX"/>
          <w14:ligatures w14:val="none"/>
        </w:rPr>
      </w:pPr>
      <w:r w:rsidRPr="00722C68">
        <w:rPr>
          <w:rFonts w:ascii="Times New Roman" w:eastAsia="Times New Roman" w:hAnsi="Times New Roman" w:cs="Times New Roman"/>
          <w:kern w:val="0"/>
          <w:lang w:val="es-CO" w:eastAsia="es-MX"/>
          <w14:ligatures w14:val="none"/>
        </w:rPr>
        <w:br/>
      </w:r>
    </w:p>
    <w:p w14:paraId="1DEBDF81" w14:textId="77777777" w:rsidR="00722C68" w:rsidRPr="00722C68" w:rsidRDefault="00722C68" w:rsidP="00722C68">
      <w:pPr>
        <w:numPr>
          <w:ilvl w:val="0"/>
          <w:numId w:val="14"/>
        </w:numPr>
        <w:jc w:val="both"/>
        <w:textAlignment w:val="baseline"/>
        <w:rPr>
          <w:rFonts w:ascii="Verdana" w:eastAsia="Times New Roman" w:hAnsi="Verdana" w:cs="Times New Roman"/>
          <w:color w:val="000000"/>
          <w:kern w:val="0"/>
          <w:lang w:val="es-CO" w:eastAsia="es-MX"/>
          <w14:ligatures w14:val="none"/>
        </w:rPr>
      </w:pPr>
      <w:r w:rsidRPr="00722C68">
        <w:rPr>
          <w:rFonts w:ascii="Verdana" w:eastAsia="Times New Roman" w:hAnsi="Verdana" w:cs="Times New Roman"/>
          <w:color w:val="000000"/>
          <w:kern w:val="0"/>
          <w:lang w:val="es-CO" w:eastAsia="es-MX"/>
          <w14:ligatures w14:val="none"/>
        </w:rPr>
        <w:t>No obstante, tratándose de personas naturales cuyos ingresos se clasifican en la cédula general, el artículo 336 del Estatuto Tributario impone un límite adicional, según el cual las rentas exentas y las deducciones especiales imputables a dicha cédula no pueden exceder el 40% del ingreso neto, con un tope absoluto de 1.340 UVT anuales. Este límite debe observarse de manera conjunta con el cálculo del beneficio especial, en tanto no exista disposición normativa que excluya expresamente la deducción del artículo 11 de la Ley 1715 de 2014 de dicho límite.</w:t>
      </w:r>
    </w:p>
    <w:p w14:paraId="7CEA203E" w14:textId="77777777" w:rsidR="00722C68" w:rsidRPr="00722C68" w:rsidRDefault="00722C68" w:rsidP="00722C68">
      <w:pPr>
        <w:rPr>
          <w:rFonts w:ascii="Times New Roman" w:eastAsia="Times New Roman" w:hAnsi="Times New Roman" w:cs="Times New Roman"/>
          <w:kern w:val="0"/>
          <w:lang w:val="es-CO" w:eastAsia="es-MX"/>
          <w14:ligatures w14:val="none"/>
        </w:rPr>
      </w:pPr>
      <w:r w:rsidRPr="00722C68">
        <w:rPr>
          <w:rFonts w:ascii="Times New Roman" w:eastAsia="Times New Roman" w:hAnsi="Times New Roman" w:cs="Times New Roman"/>
          <w:kern w:val="0"/>
          <w:lang w:val="es-CO" w:eastAsia="es-MX"/>
          <w14:ligatures w14:val="none"/>
        </w:rPr>
        <w:br/>
      </w:r>
    </w:p>
    <w:p w14:paraId="3CE3D632" w14:textId="77777777" w:rsidR="00722C68" w:rsidRPr="00722C68" w:rsidRDefault="00722C68" w:rsidP="00722C68">
      <w:pPr>
        <w:numPr>
          <w:ilvl w:val="0"/>
          <w:numId w:val="15"/>
        </w:numPr>
        <w:jc w:val="both"/>
        <w:textAlignment w:val="baseline"/>
        <w:rPr>
          <w:rFonts w:ascii="Verdana" w:eastAsia="Times New Roman" w:hAnsi="Verdana" w:cs="Times New Roman"/>
          <w:color w:val="000000"/>
          <w:kern w:val="0"/>
          <w:lang w:val="es-CO" w:eastAsia="es-MX"/>
          <w14:ligatures w14:val="none"/>
        </w:rPr>
      </w:pPr>
      <w:r w:rsidRPr="00722C68">
        <w:rPr>
          <w:rFonts w:ascii="Verdana" w:eastAsia="Times New Roman" w:hAnsi="Verdana" w:cs="Times New Roman"/>
          <w:color w:val="000000"/>
          <w:kern w:val="0"/>
          <w:lang w:val="es-CO" w:eastAsia="es-MX"/>
          <w14:ligatures w14:val="none"/>
        </w:rPr>
        <w:t>En consecuencia, aunque el cálculo del 50% se realiza sobre la renta líquida antes de aplicar la deducción, la deducción efectiva que puede tomar el contribuyente estará sujeta también al límite del artículo 336 del Estatuto Tributario, en los casos en que este resulte aplicable.</w:t>
      </w:r>
    </w:p>
    <w:p w14:paraId="0B9D16C2" w14:textId="77777777" w:rsidR="00722C68" w:rsidRPr="00722C68" w:rsidRDefault="00722C68" w:rsidP="00722C68">
      <w:pPr>
        <w:rPr>
          <w:rFonts w:ascii="Times New Roman" w:eastAsia="Times New Roman" w:hAnsi="Times New Roman" w:cs="Times New Roman"/>
          <w:kern w:val="0"/>
          <w:lang w:val="es-CO" w:eastAsia="es-MX"/>
          <w14:ligatures w14:val="none"/>
        </w:rPr>
      </w:pPr>
    </w:p>
    <w:p w14:paraId="247EB4BE" w14:textId="77777777" w:rsidR="00722C68" w:rsidRPr="00722C68" w:rsidRDefault="00722C68" w:rsidP="00722C68">
      <w:pPr>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b/>
          <w:bCs/>
          <w:color w:val="000000"/>
          <w:kern w:val="0"/>
          <w:lang w:val="es-CO" w:eastAsia="es-MX"/>
          <w14:ligatures w14:val="none"/>
        </w:rPr>
        <w:t>PROBLEMA JURÍDICO No. 3:</w:t>
      </w:r>
    </w:p>
    <w:p w14:paraId="2BE8B391" w14:textId="77777777" w:rsidR="00722C68" w:rsidRPr="00722C68" w:rsidRDefault="00722C68" w:rsidP="00722C68">
      <w:pPr>
        <w:numPr>
          <w:ilvl w:val="0"/>
          <w:numId w:val="16"/>
        </w:numPr>
        <w:jc w:val="both"/>
        <w:textAlignment w:val="baseline"/>
        <w:rPr>
          <w:rFonts w:ascii="Verdana" w:eastAsia="Times New Roman" w:hAnsi="Verdana" w:cs="Times New Roman"/>
          <w:color w:val="000000"/>
          <w:kern w:val="0"/>
          <w:lang w:val="es-CO" w:eastAsia="es-MX"/>
          <w14:ligatures w14:val="none"/>
        </w:rPr>
      </w:pPr>
      <w:r w:rsidRPr="00722C68">
        <w:rPr>
          <w:rFonts w:ascii="Verdana" w:eastAsia="Times New Roman" w:hAnsi="Verdana" w:cs="Times New Roman"/>
          <w:color w:val="000000"/>
          <w:kern w:val="0"/>
          <w:lang w:val="es-CO" w:eastAsia="es-MX"/>
          <w14:ligatures w14:val="none"/>
        </w:rPr>
        <w:t>¿Los quince (15) años del beneficio tributario establecido en el artículo 11 de la Ley 1715 de 2014 comienzan a contarse desde la fecha de adquisición del bien o desde la expedición de la certificación por parte de la autoridad competente (UPME)?</w:t>
      </w:r>
    </w:p>
    <w:p w14:paraId="193D93A6" w14:textId="77777777" w:rsidR="00722C68" w:rsidRPr="00722C68" w:rsidRDefault="00722C68" w:rsidP="00722C68">
      <w:pPr>
        <w:rPr>
          <w:rFonts w:ascii="Times New Roman" w:eastAsia="Times New Roman" w:hAnsi="Times New Roman" w:cs="Times New Roman"/>
          <w:kern w:val="0"/>
          <w:lang w:val="es-CO" w:eastAsia="es-MX"/>
          <w14:ligatures w14:val="none"/>
        </w:rPr>
      </w:pPr>
    </w:p>
    <w:p w14:paraId="6A561634" w14:textId="77777777" w:rsidR="00722C68" w:rsidRPr="00722C68" w:rsidRDefault="00722C68" w:rsidP="00722C68">
      <w:pPr>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b/>
          <w:bCs/>
          <w:color w:val="000000"/>
          <w:kern w:val="0"/>
          <w:lang w:val="es-CO" w:eastAsia="es-MX"/>
          <w14:ligatures w14:val="none"/>
        </w:rPr>
        <w:t>TESIS JURÍDICA No. 3:</w:t>
      </w:r>
    </w:p>
    <w:p w14:paraId="039EAD00" w14:textId="77777777" w:rsidR="00722C68" w:rsidRPr="00722C68" w:rsidRDefault="00722C68" w:rsidP="00722C68">
      <w:pPr>
        <w:rPr>
          <w:rFonts w:ascii="Times New Roman" w:eastAsia="Times New Roman" w:hAnsi="Times New Roman" w:cs="Times New Roman"/>
          <w:kern w:val="0"/>
          <w:lang w:val="es-CO" w:eastAsia="es-MX"/>
          <w14:ligatures w14:val="none"/>
        </w:rPr>
      </w:pPr>
      <w:r w:rsidRPr="00722C68">
        <w:rPr>
          <w:rFonts w:ascii="Times New Roman" w:eastAsia="Times New Roman" w:hAnsi="Times New Roman" w:cs="Times New Roman"/>
          <w:kern w:val="0"/>
          <w:lang w:val="es-CO" w:eastAsia="es-MX"/>
          <w14:ligatures w14:val="none"/>
        </w:rPr>
        <w:br/>
      </w:r>
    </w:p>
    <w:p w14:paraId="795F7FE2" w14:textId="77777777" w:rsidR="00722C68" w:rsidRPr="00722C68" w:rsidRDefault="00722C68" w:rsidP="00722C68">
      <w:pPr>
        <w:numPr>
          <w:ilvl w:val="0"/>
          <w:numId w:val="17"/>
        </w:numPr>
        <w:jc w:val="both"/>
        <w:textAlignment w:val="baseline"/>
        <w:rPr>
          <w:rFonts w:ascii="Verdana" w:eastAsia="Times New Roman" w:hAnsi="Verdana" w:cs="Times New Roman"/>
          <w:color w:val="000000"/>
          <w:kern w:val="0"/>
          <w:lang w:val="es-CO" w:eastAsia="es-MX"/>
          <w14:ligatures w14:val="none"/>
        </w:rPr>
      </w:pPr>
      <w:r w:rsidRPr="00722C68">
        <w:rPr>
          <w:rFonts w:ascii="Verdana" w:eastAsia="Times New Roman" w:hAnsi="Verdana" w:cs="Times New Roman"/>
          <w:color w:val="000000"/>
          <w:kern w:val="0"/>
          <w:lang w:val="es-CO" w:eastAsia="es-MX"/>
          <w14:ligatures w14:val="none"/>
        </w:rPr>
        <w:t>Los quince (15) años durante los cuales puede aplicarse la deducción especial prevista en el artículo 11 de la Ley 1715 de 2014 comienzan a contarse a partir del año gravable siguiente a aquel en que la inversión haya entrado en operación, conforme lo establece expresamente la norma. Por tanto, no se cuenta desde la fecha de adquisición del bien ni desde la expedición de la certificación por parte de la UPME, aunque esta última es un requisito indispensable para acceder al beneficio tributario.</w:t>
      </w:r>
    </w:p>
    <w:p w14:paraId="5FBA0BB8" w14:textId="77777777" w:rsidR="00722C68" w:rsidRPr="00722C68" w:rsidRDefault="00722C68" w:rsidP="00722C68">
      <w:pPr>
        <w:rPr>
          <w:rFonts w:ascii="Times New Roman" w:eastAsia="Times New Roman" w:hAnsi="Times New Roman" w:cs="Times New Roman"/>
          <w:kern w:val="0"/>
          <w:lang w:val="es-CO" w:eastAsia="es-MX"/>
          <w14:ligatures w14:val="none"/>
        </w:rPr>
      </w:pPr>
    </w:p>
    <w:p w14:paraId="7F606D07" w14:textId="77777777" w:rsidR="00722C68" w:rsidRPr="00722C68" w:rsidRDefault="00722C68" w:rsidP="00722C68">
      <w:pPr>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b/>
          <w:bCs/>
          <w:color w:val="000000"/>
          <w:kern w:val="0"/>
          <w:lang w:val="es-CO" w:eastAsia="es-MX"/>
          <w14:ligatures w14:val="none"/>
        </w:rPr>
        <w:t>FUNDAMENTACIÓN JURÍDICA:</w:t>
      </w:r>
    </w:p>
    <w:p w14:paraId="3143A7EB" w14:textId="77777777" w:rsidR="00722C68" w:rsidRPr="00722C68" w:rsidRDefault="00722C68" w:rsidP="00722C68">
      <w:pPr>
        <w:rPr>
          <w:rFonts w:ascii="Times New Roman" w:eastAsia="Times New Roman" w:hAnsi="Times New Roman" w:cs="Times New Roman"/>
          <w:kern w:val="0"/>
          <w:lang w:val="es-CO" w:eastAsia="es-MX"/>
          <w14:ligatures w14:val="none"/>
        </w:rPr>
      </w:pPr>
      <w:r w:rsidRPr="00722C68">
        <w:rPr>
          <w:rFonts w:ascii="Times New Roman" w:eastAsia="Times New Roman" w:hAnsi="Times New Roman" w:cs="Times New Roman"/>
          <w:kern w:val="0"/>
          <w:lang w:val="es-CO" w:eastAsia="es-MX"/>
          <w14:ligatures w14:val="none"/>
        </w:rPr>
        <w:br/>
      </w:r>
    </w:p>
    <w:p w14:paraId="0B8DBE50" w14:textId="77777777" w:rsidR="00722C68" w:rsidRPr="00722C68" w:rsidRDefault="00722C68" w:rsidP="00722C68">
      <w:pPr>
        <w:numPr>
          <w:ilvl w:val="0"/>
          <w:numId w:val="18"/>
        </w:numPr>
        <w:jc w:val="both"/>
        <w:textAlignment w:val="baseline"/>
        <w:rPr>
          <w:rFonts w:ascii="Verdana" w:eastAsia="Times New Roman" w:hAnsi="Verdana" w:cs="Times New Roman"/>
          <w:color w:val="000000"/>
          <w:kern w:val="0"/>
          <w:lang w:val="es-CO" w:eastAsia="es-MX"/>
          <w14:ligatures w14:val="none"/>
        </w:rPr>
      </w:pPr>
      <w:r w:rsidRPr="00722C68">
        <w:rPr>
          <w:rFonts w:ascii="Verdana" w:eastAsia="Times New Roman" w:hAnsi="Verdana" w:cs="Times New Roman"/>
          <w:color w:val="000000"/>
          <w:kern w:val="0"/>
          <w:lang w:val="es-CO" w:eastAsia="es-MX"/>
          <w14:ligatures w14:val="none"/>
        </w:rPr>
        <w:t>El artículo 11 de la Ley 1715 de 2014, establece un incentivo tributario consistente en la deducción del cincuenta por ciento (50%) del valor total de las inversiones realizadas directamente en proyectos de generación de energía con fuentes no convencionales (FNCE) y en gestión eficiente de la energía (GEE). Esta deducción puede aplicarse durante un periodo máximo de quince (15) años.</w:t>
      </w:r>
    </w:p>
    <w:p w14:paraId="57CAB1AB" w14:textId="77777777" w:rsidR="00722C68" w:rsidRPr="00722C68" w:rsidRDefault="00722C68" w:rsidP="00722C68">
      <w:pPr>
        <w:rPr>
          <w:rFonts w:ascii="Times New Roman" w:eastAsia="Times New Roman" w:hAnsi="Times New Roman" w:cs="Times New Roman"/>
          <w:kern w:val="0"/>
          <w:lang w:val="es-CO" w:eastAsia="es-MX"/>
          <w14:ligatures w14:val="none"/>
        </w:rPr>
      </w:pPr>
      <w:r w:rsidRPr="00722C68">
        <w:rPr>
          <w:rFonts w:ascii="Times New Roman" w:eastAsia="Times New Roman" w:hAnsi="Times New Roman" w:cs="Times New Roman"/>
          <w:kern w:val="0"/>
          <w:lang w:val="es-CO" w:eastAsia="es-MX"/>
          <w14:ligatures w14:val="none"/>
        </w:rPr>
        <w:br/>
      </w:r>
    </w:p>
    <w:p w14:paraId="160EC637" w14:textId="77777777" w:rsidR="00722C68" w:rsidRPr="00722C68" w:rsidRDefault="00722C68" w:rsidP="00722C68">
      <w:pPr>
        <w:numPr>
          <w:ilvl w:val="0"/>
          <w:numId w:val="19"/>
        </w:numPr>
        <w:jc w:val="both"/>
        <w:textAlignment w:val="baseline"/>
        <w:rPr>
          <w:rFonts w:ascii="Verdana" w:eastAsia="Times New Roman" w:hAnsi="Verdana" w:cs="Times New Roman"/>
          <w:color w:val="000000"/>
          <w:kern w:val="0"/>
          <w:lang w:val="es-CO" w:eastAsia="es-MX"/>
          <w14:ligatures w14:val="none"/>
        </w:rPr>
      </w:pPr>
      <w:r w:rsidRPr="00722C68">
        <w:rPr>
          <w:rFonts w:ascii="Verdana" w:eastAsia="Times New Roman" w:hAnsi="Verdana" w:cs="Times New Roman"/>
          <w:color w:val="000000"/>
          <w:kern w:val="0"/>
          <w:lang w:val="es-CO" w:eastAsia="es-MX"/>
          <w14:ligatures w14:val="none"/>
        </w:rPr>
        <w:t>Este mismo artículo señala que dicho periodo se cuenta a partir del año gravable siguiente a aquel en que la inversión haya entrado en operación, lo cual implica que el evento determinante para iniciar el cómputo del beneficio no es la adquisición del bien ni la certificación de la UPME, sino la puesta en operación efectiva del proyecto.</w:t>
      </w:r>
    </w:p>
    <w:p w14:paraId="4FD6DE55" w14:textId="77777777" w:rsidR="00722C68" w:rsidRPr="00722C68" w:rsidRDefault="00722C68" w:rsidP="00722C68">
      <w:pPr>
        <w:rPr>
          <w:rFonts w:ascii="Times New Roman" w:eastAsia="Times New Roman" w:hAnsi="Times New Roman" w:cs="Times New Roman"/>
          <w:kern w:val="0"/>
          <w:lang w:val="es-CO" w:eastAsia="es-MX"/>
          <w14:ligatures w14:val="none"/>
        </w:rPr>
      </w:pPr>
      <w:r w:rsidRPr="00722C68">
        <w:rPr>
          <w:rFonts w:ascii="Times New Roman" w:eastAsia="Times New Roman" w:hAnsi="Times New Roman" w:cs="Times New Roman"/>
          <w:kern w:val="0"/>
          <w:lang w:val="es-CO" w:eastAsia="es-MX"/>
          <w14:ligatures w14:val="none"/>
        </w:rPr>
        <w:br/>
      </w:r>
    </w:p>
    <w:p w14:paraId="011C3F1F" w14:textId="77777777" w:rsidR="00722C68" w:rsidRPr="00722C68" w:rsidRDefault="00722C68" w:rsidP="00722C68">
      <w:pPr>
        <w:numPr>
          <w:ilvl w:val="0"/>
          <w:numId w:val="20"/>
        </w:numPr>
        <w:jc w:val="both"/>
        <w:textAlignment w:val="baseline"/>
        <w:rPr>
          <w:rFonts w:ascii="Verdana" w:eastAsia="Times New Roman" w:hAnsi="Verdana" w:cs="Times New Roman"/>
          <w:color w:val="000000"/>
          <w:kern w:val="0"/>
          <w:lang w:val="es-CO" w:eastAsia="es-MX"/>
          <w14:ligatures w14:val="none"/>
        </w:rPr>
      </w:pPr>
      <w:r w:rsidRPr="00722C68">
        <w:rPr>
          <w:rFonts w:ascii="Verdana" w:eastAsia="Times New Roman" w:hAnsi="Verdana" w:cs="Times New Roman"/>
          <w:color w:val="000000"/>
          <w:kern w:val="0"/>
          <w:lang w:val="es-CO" w:eastAsia="es-MX"/>
          <w14:ligatures w14:val="none"/>
        </w:rPr>
        <w:t xml:space="preserve">En este mismo sentido, se pronunció esta Subdirección a través del Oficio 915278 - </w:t>
      </w:r>
      <w:proofErr w:type="spellStart"/>
      <w:r w:rsidRPr="00722C68">
        <w:rPr>
          <w:rFonts w:ascii="Verdana" w:eastAsia="Times New Roman" w:hAnsi="Verdana" w:cs="Times New Roman"/>
          <w:color w:val="000000"/>
          <w:kern w:val="0"/>
          <w:lang w:val="es-CO" w:eastAsia="es-MX"/>
          <w14:ligatures w14:val="none"/>
        </w:rPr>
        <w:t>int</w:t>
      </w:r>
      <w:proofErr w:type="spellEnd"/>
      <w:r w:rsidRPr="00722C68">
        <w:rPr>
          <w:rFonts w:ascii="Verdana" w:eastAsia="Times New Roman" w:hAnsi="Verdana" w:cs="Times New Roman"/>
          <w:color w:val="000000"/>
          <w:kern w:val="0"/>
          <w:lang w:val="es-CO" w:eastAsia="es-MX"/>
          <w14:ligatures w14:val="none"/>
        </w:rPr>
        <w:t xml:space="preserve"> 394 de 15 de diciembre de 2021, en el cual estableció que esta deducción procederá en el año gravable siguiente en el que haya entrado en operación la inversión, previa evaluación y certificación por parte de la UPME, de acuerdo con el artículo 11 de la Ley 1715 de 2014.</w:t>
      </w:r>
    </w:p>
    <w:p w14:paraId="33AE2C61" w14:textId="77777777" w:rsidR="00722C68" w:rsidRPr="00722C68" w:rsidRDefault="00722C68" w:rsidP="00722C68">
      <w:pPr>
        <w:rPr>
          <w:rFonts w:ascii="Times New Roman" w:eastAsia="Times New Roman" w:hAnsi="Times New Roman" w:cs="Times New Roman"/>
          <w:kern w:val="0"/>
          <w:lang w:val="es-CO" w:eastAsia="es-MX"/>
          <w14:ligatures w14:val="none"/>
        </w:rPr>
      </w:pPr>
      <w:r w:rsidRPr="00722C68">
        <w:rPr>
          <w:rFonts w:ascii="Times New Roman" w:eastAsia="Times New Roman" w:hAnsi="Times New Roman" w:cs="Times New Roman"/>
          <w:kern w:val="0"/>
          <w:lang w:val="es-CO" w:eastAsia="es-MX"/>
          <w14:ligatures w14:val="none"/>
        </w:rPr>
        <w:br/>
      </w:r>
    </w:p>
    <w:p w14:paraId="3BE94DD8" w14:textId="77777777" w:rsidR="00722C68" w:rsidRPr="00722C68" w:rsidRDefault="00722C68" w:rsidP="00722C68">
      <w:pPr>
        <w:numPr>
          <w:ilvl w:val="0"/>
          <w:numId w:val="21"/>
        </w:numPr>
        <w:jc w:val="both"/>
        <w:textAlignment w:val="baseline"/>
        <w:rPr>
          <w:rFonts w:ascii="Verdana" w:eastAsia="Times New Roman" w:hAnsi="Verdana" w:cs="Times New Roman"/>
          <w:color w:val="000000"/>
          <w:kern w:val="0"/>
          <w:lang w:val="es-CO" w:eastAsia="es-MX"/>
          <w14:ligatures w14:val="none"/>
        </w:rPr>
      </w:pPr>
      <w:r w:rsidRPr="00722C68">
        <w:rPr>
          <w:rFonts w:ascii="Verdana" w:eastAsia="Times New Roman" w:hAnsi="Verdana" w:cs="Times New Roman"/>
          <w:color w:val="000000"/>
          <w:kern w:val="0"/>
          <w:lang w:val="es-CO" w:eastAsia="es-MX"/>
          <w14:ligatures w14:val="none"/>
        </w:rPr>
        <w:t>Así las cosas, se concluye que la certificación expedida por la Unidad de Planeación Minero Energética (UPME) es un requisito para acceder al beneficio, pero no incide en el inicio del cómputo del periodo de deducción, el cual está claramente definido por la ley.</w:t>
      </w:r>
    </w:p>
    <w:p w14:paraId="005C3D30" w14:textId="77777777" w:rsidR="00722C68" w:rsidRPr="00722C68" w:rsidRDefault="00722C68" w:rsidP="00722C68">
      <w:pPr>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b/>
          <w:bCs/>
          <w:color w:val="000000"/>
          <w:kern w:val="0"/>
          <w:lang w:val="es-CO" w:eastAsia="es-MX"/>
          <w14:ligatures w14:val="none"/>
        </w:rPr>
        <w:t>PROBLEMA JURÍDICO No. 4.</w:t>
      </w:r>
    </w:p>
    <w:p w14:paraId="6DA410E8" w14:textId="77777777" w:rsidR="00722C68" w:rsidRPr="00722C68" w:rsidRDefault="00722C68" w:rsidP="00722C68">
      <w:pPr>
        <w:rPr>
          <w:rFonts w:ascii="Times New Roman" w:eastAsia="Times New Roman" w:hAnsi="Times New Roman" w:cs="Times New Roman"/>
          <w:kern w:val="0"/>
          <w:lang w:val="es-CO" w:eastAsia="es-MX"/>
          <w14:ligatures w14:val="none"/>
        </w:rPr>
      </w:pPr>
      <w:r w:rsidRPr="00722C68">
        <w:rPr>
          <w:rFonts w:ascii="Times New Roman" w:eastAsia="Times New Roman" w:hAnsi="Times New Roman" w:cs="Times New Roman"/>
          <w:kern w:val="0"/>
          <w:lang w:val="es-CO" w:eastAsia="es-MX"/>
          <w14:ligatures w14:val="none"/>
        </w:rPr>
        <w:br/>
      </w:r>
    </w:p>
    <w:p w14:paraId="4A299682" w14:textId="77777777" w:rsidR="00722C68" w:rsidRPr="00722C68" w:rsidRDefault="00722C68" w:rsidP="00722C68">
      <w:pPr>
        <w:numPr>
          <w:ilvl w:val="0"/>
          <w:numId w:val="22"/>
        </w:numPr>
        <w:jc w:val="both"/>
        <w:textAlignment w:val="baseline"/>
        <w:rPr>
          <w:rFonts w:ascii="Verdana" w:eastAsia="Times New Roman" w:hAnsi="Verdana" w:cs="Times New Roman"/>
          <w:color w:val="000000"/>
          <w:kern w:val="0"/>
          <w:lang w:val="es-CO" w:eastAsia="es-MX"/>
          <w14:ligatures w14:val="none"/>
        </w:rPr>
      </w:pPr>
      <w:r w:rsidRPr="00722C68">
        <w:rPr>
          <w:rFonts w:ascii="Verdana" w:eastAsia="Times New Roman" w:hAnsi="Verdana" w:cs="Times New Roman"/>
          <w:color w:val="000000"/>
          <w:kern w:val="0"/>
          <w:lang w:val="es-CO" w:eastAsia="es-MX"/>
          <w14:ligatures w14:val="none"/>
        </w:rPr>
        <w:t xml:space="preserve">¿La entrega de excedentes de energía eléctrica por parte de un </w:t>
      </w:r>
      <w:proofErr w:type="spellStart"/>
      <w:r w:rsidRPr="00722C68">
        <w:rPr>
          <w:rFonts w:ascii="Verdana" w:eastAsia="Times New Roman" w:hAnsi="Verdana" w:cs="Times New Roman"/>
          <w:color w:val="000000"/>
          <w:kern w:val="0"/>
          <w:lang w:val="es-CO" w:eastAsia="es-MX"/>
          <w14:ligatures w14:val="none"/>
        </w:rPr>
        <w:t>autogenerador</w:t>
      </w:r>
      <w:proofErr w:type="spellEnd"/>
      <w:r w:rsidRPr="00722C68">
        <w:rPr>
          <w:rFonts w:ascii="Verdana" w:eastAsia="Times New Roman" w:hAnsi="Verdana" w:cs="Times New Roman"/>
          <w:color w:val="000000"/>
          <w:kern w:val="0"/>
          <w:lang w:val="es-CO" w:eastAsia="es-MX"/>
          <w14:ligatures w14:val="none"/>
        </w:rPr>
        <w:t xml:space="preserve"> a las redes de una empresa prestadora del servicio de energía eléctrica constituye una operación de venta? Y, de ser así, ¿debería facturarse electrónicamente conforme a la normativa vigente?</w:t>
      </w:r>
    </w:p>
    <w:p w14:paraId="387FD59D" w14:textId="77777777" w:rsidR="00722C68" w:rsidRPr="00722C68" w:rsidRDefault="00722C68" w:rsidP="00722C68">
      <w:pPr>
        <w:rPr>
          <w:rFonts w:ascii="Times New Roman" w:eastAsia="Times New Roman" w:hAnsi="Times New Roman" w:cs="Times New Roman"/>
          <w:kern w:val="0"/>
          <w:lang w:val="es-CO" w:eastAsia="es-MX"/>
          <w14:ligatures w14:val="none"/>
        </w:rPr>
      </w:pPr>
    </w:p>
    <w:p w14:paraId="1B32C074" w14:textId="77777777" w:rsidR="00722C68" w:rsidRPr="00722C68" w:rsidRDefault="00722C68" w:rsidP="00722C68">
      <w:pPr>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b/>
          <w:bCs/>
          <w:color w:val="000000"/>
          <w:kern w:val="0"/>
          <w:lang w:val="es-CO" w:eastAsia="es-MX"/>
          <w14:ligatures w14:val="none"/>
        </w:rPr>
        <w:t>TESIS JURÍDICA No. 4:</w:t>
      </w:r>
    </w:p>
    <w:p w14:paraId="050DE282" w14:textId="77777777" w:rsidR="00722C68" w:rsidRPr="00722C68" w:rsidRDefault="00722C68" w:rsidP="00722C68">
      <w:pPr>
        <w:rPr>
          <w:rFonts w:ascii="Times New Roman" w:eastAsia="Times New Roman" w:hAnsi="Times New Roman" w:cs="Times New Roman"/>
          <w:kern w:val="0"/>
          <w:lang w:val="es-CO" w:eastAsia="es-MX"/>
          <w14:ligatures w14:val="none"/>
        </w:rPr>
      </w:pPr>
      <w:r w:rsidRPr="00722C68">
        <w:rPr>
          <w:rFonts w:ascii="Times New Roman" w:eastAsia="Times New Roman" w:hAnsi="Times New Roman" w:cs="Times New Roman"/>
          <w:kern w:val="0"/>
          <w:lang w:val="es-CO" w:eastAsia="es-MX"/>
          <w14:ligatures w14:val="none"/>
        </w:rPr>
        <w:br/>
      </w:r>
    </w:p>
    <w:p w14:paraId="00B749D5" w14:textId="77777777" w:rsidR="00722C68" w:rsidRPr="00722C68" w:rsidRDefault="00722C68" w:rsidP="00722C68">
      <w:pPr>
        <w:numPr>
          <w:ilvl w:val="0"/>
          <w:numId w:val="23"/>
        </w:numPr>
        <w:jc w:val="both"/>
        <w:textAlignment w:val="baseline"/>
        <w:rPr>
          <w:rFonts w:ascii="Verdana" w:eastAsia="Times New Roman" w:hAnsi="Verdana" w:cs="Times New Roman"/>
          <w:color w:val="000000"/>
          <w:kern w:val="0"/>
          <w:lang w:val="es-CO" w:eastAsia="es-MX"/>
          <w14:ligatures w14:val="none"/>
        </w:rPr>
      </w:pPr>
      <w:r w:rsidRPr="00722C68">
        <w:rPr>
          <w:rFonts w:ascii="Verdana" w:eastAsia="Times New Roman" w:hAnsi="Verdana" w:cs="Times New Roman"/>
          <w:color w:val="000000"/>
          <w:kern w:val="0"/>
          <w:lang w:val="es-CO" w:eastAsia="es-MX"/>
          <w14:ligatures w14:val="none"/>
        </w:rPr>
        <w:t xml:space="preserve">Sí. La entrega de excedentes de energía eléctrica por parte de un </w:t>
      </w:r>
      <w:proofErr w:type="spellStart"/>
      <w:r w:rsidRPr="00722C68">
        <w:rPr>
          <w:rFonts w:ascii="Verdana" w:eastAsia="Times New Roman" w:hAnsi="Verdana" w:cs="Times New Roman"/>
          <w:color w:val="000000"/>
          <w:kern w:val="0"/>
          <w:lang w:val="es-CO" w:eastAsia="es-MX"/>
          <w14:ligatures w14:val="none"/>
        </w:rPr>
        <w:t>autogenerador</w:t>
      </w:r>
      <w:proofErr w:type="spellEnd"/>
      <w:r w:rsidRPr="00722C68">
        <w:rPr>
          <w:rFonts w:ascii="Verdana" w:eastAsia="Times New Roman" w:hAnsi="Verdana" w:cs="Times New Roman"/>
          <w:color w:val="000000"/>
          <w:kern w:val="0"/>
          <w:lang w:val="es-CO" w:eastAsia="es-MX"/>
          <w14:ligatures w14:val="none"/>
        </w:rPr>
        <w:t xml:space="preserve"> a la red del Sistema Interconectado Nacional (SIN) puede constituir una operación de venta, dependiendo la alternativa de compensación acordado con el comercializador. En consecuencia, si el </w:t>
      </w:r>
      <w:proofErr w:type="spellStart"/>
      <w:r w:rsidRPr="00722C68">
        <w:rPr>
          <w:rFonts w:ascii="Verdana" w:eastAsia="Times New Roman" w:hAnsi="Verdana" w:cs="Times New Roman"/>
          <w:color w:val="000000"/>
          <w:kern w:val="0"/>
          <w:lang w:val="es-CO" w:eastAsia="es-MX"/>
          <w14:ligatures w14:val="none"/>
        </w:rPr>
        <w:lastRenderedPageBreak/>
        <w:t>autogenerador</w:t>
      </w:r>
      <w:proofErr w:type="spellEnd"/>
      <w:r w:rsidRPr="00722C68">
        <w:rPr>
          <w:rFonts w:ascii="Verdana" w:eastAsia="Times New Roman" w:hAnsi="Verdana" w:cs="Times New Roman"/>
          <w:color w:val="000000"/>
          <w:kern w:val="0"/>
          <w:lang w:val="es-CO" w:eastAsia="es-MX"/>
          <w14:ligatures w14:val="none"/>
        </w:rPr>
        <w:t xml:space="preserve"> está obligado a facturar, deberá expedir factura electrónica de venta conforme a la normativa vigente.</w:t>
      </w:r>
    </w:p>
    <w:p w14:paraId="12981120" w14:textId="77777777" w:rsidR="00722C68" w:rsidRPr="00722C68" w:rsidRDefault="00722C68" w:rsidP="00722C68">
      <w:pPr>
        <w:rPr>
          <w:rFonts w:ascii="Times New Roman" w:eastAsia="Times New Roman" w:hAnsi="Times New Roman" w:cs="Times New Roman"/>
          <w:kern w:val="0"/>
          <w:lang w:val="es-CO" w:eastAsia="es-MX"/>
          <w14:ligatures w14:val="none"/>
        </w:rPr>
      </w:pPr>
    </w:p>
    <w:p w14:paraId="6ED5BA8F" w14:textId="77777777" w:rsidR="00722C68" w:rsidRPr="00722C68" w:rsidRDefault="00722C68" w:rsidP="00722C68">
      <w:pPr>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b/>
          <w:bCs/>
          <w:color w:val="000000"/>
          <w:kern w:val="0"/>
          <w:lang w:val="es-CO" w:eastAsia="es-MX"/>
          <w14:ligatures w14:val="none"/>
        </w:rPr>
        <w:t>FUNDAMENTACIÓN JURÍDICA:</w:t>
      </w:r>
    </w:p>
    <w:p w14:paraId="186305A9" w14:textId="77777777" w:rsidR="00722C68" w:rsidRPr="00722C68" w:rsidRDefault="00722C68" w:rsidP="00722C68">
      <w:pPr>
        <w:rPr>
          <w:rFonts w:ascii="Times New Roman" w:eastAsia="Times New Roman" w:hAnsi="Times New Roman" w:cs="Times New Roman"/>
          <w:kern w:val="0"/>
          <w:lang w:val="es-CO" w:eastAsia="es-MX"/>
          <w14:ligatures w14:val="none"/>
        </w:rPr>
      </w:pPr>
      <w:r w:rsidRPr="00722C68">
        <w:rPr>
          <w:rFonts w:ascii="Times New Roman" w:eastAsia="Times New Roman" w:hAnsi="Times New Roman" w:cs="Times New Roman"/>
          <w:kern w:val="0"/>
          <w:lang w:val="es-CO" w:eastAsia="es-MX"/>
          <w14:ligatures w14:val="none"/>
        </w:rPr>
        <w:br/>
      </w:r>
    </w:p>
    <w:p w14:paraId="29DCF04C" w14:textId="77777777" w:rsidR="00722C68" w:rsidRPr="00722C68" w:rsidRDefault="00722C68" w:rsidP="00722C68">
      <w:pPr>
        <w:numPr>
          <w:ilvl w:val="0"/>
          <w:numId w:val="24"/>
        </w:numPr>
        <w:jc w:val="both"/>
        <w:textAlignment w:val="baseline"/>
        <w:rPr>
          <w:rFonts w:ascii="Verdana" w:eastAsia="Times New Roman" w:hAnsi="Verdana" w:cs="Times New Roman"/>
          <w:color w:val="000000"/>
          <w:kern w:val="0"/>
          <w:lang w:val="es-CO" w:eastAsia="es-MX"/>
          <w14:ligatures w14:val="none"/>
        </w:rPr>
      </w:pPr>
      <w:r w:rsidRPr="00722C68">
        <w:rPr>
          <w:rFonts w:ascii="Verdana" w:eastAsia="Times New Roman" w:hAnsi="Verdana" w:cs="Times New Roman"/>
          <w:color w:val="000000"/>
          <w:kern w:val="0"/>
          <w:lang w:val="es-CO" w:eastAsia="es-MX"/>
          <w14:ligatures w14:val="none"/>
        </w:rPr>
        <w:t>La Ley 1715 de 2014, tiene como objeto promover el desarrollo y la utilización de fuentes no convencionales de energía (FNCE), así como el uso eficiente de la energía, mediante su integración al sistema energético nacional. Dentro de sus finalidades se encuentra el fomento de la inversión y participación de los usuarios en la generación distribuida y autogeneración, incluyendo la entrega de excedentes de energía a la red eléctrica.</w:t>
      </w:r>
    </w:p>
    <w:p w14:paraId="1BFB6D87" w14:textId="77777777" w:rsidR="00722C68" w:rsidRPr="00722C68" w:rsidRDefault="00722C68" w:rsidP="00722C68">
      <w:pPr>
        <w:rPr>
          <w:rFonts w:ascii="Times New Roman" w:eastAsia="Times New Roman" w:hAnsi="Times New Roman" w:cs="Times New Roman"/>
          <w:kern w:val="0"/>
          <w:lang w:val="es-CO" w:eastAsia="es-MX"/>
          <w14:ligatures w14:val="none"/>
        </w:rPr>
      </w:pPr>
      <w:r w:rsidRPr="00722C68">
        <w:rPr>
          <w:rFonts w:ascii="Times New Roman" w:eastAsia="Times New Roman" w:hAnsi="Times New Roman" w:cs="Times New Roman"/>
          <w:kern w:val="0"/>
          <w:lang w:val="es-CO" w:eastAsia="es-MX"/>
          <w14:ligatures w14:val="none"/>
        </w:rPr>
        <w:br/>
      </w:r>
    </w:p>
    <w:p w14:paraId="17A58653" w14:textId="77777777" w:rsidR="00722C68" w:rsidRPr="00722C68" w:rsidRDefault="00722C68" w:rsidP="00722C68">
      <w:pPr>
        <w:numPr>
          <w:ilvl w:val="0"/>
          <w:numId w:val="25"/>
        </w:numPr>
        <w:jc w:val="both"/>
        <w:textAlignment w:val="baseline"/>
        <w:rPr>
          <w:rFonts w:ascii="Verdana" w:eastAsia="Times New Roman" w:hAnsi="Verdana" w:cs="Times New Roman"/>
          <w:color w:val="000000"/>
          <w:kern w:val="0"/>
          <w:lang w:val="es-CO" w:eastAsia="es-MX"/>
          <w14:ligatures w14:val="none"/>
        </w:rPr>
      </w:pPr>
      <w:r w:rsidRPr="00722C68">
        <w:rPr>
          <w:rFonts w:ascii="Verdana" w:eastAsia="Times New Roman" w:hAnsi="Verdana" w:cs="Times New Roman"/>
          <w:color w:val="000000"/>
          <w:kern w:val="0"/>
          <w:lang w:val="es-CO" w:eastAsia="es-MX"/>
          <w14:ligatures w14:val="none"/>
        </w:rPr>
        <w:t>En este contexto, la Resolución CREG 174 de 2021 regula las actividades de autogeneración a pequeña escala (AGPE) y establece que los excedentes de energía entregados por el usuario pueden ser objeto de venta o crédito de energía</w:t>
      </w:r>
    </w:p>
    <w:p w14:paraId="441ECD0F" w14:textId="77777777" w:rsidR="00722C68" w:rsidRPr="00722C68" w:rsidRDefault="00722C68" w:rsidP="00722C68">
      <w:pPr>
        <w:rPr>
          <w:rFonts w:ascii="Times New Roman" w:eastAsia="Times New Roman" w:hAnsi="Times New Roman" w:cs="Times New Roman"/>
          <w:kern w:val="0"/>
          <w:lang w:val="es-CO" w:eastAsia="es-MX"/>
          <w14:ligatures w14:val="none"/>
        </w:rPr>
      </w:pPr>
      <w:r w:rsidRPr="00722C68">
        <w:rPr>
          <w:rFonts w:ascii="Times New Roman" w:eastAsia="Times New Roman" w:hAnsi="Times New Roman" w:cs="Times New Roman"/>
          <w:kern w:val="0"/>
          <w:lang w:val="es-CO" w:eastAsia="es-MX"/>
          <w14:ligatures w14:val="none"/>
        </w:rPr>
        <w:br/>
      </w:r>
    </w:p>
    <w:p w14:paraId="6CAD870C" w14:textId="77777777" w:rsidR="00722C68" w:rsidRPr="00722C68" w:rsidRDefault="00722C68" w:rsidP="00722C68">
      <w:pPr>
        <w:numPr>
          <w:ilvl w:val="0"/>
          <w:numId w:val="26"/>
        </w:numPr>
        <w:jc w:val="both"/>
        <w:textAlignment w:val="baseline"/>
        <w:rPr>
          <w:rFonts w:ascii="Verdana" w:eastAsia="Times New Roman" w:hAnsi="Verdana" w:cs="Times New Roman"/>
          <w:color w:val="000000"/>
          <w:kern w:val="0"/>
          <w:lang w:val="es-CO" w:eastAsia="es-MX"/>
          <w14:ligatures w14:val="none"/>
        </w:rPr>
      </w:pPr>
      <w:r w:rsidRPr="00722C68">
        <w:rPr>
          <w:rFonts w:ascii="Verdana" w:eastAsia="Times New Roman" w:hAnsi="Verdana" w:cs="Times New Roman"/>
          <w:color w:val="000000"/>
          <w:kern w:val="0"/>
          <w:lang w:val="es-CO" w:eastAsia="es-MX"/>
          <w14:ligatures w14:val="none"/>
        </w:rPr>
        <w:t xml:space="preserve">La DIAN, mediante el Oficio 903230 de 2022, ha precisado que en la medida en que exista una operación de comercialización o venta de excedentes de energía, y el </w:t>
      </w:r>
      <w:proofErr w:type="spellStart"/>
      <w:r w:rsidRPr="00722C68">
        <w:rPr>
          <w:rFonts w:ascii="Verdana" w:eastAsia="Times New Roman" w:hAnsi="Verdana" w:cs="Times New Roman"/>
          <w:color w:val="000000"/>
          <w:kern w:val="0"/>
          <w:lang w:val="es-CO" w:eastAsia="es-MX"/>
          <w14:ligatures w14:val="none"/>
        </w:rPr>
        <w:t>autogenerador</w:t>
      </w:r>
      <w:proofErr w:type="spellEnd"/>
      <w:r w:rsidRPr="00722C68">
        <w:rPr>
          <w:rFonts w:ascii="Verdana" w:eastAsia="Times New Roman" w:hAnsi="Verdana" w:cs="Times New Roman"/>
          <w:color w:val="000000"/>
          <w:kern w:val="0"/>
          <w:lang w:val="es-CO" w:eastAsia="es-MX"/>
          <w14:ligatures w14:val="none"/>
        </w:rPr>
        <w:t xml:space="preserve"> </w:t>
      </w:r>
      <w:r w:rsidRPr="00722C68">
        <w:rPr>
          <w:rFonts w:ascii="Verdana" w:eastAsia="Times New Roman" w:hAnsi="Verdana" w:cs="Times New Roman"/>
          <w:color w:val="000000"/>
          <w:kern w:val="0"/>
          <w:u w:val="single"/>
          <w:lang w:val="es-CO" w:eastAsia="es-MX"/>
          <w14:ligatures w14:val="none"/>
        </w:rPr>
        <w:t>sea</w:t>
      </w:r>
      <w:r w:rsidRPr="00722C68">
        <w:rPr>
          <w:rFonts w:ascii="Verdana" w:eastAsia="Times New Roman" w:hAnsi="Verdana" w:cs="Times New Roman"/>
          <w:color w:val="000000"/>
          <w:kern w:val="0"/>
          <w:lang w:val="es-CO" w:eastAsia="es-MX"/>
          <w14:ligatures w14:val="none"/>
        </w:rPr>
        <w:t xml:space="preserve"> </w:t>
      </w:r>
      <w:r w:rsidRPr="00722C68">
        <w:rPr>
          <w:rFonts w:ascii="Verdana" w:eastAsia="Times New Roman" w:hAnsi="Verdana" w:cs="Times New Roman"/>
          <w:color w:val="000000"/>
          <w:kern w:val="0"/>
          <w:u w:val="single"/>
          <w:lang w:val="es-CO" w:eastAsia="es-MX"/>
          <w14:ligatures w14:val="none"/>
        </w:rPr>
        <w:t>un sujeto obligado a facturar,</w:t>
      </w:r>
      <w:r w:rsidRPr="00722C68">
        <w:rPr>
          <w:rFonts w:ascii="Verdana" w:eastAsia="Times New Roman" w:hAnsi="Verdana" w:cs="Times New Roman"/>
          <w:color w:val="000000"/>
          <w:kern w:val="0"/>
          <w:lang w:val="es-CO" w:eastAsia="es-MX"/>
          <w14:ligatures w14:val="none"/>
        </w:rPr>
        <w:t xml:space="preserve"> deberá expedir factura electrónica de venta conforme a los artículos 615, 616-1 y 617 del Estatuto Tributario, el Decreto 1625 de 2016 y la Resolución DIAN 000042 de 2020.</w:t>
      </w:r>
    </w:p>
    <w:p w14:paraId="5822C5F4" w14:textId="77777777" w:rsidR="00722C68" w:rsidRPr="00722C68" w:rsidRDefault="00722C68" w:rsidP="00722C68">
      <w:pPr>
        <w:rPr>
          <w:rFonts w:ascii="Times New Roman" w:eastAsia="Times New Roman" w:hAnsi="Times New Roman" w:cs="Times New Roman"/>
          <w:kern w:val="0"/>
          <w:lang w:val="es-CO" w:eastAsia="es-MX"/>
          <w14:ligatures w14:val="none"/>
        </w:rPr>
      </w:pPr>
      <w:r w:rsidRPr="00722C68">
        <w:rPr>
          <w:rFonts w:ascii="Times New Roman" w:eastAsia="Times New Roman" w:hAnsi="Times New Roman" w:cs="Times New Roman"/>
          <w:kern w:val="0"/>
          <w:lang w:val="es-CO" w:eastAsia="es-MX"/>
          <w14:ligatures w14:val="none"/>
        </w:rPr>
        <w:br/>
      </w:r>
    </w:p>
    <w:p w14:paraId="4910FF60" w14:textId="77777777" w:rsidR="00722C68" w:rsidRPr="00722C68" w:rsidRDefault="00722C68" w:rsidP="00722C68">
      <w:pPr>
        <w:numPr>
          <w:ilvl w:val="0"/>
          <w:numId w:val="27"/>
        </w:numPr>
        <w:jc w:val="both"/>
        <w:textAlignment w:val="baseline"/>
        <w:rPr>
          <w:rFonts w:ascii="Verdana" w:eastAsia="Times New Roman" w:hAnsi="Verdana" w:cs="Times New Roman"/>
          <w:color w:val="000000"/>
          <w:kern w:val="0"/>
          <w:lang w:val="es-CO" w:eastAsia="es-MX"/>
          <w14:ligatures w14:val="none"/>
        </w:rPr>
      </w:pPr>
      <w:r w:rsidRPr="00722C68">
        <w:rPr>
          <w:rFonts w:ascii="Verdana" w:eastAsia="Times New Roman" w:hAnsi="Verdana" w:cs="Times New Roman"/>
          <w:color w:val="000000"/>
          <w:kern w:val="0"/>
          <w:lang w:val="es-CO" w:eastAsia="es-MX"/>
          <w14:ligatures w14:val="none"/>
        </w:rPr>
        <w:t>Por su parte si se trata de una operación de créditos de energía, el Concepto Unificado No. 0106 (911428) de 19 de agosto de 2022 precisó que dicha transacción se trata de un préstamo intercambio de bienes fungibles (energía eléctrica), en consecuencia, de un contrato de mutuo. Por consiguiente, se rige por las normas de este tipo de contrato y en este caso no genera la obligación de facturar electrónicamente.</w:t>
      </w:r>
    </w:p>
    <w:p w14:paraId="2C21E8A2" w14:textId="77777777" w:rsidR="00722C68" w:rsidRPr="00722C68" w:rsidRDefault="00722C68" w:rsidP="00722C68">
      <w:pPr>
        <w:rPr>
          <w:rFonts w:ascii="Times New Roman" w:eastAsia="Times New Roman" w:hAnsi="Times New Roman" w:cs="Times New Roman"/>
          <w:kern w:val="0"/>
          <w:lang w:val="es-CO" w:eastAsia="es-MX"/>
          <w14:ligatures w14:val="none"/>
        </w:rPr>
      </w:pPr>
      <w:r w:rsidRPr="00722C68">
        <w:rPr>
          <w:rFonts w:ascii="Times New Roman" w:eastAsia="Times New Roman" w:hAnsi="Times New Roman" w:cs="Times New Roman"/>
          <w:kern w:val="0"/>
          <w:lang w:val="es-CO" w:eastAsia="es-MX"/>
          <w14:ligatures w14:val="none"/>
        </w:rPr>
        <w:br/>
      </w:r>
    </w:p>
    <w:p w14:paraId="2BE651C4" w14:textId="77777777" w:rsidR="00722C68" w:rsidRPr="00722C68" w:rsidRDefault="00722C68" w:rsidP="00722C68">
      <w:pPr>
        <w:numPr>
          <w:ilvl w:val="0"/>
          <w:numId w:val="28"/>
        </w:numPr>
        <w:jc w:val="both"/>
        <w:textAlignment w:val="baseline"/>
        <w:rPr>
          <w:rFonts w:ascii="Verdana" w:eastAsia="Times New Roman" w:hAnsi="Verdana" w:cs="Times New Roman"/>
          <w:color w:val="000000"/>
          <w:kern w:val="0"/>
          <w:lang w:val="es-CO" w:eastAsia="es-MX"/>
          <w14:ligatures w14:val="none"/>
        </w:rPr>
      </w:pPr>
      <w:r w:rsidRPr="00722C68">
        <w:rPr>
          <w:rFonts w:ascii="Verdana" w:eastAsia="Times New Roman" w:hAnsi="Verdana" w:cs="Times New Roman"/>
          <w:color w:val="000000"/>
          <w:kern w:val="0"/>
          <w:lang w:val="es-CO" w:eastAsia="es-MX"/>
          <w14:ligatures w14:val="none"/>
        </w:rPr>
        <w:t xml:space="preserve">En los anteriores términos se absuelve su petición y se recuerda que la normativa, jurisprudencia y doctrina en materia tributaria, aduanera y de fiscalización cambiaria, en lo de competencia  de  esta  Entidad,  puede  consultarse  en  el  normograma DIAN: </w:t>
      </w:r>
      <w:r w:rsidRPr="00722C68">
        <w:rPr>
          <w:rFonts w:ascii="Verdana" w:eastAsia="Times New Roman" w:hAnsi="Verdana" w:cs="Times New Roman"/>
          <w:color w:val="000000"/>
          <w:kern w:val="0"/>
          <w:u w:val="single"/>
          <w:lang w:val="es-CO" w:eastAsia="es-MX"/>
          <w14:ligatures w14:val="none"/>
        </w:rPr>
        <w:t>https://normograma.dian.gov.co/dian/</w:t>
      </w:r>
      <w:r w:rsidRPr="00722C68">
        <w:rPr>
          <w:rFonts w:ascii="Verdana" w:eastAsia="Times New Roman" w:hAnsi="Verdana" w:cs="Times New Roman"/>
          <w:color w:val="000000"/>
          <w:kern w:val="0"/>
          <w:lang w:val="es-CO" w:eastAsia="es-MX"/>
          <w14:ligatures w14:val="none"/>
        </w:rPr>
        <w:t>.</w:t>
      </w:r>
    </w:p>
    <w:p w14:paraId="3DDB878C" w14:textId="77777777" w:rsidR="00722C68" w:rsidRPr="00722C68" w:rsidRDefault="00722C68" w:rsidP="00722C68">
      <w:pPr>
        <w:spacing w:after="240"/>
        <w:rPr>
          <w:rFonts w:ascii="Times New Roman" w:eastAsia="Times New Roman" w:hAnsi="Times New Roman" w:cs="Times New Roman"/>
          <w:kern w:val="0"/>
          <w:lang w:val="es-CO" w:eastAsia="es-MX"/>
          <w14:ligatures w14:val="none"/>
        </w:rPr>
      </w:pPr>
    </w:p>
    <w:p w14:paraId="29EBDA4E" w14:textId="77777777" w:rsidR="00722C68" w:rsidRPr="00722C68" w:rsidRDefault="00722C68" w:rsidP="00722C68">
      <w:pPr>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color w:val="000000"/>
          <w:kern w:val="0"/>
          <w:lang w:val="es-CO" w:eastAsia="es-MX"/>
          <w14:ligatures w14:val="none"/>
        </w:rPr>
        <w:t>Atentamente,</w:t>
      </w:r>
    </w:p>
    <w:p w14:paraId="5822B102" w14:textId="77777777" w:rsidR="00722C68" w:rsidRPr="00722C68" w:rsidRDefault="00722C68" w:rsidP="00722C68">
      <w:pPr>
        <w:spacing w:after="240"/>
        <w:rPr>
          <w:rFonts w:ascii="Times New Roman" w:eastAsia="Times New Roman" w:hAnsi="Times New Roman" w:cs="Times New Roman"/>
          <w:kern w:val="0"/>
          <w:lang w:val="es-CO" w:eastAsia="es-MX"/>
          <w14:ligatures w14:val="none"/>
        </w:rPr>
      </w:pPr>
      <w:r w:rsidRPr="00722C68">
        <w:rPr>
          <w:rFonts w:ascii="Times New Roman" w:eastAsia="Times New Roman" w:hAnsi="Times New Roman" w:cs="Times New Roman"/>
          <w:kern w:val="0"/>
          <w:lang w:val="es-CO" w:eastAsia="es-MX"/>
          <w14:ligatures w14:val="none"/>
        </w:rPr>
        <w:lastRenderedPageBreak/>
        <w:br/>
      </w:r>
    </w:p>
    <w:p w14:paraId="45ED8F4A" w14:textId="77777777" w:rsidR="00722C68" w:rsidRPr="00722C68" w:rsidRDefault="00722C68" w:rsidP="00722C68">
      <w:pPr>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b/>
          <w:bCs/>
          <w:color w:val="000000"/>
          <w:kern w:val="0"/>
          <w:lang w:val="es-CO" w:eastAsia="es-MX"/>
          <w14:ligatures w14:val="none"/>
        </w:rPr>
        <w:t>INGRID CASTAÑEDA CEPEDA</w:t>
      </w:r>
    </w:p>
    <w:p w14:paraId="459EE37F" w14:textId="77777777" w:rsidR="00722C68" w:rsidRPr="00722C68" w:rsidRDefault="00722C68" w:rsidP="00722C68">
      <w:pPr>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color w:val="000000"/>
          <w:kern w:val="0"/>
          <w:lang w:val="es-CO" w:eastAsia="es-MX"/>
          <w14:ligatures w14:val="none"/>
        </w:rPr>
        <w:t>Subdirectora de Normativa y Doctrina (A)</w:t>
      </w:r>
    </w:p>
    <w:p w14:paraId="7B8A6243" w14:textId="77777777" w:rsidR="00722C68" w:rsidRPr="00722C68" w:rsidRDefault="00722C68" w:rsidP="00722C68">
      <w:pPr>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color w:val="000000"/>
          <w:kern w:val="0"/>
          <w:lang w:val="es-CO" w:eastAsia="es-MX"/>
          <w14:ligatures w14:val="none"/>
        </w:rPr>
        <w:t>Dirección de Gestión Jurídica</w:t>
      </w:r>
    </w:p>
    <w:p w14:paraId="06E8B076" w14:textId="77777777" w:rsidR="00722C68" w:rsidRPr="00722C68" w:rsidRDefault="00722C68" w:rsidP="00722C68">
      <w:pPr>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color w:val="000000"/>
          <w:kern w:val="0"/>
          <w:lang w:val="es-CO" w:eastAsia="es-MX"/>
          <w14:ligatures w14:val="none"/>
        </w:rPr>
        <w:t>U.A.E. Dirección de Impuestos y Aduanas Nacionales – DIAN</w:t>
      </w:r>
    </w:p>
    <w:p w14:paraId="27C6459B" w14:textId="77777777" w:rsidR="00722C68" w:rsidRPr="00722C68" w:rsidRDefault="00722C68" w:rsidP="00722C68">
      <w:pPr>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color w:val="000000"/>
          <w:kern w:val="0"/>
          <w:lang w:val="es-CO" w:eastAsia="es-MX"/>
          <w14:ligatures w14:val="none"/>
        </w:rPr>
        <w:t xml:space="preserve">Dirección: </w:t>
      </w:r>
      <w:proofErr w:type="spellStart"/>
      <w:r w:rsidRPr="00722C68">
        <w:rPr>
          <w:rFonts w:ascii="Verdana" w:eastAsia="Times New Roman" w:hAnsi="Verdana" w:cs="Times New Roman"/>
          <w:color w:val="000000"/>
          <w:kern w:val="0"/>
          <w:lang w:val="es-CO" w:eastAsia="es-MX"/>
          <w14:ligatures w14:val="none"/>
        </w:rPr>
        <w:t>Cra</w:t>
      </w:r>
      <w:proofErr w:type="spellEnd"/>
      <w:r w:rsidRPr="00722C68">
        <w:rPr>
          <w:rFonts w:ascii="Verdana" w:eastAsia="Times New Roman" w:hAnsi="Verdana" w:cs="Times New Roman"/>
          <w:color w:val="000000"/>
          <w:kern w:val="0"/>
          <w:lang w:val="es-CO" w:eastAsia="es-MX"/>
          <w14:ligatures w14:val="none"/>
        </w:rPr>
        <w:t>. 8 # 6C-38 Edificio San Agustín - Piso 4</w:t>
      </w:r>
    </w:p>
    <w:p w14:paraId="7C69219F" w14:textId="77777777" w:rsidR="00722C68" w:rsidRPr="00722C68" w:rsidRDefault="00722C68" w:rsidP="00722C68">
      <w:pPr>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color w:val="000000"/>
          <w:kern w:val="0"/>
          <w:lang w:val="es-CO" w:eastAsia="es-MX"/>
          <w14:ligatures w14:val="none"/>
        </w:rPr>
        <w:t>Bogotá, D.C.</w:t>
      </w:r>
    </w:p>
    <w:p w14:paraId="683BDA8D" w14:textId="77777777" w:rsidR="00722C68" w:rsidRPr="00722C68" w:rsidRDefault="00722C68" w:rsidP="00722C68">
      <w:pPr>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color w:val="000000"/>
          <w:kern w:val="0"/>
          <w:u w:val="single"/>
          <w:lang w:val="es-CO" w:eastAsia="es-MX"/>
          <w14:ligatures w14:val="none"/>
        </w:rPr>
        <w:t>www.dian.gov.co</w:t>
      </w:r>
    </w:p>
    <w:p w14:paraId="5B3C54EC" w14:textId="77777777" w:rsidR="00722C68" w:rsidRPr="00722C68" w:rsidRDefault="00722C68" w:rsidP="00722C68">
      <w:pPr>
        <w:rPr>
          <w:rFonts w:ascii="Times New Roman" w:eastAsia="Times New Roman" w:hAnsi="Times New Roman" w:cs="Times New Roman"/>
          <w:kern w:val="0"/>
          <w:lang w:val="es-CO" w:eastAsia="es-MX"/>
          <w14:ligatures w14:val="none"/>
        </w:rPr>
      </w:pPr>
    </w:p>
    <w:p w14:paraId="3492CBAF" w14:textId="77777777" w:rsidR="00722C68" w:rsidRPr="00722C68" w:rsidRDefault="00722C68" w:rsidP="00722C68">
      <w:pPr>
        <w:jc w:val="both"/>
        <w:rPr>
          <w:rFonts w:ascii="Times New Roman" w:eastAsia="Times New Roman" w:hAnsi="Times New Roman" w:cs="Times New Roman"/>
          <w:kern w:val="0"/>
          <w:lang w:val="es-CO" w:eastAsia="es-MX"/>
          <w14:ligatures w14:val="none"/>
        </w:rPr>
      </w:pPr>
      <w:r w:rsidRPr="00722C68">
        <w:rPr>
          <w:rFonts w:ascii="Verdana" w:eastAsia="Times New Roman" w:hAnsi="Verdana" w:cs="Times New Roman"/>
          <w:color w:val="000000"/>
          <w:kern w:val="0"/>
          <w:sz w:val="20"/>
          <w:szCs w:val="20"/>
          <w:lang w:val="es-CO" w:eastAsia="es-MX"/>
          <w14:ligatures w14:val="none"/>
        </w:rPr>
        <w:t>Con copia al peticionario del siguiente Radicado No. 0001065 - 2025DP000185816 de 26/07/2025</w:t>
      </w:r>
    </w:p>
    <w:p w14:paraId="7E9CCC44" w14:textId="77777777" w:rsidR="00722C68" w:rsidRPr="00722C68" w:rsidRDefault="00722C68" w:rsidP="00722C68">
      <w:pPr>
        <w:rPr>
          <w:rFonts w:ascii="Times New Roman" w:eastAsia="Times New Roman" w:hAnsi="Times New Roman" w:cs="Times New Roman"/>
          <w:kern w:val="0"/>
          <w:lang w:val="es-CO" w:eastAsia="es-MX"/>
          <w14:ligatures w14:val="none"/>
        </w:rPr>
      </w:pPr>
    </w:p>
    <w:p w14:paraId="4310A810" w14:textId="77777777" w:rsidR="00537D8F" w:rsidRPr="00722C68" w:rsidRDefault="00537D8F" w:rsidP="00722C68"/>
    <w:sectPr w:rsidR="00537D8F" w:rsidRPr="00722C68"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B0705"/>
    <w:multiLevelType w:val="multilevel"/>
    <w:tmpl w:val="F7F29D8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B74B59"/>
    <w:multiLevelType w:val="multilevel"/>
    <w:tmpl w:val="CECCE7F6"/>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893129A"/>
    <w:multiLevelType w:val="multilevel"/>
    <w:tmpl w:val="AC56D86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D2575E9"/>
    <w:multiLevelType w:val="multilevel"/>
    <w:tmpl w:val="752A3F10"/>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D995369"/>
    <w:multiLevelType w:val="multilevel"/>
    <w:tmpl w:val="708AF736"/>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21A3153"/>
    <w:multiLevelType w:val="multilevel"/>
    <w:tmpl w:val="0E4614E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6B70E81"/>
    <w:multiLevelType w:val="multilevel"/>
    <w:tmpl w:val="50FC2BDA"/>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85825B0"/>
    <w:multiLevelType w:val="multilevel"/>
    <w:tmpl w:val="34C03B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CF81B58"/>
    <w:multiLevelType w:val="multilevel"/>
    <w:tmpl w:val="44C4876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DB26B2A"/>
    <w:multiLevelType w:val="multilevel"/>
    <w:tmpl w:val="00CCF762"/>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F971CB7"/>
    <w:multiLevelType w:val="multilevel"/>
    <w:tmpl w:val="A34C02C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1920FCB"/>
    <w:multiLevelType w:val="multilevel"/>
    <w:tmpl w:val="0642919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5393053"/>
    <w:multiLevelType w:val="multilevel"/>
    <w:tmpl w:val="5DE4650A"/>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A924183"/>
    <w:multiLevelType w:val="multilevel"/>
    <w:tmpl w:val="174044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8147A4B"/>
    <w:multiLevelType w:val="multilevel"/>
    <w:tmpl w:val="C5781DAA"/>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9905885"/>
    <w:multiLevelType w:val="multilevel"/>
    <w:tmpl w:val="62641158"/>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B780392"/>
    <w:multiLevelType w:val="multilevel"/>
    <w:tmpl w:val="4B4E557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DBB41CD"/>
    <w:multiLevelType w:val="multilevel"/>
    <w:tmpl w:val="4F06E7B8"/>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0D7123C"/>
    <w:multiLevelType w:val="multilevel"/>
    <w:tmpl w:val="8AC63CA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5A3195A"/>
    <w:multiLevelType w:val="multilevel"/>
    <w:tmpl w:val="7586F09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B230E19"/>
    <w:multiLevelType w:val="multilevel"/>
    <w:tmpl w:val="ED1AB032"/>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CD81D2C"/>
    <w:multiLevelType w:val="multilevel"/>
    <w:tmpl w:val="A490A022"/>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DB53FA9"/>
    <w:multiLevelType w:val="multilevel"/>
    <w:tmpl w:val="E968E20E"/>
    <w:lvl w:ilvl="0">
      <w:start w:val="2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FC856D9"/>
    <w:multiLevelType w:val="multilevel"/>
    <w:tmpl w:val="FD38D3C8"/>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FF56441"/>
    <w:multiLevelType w:val="multilevel"/>
    <w:tmpl w:val="DFC8A1C8"/>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14E7E37"/>
    <w:multiLevelType w:val="multilevel"/>
    <w:tmpl w:val="BD12D2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46E78AE"/>
    <w:multiLevelType w:val="multilevel"/>
    <w:tmpl w:val="1206E554"/>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80E08D3"/>
    <w:multiLevelType w:val="multilevel"/>
    <w:tmpl w:val="84F8804E"/>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97860097">
    <w:abstractNumId w:val="13"/>
  </w:num>
  <w:num w:numId="2" w16cid:durableId="1159076383">
    <w:abstractNumId w:val="11"/>
    <w:lvlOverride w:ilvl="0">
      <w:lvl w:ilvl="0">
        <w:numFmt w:val="decimal"/>
        <w:lvlText w:val="%1."/>
        <w:lvlJc w:val="left"/>
      </w:lvl>
    </w:lvlOverride>
  </w:num>
  <w:num w:numId="3" w16cid:durableId="904998327">
    <w:abstractNumId w:val="16"/>
    <w:lvlOverride w:ilvl="0">
      <w:lvl w:ilvl="0">
        <w:numFmt w:val="decimal"/>
        <w:lvlText w:val="%1."/>
        <w:lvlJc w:val="left"/>
      </w:lvl>
    </w:lvlOverride>
  </w:num>
  <w:num w:numId="4" w16cid:durableId="93330686">
    <w:abstractNumId w:val="7"/>
    <w:lvlOverride w:ilvl="0">
      <w:lvl w:ilvl="0">
        <w:numFmt w:val="decimal"/>
        <w:lvlText w:val="%1."/>
        <w:lvlJc w:val="left"/>
      </w:lvl>
    </w:lvlOverride>
  </w:num>
  <w:num w:numId="5" w16cid:durableId="575475052">
    <w:abstractNumId w:val="25"/>
    <w:lvlOverride w:ilvl="0">
      <w:lvl w:ilvl="0">
        <w:numFmt w:val="decimal"/>
        <w:lvlText w:val="%1."/>
        <w:lvlJc w:val="left"/>
      </w:lvl>
    </w:lvlOverride>
  </w:num>
  <w:num w:numId="6" w16cid:durableId="1136027307">
    <w:abstractNumId w:val="10"/>
    <w:lvlOverride w:ilvl="0">
      <w:lvl w:ilvl="0">
        <w:numFmt w:val="decimal"/>
        <w:lvlText w:val="%1."/>
        <w:lvlJc w:val="left"/>
      </w:lvl>
    </w:lvlOverride>
  </w:num>
  <w:num w:numId="7" w16cid:durableId="1545868758">
    <w:abstractNumId w:val="8"/>
    <w:lvlOverride w:ilvl="0">
      <w:lvl w:ilvl="0">
        <w:numFmt w:val="decimal"/>
        <w:lvlText w:val="%1."/>
        <w:lvlJc w:val="left"/>
      </w:lvl>
    </w:lvlOverride>
  </w:num>
  <w:num w:numId="8" w16cid:durableId="1639459992">
    <w:abstractNumId w:val="18"/>
    <w:lvlOverride w:ilvl="0">
      <w:lvl w:ilvl="0">
        <w:numFmt w:val="decimal"/>
        <w:lvlText w:val="%1."/>
        <w:lvlJc w:val="left"/>
      </w:lvl>
    </w:lvlOverride>
  </w:num>
  <w:num w:numId="9" w16cid:durableId="1515992748">
    <w:abstractNumId w:val="19"/>
    <w:lvlOverride w:ilvl="0">
      <w:lvl w:ilvl="0">
        <w:numFmt w:val="decimal"/>
        <w:lvlText w:val="%1."/>
        <w:lvlJc w:val="left"/>
      </w:lvl>
    </w:lvlOverride>
  </w:num>
  <w:num w:numId="10" w16cid:durableId="1260406641">
    <w:abstractNumId w:val="2"/>
    <w:lvlOverride w:ilvl="0">
      <w:lvl w:ilvl="0">
        <w:numFmt w:val="decimal"/>
        <w:lvlText w:val="%1."/>
        <w:lvlJc w:val="left"/>
      </w:lvl>
    </w:lvlOverride>
  </w:num>
  <w:num w:numId="11" w16cid:durableId="946502985">
    <w:abstractNumId w:val="5"/>
    <w:lvlOverride w:ilvl="0">
      <w:lvl w:ilvl="0">
        <w:numFmt w:val="decimal"/>
        <w:lvlText w:val="%1."/>
        <w:lvlJc w:val="left"/>
      </w:lvl>
    </w:lvlOverride>
  </w:num>
  <w:num w:numId="12" w16cid:durableId="2056544075">
    <w:abstractNumId w:val="4"/>
    <w:lvlOverride w:ilvl="0">
      <w:lvl w:ilvl="0">
        <w:numFmt w:val="decimal"/>
        <w:lvlText w:val="%1."/>
        <w:lvlJc w:val="left"/>
      </w:lvl>
    </w:lvlOverride>
  </w:num>
  <w:num w:numId="13" w16cid:durableId="1108504063">
    <w:abstractNumId w:val="20"/>
    <w:lvlOverride w:ilvl="0">
      <w:lvl w:ilvl="0">
        <w:numFmt w:val="decimal"/>
        <w:lvlText w:val="%1."/>
        <w:lvlJc w:val="left"/>
      </w:lvl>
    </w:lvlOverride>
  </w:num>
  <w:num w:numId="14" w16cid:durableId="332226529">
    <w:abstractNumId w:val="6"/>
    <w:lvlOverride w:ilvl="0">
      <w:lvl w:ilvl="0">
        <w:numFmt w:val="decimal"/>
        <w:lvlText w:val="%1."/>
        <w:lvlJc w:val="left"/>
      </w:lvl>
    </w:lvlOverride>
  </w:num>
  <w:num w:numId="15" w16cid:durableId="2021538448">
    <w:abstractNumId w:val="21"/>
    <w:lvlOverride w:ilvl="0">
      <w:lvl w:ilvl="0">
        <w:numFmt w:val="decimal"/>
        <w:lvlText w:val="%1."/>
        <w:lvlJc w:val="left"/>
      </w:lvl>
    </w:lvlOverride>
  </w:num>
  <w:num w:numId="16" w16cid:durableId="746731809">
    <w:abstractNumId w:val="0"/>
    <w:lvlOverride w:ilvl="0">
      <w:lvl w:ilvl="0">
        <w:numFmt w:val="decimal"/>
        <w:lvlText w:val="%1."/>
        <w:lvlJc w:val="left"/>
      </w:lvl>
    </w:lvlOverride>
  </w:num>
  <w:num w:numId="17" w16cid:durableId="819611538">
    <w:abstractNumId w:val="23"/>
    <w:lvlOverride w:ilvl="0">
      <w:lvl w:ilvl="0">
        <w:numFmt w:val="decimal"/>
        <w:lvlText w:val="%1."/>
        <w:lvlJc w:val="left"/>
      </w:lvl>
    </w:lvlOverride>
  </w:num>
  <w:num w:numId="18" w16cid:durableId="1966695451">
    <w:abstractNumId w:val="14"/>
    <w:lvlOverride w:ilvl="0">
      <w:lvl w:ilvl="0">
        <w:numFmt w:val="decimal"/>
        <w:lvlText w:val="%1."/>
        <w:lvlJc w:val="left"/>
      </w:lvl>
    </w:lvlOverride>
  </w:num>
  <w:num w:numId="19" w16cid:durableId="61416138">
    <w:abstractNumId w:val="9"/>
    <w:lvlOverride w:ilvl="0">
      <w:lvl w:ilvl="0">
        <w:numFmt w:val="decimal"/>
        <w:lvlText w:val="%1."/>
        <w:lvlJc w:val="left"/>
      </w:lvl>
    </w:lvlOverride>
  </w:num>
  <w:num w:numId="20" w16cid:durableId="453133485">
    <w:abstractNumId w:val="24"/>
    <w:lvlOverride w:ilvl="0">
      <w:lvl w:ilvl="0">
        <w:numFmt w:val="decimal"/>
        <w:lvlText w:val="%1."/>
        <w:lvlJc w:val="left"/>
      </w:lvl>
    </w:lvlOverride>
  </w:num>
  <w:num w:numId="21" w16cid:durableId="1039286096">
    <w:abstractNumId w:val="26"/>
    <w:lvlOverride w:ilvl="0">
      <w:lvl w:ilvl="0">
        <w:numFmt w:val="decimal"/>
        <w:lvlText w:val="%1."/>
        <w:lvlJc w:val="left"/>
      </w:lvl>
    </w:lvlOverride>
  </w:num>
  <w:num w:numId="22" w16cid:durableId="1020279248">
    <w:abstractNumId w:val="17"/>
    <w:lvlOverride w:ilvl="0">
      <w:lvl w:ilvl="0">
        <w:numFmt w:val="decimal"/>
        <w:lvlText w:val="%1."/>
        <w:lvlJc w:val="left"/>
      </w:lvl>
    </w:lvlOverride>
  </w:num>
  <w:num w:numId="23" w16cid:durableId="771897946">
    <w:abstractNumId w:val="3"/>
    <w:lvlOverride w:ilvl="0">
      <w:lvl w:ilvl="0">
        <w:numFmt w:val="decimal"/>
        <w:lvlText w:val="%1."/>
        <w:lvlJc w:val="left"/>
      </w:lvl>
    </w:lvlOverride>
  </w:num>
  <w:num w:numId="24" w16cid:durableId="1427968709">
    <w:abstractNumId w:val="27"/>
    <w:lvlOverride w:ilvl="0">
      <w:lvl w:ilvl="0">
        <w:numFmt w:val="decimal"/>
        <w:lvlText w:val="%1."/>
        <w:lvlJc w:val="left"/>
      </w:lvl>
    </w:lvlOverride>
  </w:num>
  <w:num w:numId="25" w16cid:durableId="1405762114">
    <w:abstractNumId w:val="1"/>
    <w:lvlOverride w:ilvl="0">
      <w:lvl w:ilvl="0">
        <w:numFmt w:val="decimal"/>
        <w:lvlText w:val="%1."/>
        <w:lvlJc w:val="left"/>
      </w:lvl>
    </w:lvlOverride>
  </w:num>
  <w:num w:numId="26" w16cid:durableId="1548226908">
    <w:abstractNumId w:val="15"/>
    <w:lvlOverride w:ilvl="0">
      <w:lvl w:ilvl="0">
        <w:numFmt w:val="decimal"/>
        <w:lvlText w:val="%1."/>
        <w:lvlJc w:val="left"/>
      </w:lvl>
    </w:lvlOverride>
  </w:num>
  <w:num w:numId="27" w16cid:durableId="187989770">
    <w:abstractNumId w:val="12"/>
    <w:lvlOverride w:ilvl="0">
      <w:lvl w:ilvl="0">
        <w:numFmt w:val="decimal"/>
        <w:lvlText w:val="%1."/>
        <w:lvlJc w:val="left"/>
      </w:lvl>
    </w:lvlOverride>
  </w:num>
  <w:num w:numId="28" w16cid:durableId="115761386">
    <w:abstractNumId w:val="22"/>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2C68"/>
    <w:rsid w:val="000B2285"/>
    <w:rsid w:val="0044004F"/>
    <w:rsid w:val="00537D8F"/>
    <w:rsid w:val="00722C68"/>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7E3109B6"/>
  <w14:defaultImageDpi w14:val="32767"/>
  <w15:chartTrackingRefBased/>
  <w15:docId w15:val="{A38DE85D-9993-E644-A2C3-973115EDEA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22C6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722C6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722C6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722C6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722C6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722C68"/>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22C68"/>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22C68"/>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22C68"/>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22C6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722C6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722C6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722C6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722C6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722C6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22C6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22C6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22C68"/>
    <w:rPr>
      <w:rFonts w:eastAsiaTheme="majorEastAsia" w:cstheme="majorBidi"/>
      <w:color w:val="272727" w:themeColor="text1" w:themeTint="D8"/>
    </w:rPr>
  </w:style>
  <w:style w:type="paragraph" w:styleId="Ttulo">
    <w:name w:val="Title"/>
    <w:basedOn w:val="Normal"/>
    <w:next w:val="Normal"/>
    <w:link w:val="TtuloCar"/>
    <w:uiPriority w:val="10"/>
    <w:qFormat/>
    <w:rsid w:val="00722C68"/>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22C6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22C68"/>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22C6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22C68"/>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722C68"/>
    <w:rPr>
      <w:i/>
      <w:iCs/>
      <w:color w:val="404040" w:themeColor="text1" w:themeTint="BF"/>
    </w:rPr>
  </w:style>
  <w:style w:type="paragraph" w:styleId="Prrafodelista">
    <w:name w:val="List Paragraph"/>
    <w:basedOn w:val="Normal"/>
    <w:uiPriority w:val="34"/>
    <w:qFormat/>
    <w:rsid w:val="00722C68"/>
    <w:pPr>
      <w:ind w:left="720"/>
      <w:contextualSpacing/>
    </w:pPr>
  </w:style>
  <w:style w:type="character" w:styleId="nfasisintenso">
    <w:name w:val="Intense Emphasis"/>
    <w:basedOn w:val="Fuentedeprrafopredeter"/>
    <w:uiPriority w:val="21"/>
    <w:qFormat/>
    <w:rsid w:val="00722C68"/>
    <w:rPr>
      <w:i/>
      <w:iCs/>
      <w:color w:val="2F5496" w:themeColor="accent1" w:themeShade="BF"/>
    </w:rPr>
  </w:style>
  <w:style w:type="paragraph" w:styleId="Citadestacada">
    <w:name w:val="Intense Quote"/>
    <w:basedOn w:val="Normal"/>
    <w:next w:val="Normal"/>
    <w:link w:val="CitadestacadaCar"/>
    <w:uiPriority w:val="30"/>
    <w:qFormat/>
    <w:rsid w:val="00722C6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722C68"/>
    <w:rPr>
      <w:i/>
      <w:iCs/>
      <w:color w:val="2F5496" w:themeColor="accent1" w:themeShade="BF"/>
    </w:rPr>
  </w:style>
  <w:style w:type="character" w:styleId="Referenciaintensa">
    <w:name w:val="Intense Reference"/>
    <w:basedOn w:val="Fuentedeprrafopredeter"/>
    <w:uiPriority w:val="32"/>
    <w:qFormat/>
    <w:rsid w:val="00722C68"/>
    <w:rPr>
      <w:b/>
      <w:bCs/>
      <w:smallCaps/>
      <w:color w:val="2F5496" w:themeColor="accent1" w:themeShade="BF"/>
      <w:spacing w:val="5"/>
    </w:rPr>
  </w:style>
  <w:style w:type="paragraph" w:styleId="NormalWeb">
    <w:name w:val="Normal (Web)"/>
    <w:basedOn w:val="Normal"/>
    <w:uiPriority w:val="99"/>
    <w:semiHidden/>
    <w:unhideWhenUsed/>
    <w:rsid w:val="00722C68"/>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722C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1894</Words>
  <Characters>10422</Characters>
  <Application>Microsoft Office Word</Application>
  <DocSecurity>0</DocSecurity>
  <Lines>86</Lines>
  <Paragraphs>24</Paragraphs>
  <ScaleCrop>false</ScaleCrop>
  <Company/>
  <LinksUpToDate>false</LinksUpToDate>
  <CharactersWithSpaces>12292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2025-12-12T21:23:00Z</dcterms:created>
  <dcterms:modified xsi:type="dcterms:W3CDTF">2025-12-12T21:25:00Z</dcterms:modified>
</cp:coreProperties>
</file>