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4266A"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lang w:val="es-CO" w:eastAsia="es-MX"/>
          <w14:ligatures w14:val="none"/>
        </w:rPr>
        <w:t>DECRETO 1432 DEL 24 DE DICIEMBRE DE 2025</w:t>
      </w:r>
    </w:p>
    <w:p w14:paraId="32F2B402" w14:textId="77777777" w:rsidR="000406AC" w:rsidRPr="000406AC" w:rsidRDefault="000406AC" w:rsidP="000406AC">
      <w:pPr>
        <w:jc w:val="both"/>
        <w:outlineLvl w:val="0"/>
        <w:rPr>
          <w:rFonts w:ascii="Times New Roman" w:eastAsia="Times New Roman" w:hAnsi="Times New Roman" w:cs="Times New Roman"/>
          <w:b/>
          <w:bCs/>
          <w:kern w:val="36"/>
          <w:sz w:val="48"/>
          <w:szCs w:val="48"/>
          <w:lang w:val="es-CO" w:eastAsia="es-MX"/>
          <w14:ligatures w14:val="none"/>
        </w:rPr>
      </w:pPr>
      <w:r w:rsidRPr="000406AC">
        <w:rPr>
          <w:rFonts w:ascii="Verdana" w:eastAsia="Times New Roman" w:hAnsi="Verdana" w:cs="Times New Roman"/>
          <w:b/>
          <w:bCs/>
          <w:color w:val="000000"/>
          <w:kern w:val="36"/>
          <w:lang w:val="es-CO" w:eastAsia="es-MX"/>
          <w14:ligatures w14:val="none"/>
        </w:rPr>
        <w:t>MINISTERIO DE COMERCIO, INDUSTRIA Y TURISMO</w:t>
      </w:r>
    </w:p>
    <w:p w14:paraId="23F0822D"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5CBEBCD5"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i/>
          <w:iCs/>
          <w:color w:val="000000"/>
          <w:kern w:val="0"/>
          <w:lang w:val="es-CO" w:eastAsia="es-MX"/>
          <w14:ligatures w14:val="none"/>
        </w:rPr>
        <w:t xml:space="preserve">"Por el cual se modifica parcialmente el Arancel de Aduanas Nacionales para las importaciones de vehículos y motocicletas propulsadas por motores de combustión (gasolina </w:t>
      </w:r>
      <w:r w:rsidRPr="000406AC">
        <w:rPr>
          <w:rFonts w:ascii="Verdana" w:eastAsia="Times New Roman" w:hAnsi="Verdana" w:cs="Times New Roman"/>
          <w:color w:val="000000"/>
          <w:kern w:val="0"/>
          <w:lang w:val="es-CO" w:eastAsia="es-MX"/>
          <w14:ligatures w14:val="none"/>
        </w:rPr>
        <w:t xml:space="preserve">o </w:t>
      </w:r>
      <w:r w:rsidRPr="000406AC">
        <w:rPr>
          <w:rFonts w:ascii="Verdana" w:eastAsia="Times New Roman" w:hAnsi="Verdana" w:cs="Times New Roman"/>
          <w:i/>
          <w:iCs/>
          <w:color w:val="000000"/>
          <w:kern w:val="0"/>
          <w:lang w:val="es-CO" w:eastAsia="es-MX"/>
          <w14:ligatures w14:val="none"/>
        </w:rPr>
        <w:t>diésel)."</w:t>
      </w:r>
    </w:p>
    <w:p w14:paraId="1C5F11F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64121BA" w14:textId="77777777" w:rsidR="000406AC" w:rsidRPr="000406AC" w:rsidRDefault="000406AC" w:rsidP="000406AC">
      <w:pPr>
        <w:jc w:val="both"/>
        <w:outlineLvl w:val="0"/>
        <w:rPr>
          <w:rFonts w:ascii="Times New Roman" w:eastAsia="Times New Roman" w:hAnsi="Times New Roman" w:cs="Times New Roman"/>
          <w:b/>
          <w:bCs/>
          <w:kern w:val="36"/>
          <w:sz w:val="48"/>
          <w:szCs w:val="48"/>
          <w:lang w:val="es-CO" w:eastAsia="es-MX"/>
          <w14:ligatures w14:val="none"/>
        </w:rPr>
      </w:pPr>
      <w:r w:rsidRPr="000406AC">
        <w:rPr>
          <w:rFonts w:ascii="Verdana" w:eastAsia="Times New Roman" w:hAnsi="Verdana" w:cs="Times New Roman"/>
          <w:b/>
          <w:bCs/>
          <w:color w:val="000000"/>
          <w:kern w:val="36"/>
          <w:lang w:val="es-CO" w:eastAsia="es-MX"/>
          <w14:ligatures w14:val="none"/>
        </w:rPr>
        <w:t>EL PRESIDENTE DE LA REPÚBLICA DE COLOMBIA</w:t>
      </w:r>
    </w:p>
    <w:p w14:paraId="0BB78CC1"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1B9F73B9"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En ejercicio de sus facultades constitucionales y legales, en especial, las conferidas en el numeral 25 del artículo 189 de la Constitución Política, con sujeción a lo dispuesto en la Ley 7ª de 1991 y la Ley 1609 de 2013, y previa recomendación del Comité de Asuntos Aduaneros, Arancelarios y de Comercio Exterior conforme al Decreto 3303 de 2006, y</w:t>
      </w:r>
    </w:p>
    <w:p w14:paraId="4F274F1B"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3212A2EA" w14:textId="77777777" w:rsidR="000406AC" w:rsidRPr="000406AC" w:rsidRDefault="000406AC" w:rsidP="000406AC">
      <w:pPr>
        <w:jc w:val="both"/>
        <w:outlineLvl w:val="0"/>
        <w:rPr>
          <w:rFonts w:ascii="Times New Roman" w:eastAsia="Times New Roman" w:hAnsi="Times New Roman" w:cs="Times New Roman"/>
          <w:b/>
          <w:bCs/>
          <w:kern w:val="36"/>
          <w:sz w:val="48"/>
          <w:szCs w:val="48"/>
          <w:lang w:val="es-CO" w:eastAsia="es-MX"/>
          <w14:ligatures w14:val="none"/>
        </w:rPr>
      </w:pPr>
      <w:r w:rsidRPr="000406AC">
        <w:rPr>
          <w:rFonts w:ascii="Verdana" w:eastAsia="Times New Roman" w:hAnsi="Verdana" w:cs="Times New Roman"/>
          <w:b/>
          <w:bCs/>
          <w:color w:val="000000"/>
          <w:kern w:val="36"/>
          <w:lang w:val="es-CO" w:eastAsia="es-MX"/>
          <w14:ligatures w14:val="none"/>
        </w:rPr>
        <w:t>CONSIDERANDO:</w:t>
      </w:r>
    </w:p>
    <w:p w14:paraId="1000B843"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6A9A03C"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la Decisión 805 de la Comunidad Andina y demás normas concordantes sobre política arancelaria común facultan a los países miembros de la Comunidad Andina para adoptar modificaciones en materia arancelaria.</w:t>
      </w:r>
    </w:p>
    <w:p w14:paraId="3474D29F"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0C0F9C7"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 xml:space="preserve">Que de acuerdo con el numeral 25 del artículo 189 de la Constitución Política, le corresponde al Presidente de la República, entre otras, las funciones de </w:t>
      </w:r>
      <w:r w:rsidRPr="000406AC">
        <w:rPr>
          <w:rFonts w:ascii="Verdana" w:eastAsia="Times New Roman" w:hAnsi="Verdana" w:cs="Times New Roman"/>
          <w:i/>
          <w:iCs/>
          <w:color w:val="000000"/>
          <w:kern w:val="0"/>
          <w:lang w:val="es-CO" w:eastAsia="es-MX"/>
          <w14:ligatures w14:val="none"/>
        </w:rPr>
        <w:t xml:space="preserve">"Organizar el Crédito Público; reconocer la deuda nacional y arreglar su servicio; </w:t>
      </w:r>
      <w:r w:rsidRPr="000406AC">
        <w:rPr>
          <w:rFonts w:ascii="Verdana" w:eastAsia="Times New Roman" w:hAnsi="Verdana" w:cs="Times New Roman"/>
          <w:b/>
          <w:bCs/>
          <w:i/>
          <w:iCs/>
          <w:color w:val="000000"/>
          <w:kern w:val="0"/>
          <w:lang w:val="es-CO" w:eastAsia="es-MX"/>
          <w14:ligatures w14:val="none"/>
        </w:rPr>
        <w:t xml:space="preserve">modificar los aranceles, tarifas y demás disposiciones concernientes al régimen de aduanas; regular el comercio exterior; </w:t>
      </w:r>
      <w:r w:rsidRPr="000406AC">
        <w:rPr>
          <w:rFonts w:ascii="Verdana" w:eastAsia="Times New Roman" w:hAnsi="Verdana" w:cs="Times New Roman"/>
          <w:i/>
          <w:iCs/>
          <w:color w:val="000000"/>
          <w:kern w:val="0"/>
          <w:lang w:val="es-CO" w:eastAsia="es-MX"/>
          <w14:ligatures w14:val="none"/>
        </w:rPr>
        <w:t>y ejercer la intervención en las actividades financiera, bursátil, aseguradora y cualquier otra relacionada con el manejo, aprovechamiento e inversión de recursos provenientes del ahorro de terceros de acuerdo con la ley".</w:t>
      </w:r>
    </w:p>
    <w:p w14:paraId="063AFCDF"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003A59F"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la Ley 1609 de 2013 establece el marco regulatorio al cual debe sujetarse el Gobierno Nacional para la modificación de los aranceles, tarifas y demás disposiciones concernientes al régimen de aduanas.</w:t>
      </w:r>
    </w:p>
    <w:p w14:paraId="46F582FD"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53AF0B46"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mediante el Decreto 1881 del 30 de diciembre de 2021 se adoptó el Arancel de Aduanas que entró a regir a partir del 1° de enero de 2022.</w:t>
      </w:r>
    </w:p>
    <w:p w14:paraId="7D50591D"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E77A1D4"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 xml:space="preserve">Que uno de los ejes de transformación establecidos en el artículo 3 de la Ley 2294 de 2023 (Plan Nacional de Desarrollo 2022-2026, "Colombia Potencia Mundial de la Vida"), es la transformación productiva, internacionalización y acción climática que </w:t>
      </w:r>
      <w:r w:rsidRPr="000406AC">
        <w:rPr>
          <w:rFonts w:ascii="Verdana" w:eastAsia="Times New Roman" w:hAnsi="Verdana" w:cs="Times New Roman"/>
          <w:i/>
          <w:iCs/>
          <w:color w:val="000000"/>
          <w:kern w:val="0"/>
          <w:lang w:val="es-CO" w:eastAsia="es-MX"/>
          <w14:ligatures w14:val="none"/>
        </w:rPr>
        <w:t xml:space="preserve">"apunta </w:t>
      </w:r>
      <w:r w:rsidRPr="000406AC">
        <w:rPr>
          <w:rFonts w:ascii="Verdana" w:eastAsia="Times New Roman" w:hAnsi="Verdana" w:cs="Times New Roman"/>
          <w:color w:val="000000"/>
          <w:kern w:val="0"/>
          <w:lang w:val="es-CO" w:eastAsia="es-MX"/>
          <w14:ligatures w14:val="none"/>
        </w:rPr>
        <w:t xml:space="preserve">a </w:t>
      </w:r>
      <w:r w:rsidRPr="000406AC">
        <w:rPr>
          <w:rFonts w:ascii="Verdana" w:eastAsia="Times New Roman" w:hAnsi="Verdana" w:cs="Times New Roman"/>
          <w:i/>
          <w:iCs/>
          <w:color w:val="000000"/>
          <w:kern w:val="0"/>
          <w:lang w:val="es-CO" w:eastAsia="es-MX"/>
          <w14:ligatures w14:val="none"/>
        </w:rPr>
        <w:t xml:space="preserve">la diversificación de las actividades productivas que aprovechen el capital natural y profundicen en el uso de energías limpias, que sean intensivas en </w:t>
      </w:r>
      <w:r w:rsidRPr="000406AC">
        <w:rPr>
          <w:rFonts w:ascii="Verdana" w:eastAsia="Times New Roman" w:hAnsi="Verdana" w:cs="Times New Roman"/>
          <w:i/>
          <w:iCs/>
          <w:color w:val="000000"/>
          <w:kern w:val="0"/>
          <w:lang w:val="es-CO" w:eastAsia="es-MX"/>
          <w14:ligatures w14:val="none"/>
        </w:rPr>
        <w:lastRenderedPageBreak/>
        <w:t xml:space="preserve">conocimiento e innovación, que respeten y garanticen los derechos humanos, y que aporten </w:t>
      </w:r>
      <w:r w:rsidRPr="000406AC">
        <w:rPr>
          <w:rFonts w:ascii="Verdana" w:eastAsia="Times New Roman" w:hAnsi="Verdana" w:cs="Times New Roman"/>
          <w:color w:val="000000"/>
          <w:kern w:val="0"/>
          <w:lang w:val="es-CO" w:eastAsia="es-MX"/>
          <w14:ligatures w14:val="none"/>
        </w:rPr>
        <w:t xml:space="preserve">a </w:t>
      </w:r>
      <w:r w:rsidRPr="000406AC">
        <w:rPr>
          <w:rFonts w:ascii="Verdana" w:eastAsia="Times New Roman" w:hAnsi="Verdana" w:cs="Times New Roman"/>
          <w:i/>
          <w:iCs/>
          <w:color w:val="000000"/>
          <w:kern w:val="0"/>
          <w:lang w:val="es-CO" w:eastAsia="es-MX"/>
          <w14:ligatures w14:val="none"/>
        </w:rPr>
        <w:t xml:space="preserve">la construcción de la resiliencia ante los choques climáticos. Con ello, se espera una productividad que propicie el desarrollo sostenible y la competitividad del país, aumentando la riqueza al tiempo que es incluyente, </w:t>
      </w:r>
      <w:r w:rsidRPr="000406AC">
        <w:rPr>
          <w:rFonts w:ascii="Verdana" w:eastAsia="Times New Roman" w:hAnsi="Verdana" w:cs="Times New Roman"/>
          <w:b/>
          <w:bCs/>
          <w:i/>
          <w:iCs/>
          <w:color w:val="000000"/>
          <w:kern w:val="0"/>
          <w:lang w:val="es-CO" w:eastAsia="es-MX"/>
          <w14:ligatures w14:val="none"/>
        </w:rPr>
        <w:t xml:space="preserve">dejando atrás de manera progresiva la dependencia de actividades extractivas y dando paso </w:t>
      </w:r>
      <w:r w:rsidRPr="000406AC">
        <w:rPr>
          <w:rFonts w:ascii="Verdana" w:eastAsia="Times New Roman" w:hAnsi="Verdana" w:cs="Times New Roman"/>
          <w:b/>
          <w:bCs/>
          <w:color w:val="000000"/>
          <w:kern w:val="0"/>
          <w:lang w:val="es-CO" w:eastAsia="es-MX"/>
          <w14:ligatures w14:val="none"/>
        </w:rPr>
        <w:t xml:space="preserve">a </w:t>
      </w:r>
      <w:r w:rsidRPr="000406AC">
        <w:rPr>
          <w:rFonts w:ascii="Verdana" w:eastAsia="Times New Roman" w:hAnsi="Verdana" w:cs="Times New Roman"/>
          <w:b/>
          <w:bCs/>
          <w:i/>
          <w:iCs/>
          <w:color w:val="000000"/>
          <w:kern w:val="0"/>
          <w:lang w:val="es-CO" w:eastAsia="es-MX"/>
          <w14:ligatures w14:val="none"/>
        </w:rPr>
        <w:t>una economía reindustrializada con nuevos sectores soportados en las potencialidades territoriales en armonía con la naturaleza."</w:t>
      </w:r>
    </w:p>
    <w:p w14:paraId="1E87F1E6"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6057BAA7"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el Gobierno Nacional, a través de la Política Nacional de Reindustrialización (CONPES 4129), busca reducir la dependencia económica del petróleo y del carbón, al crear nuevas fuentes de producción de bienes y servicios que reconfigurarán la matriz productiva de la economía nacional.</w:t>
      </w:r>
    </w:p>
    <w:p w14:paraId="20A0780E"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472A6D54"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el objetivo principal de la Política Nacional de Reindustrialización, en línea con el Plan Nacional de Desarrollo 2022-2026, es transitar de una economía extractivista a una economía basada en el conocimiento y que sea productiva y sostenible.</w:t>
      </w:r>
    </w:p>
    <w:p w14:paraId="41B10ADA"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3FFA3725"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uno de los objetivos específicos de la Política Nacional de Reindustrialización es aumentar la diversificación y sofisticación de la matriz productiva colombiana, a través del fortalecimiento de las vocaciones productivas y de estándares de calidad para reducir su dependencia del sector minero energético y aumentar la oferta interna y exportable.</w:t>
      </w:r>
    </w:p>
    <w:p w14:paraId="7D225A22"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9E8C66F"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de la demanda energética en Colombia, el 95,9% se encuentra concentrada en el consumo de combustibles fósiles (petróleo, kerosene, gasolina y diésel), lo cual es preocupante, ya que existe incertidumbre sobre la disponibilidad de energéticos provenientes de fuentes fósiles, la volatilidad de los precios y el impacto negativo en el uso en el medio ambiente.</w:t>
      </w:r>
    </w:p>
    <w:p w14:paraId="6211625E"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4FF7AC61"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según un estudio realizado por la Agencia Internacional para la Investigación sobre Cáncer, los vehículos de diésel emiten humo y partículas contaminantes que tiene efectos cancerígenos en las personas.</w:t>
      </w:r>
    </w:p>
    <w:p w14:paraId="6B9CE53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7D128954"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 xml:space="preserve">Que los Sistemas de vigilancia y seguimiento de la calidad del aire (SVCA) y los inventarios de emisiones de contaminantes criterio realizados, las partículas relacionadas con los combustibles fósiles (Diésel y gasolina) son el contaminante que con mayor frecuencia excede la norma de calidad del aire. Su emisión se atribuye principalmente a vehículos diésel, así como el CN1, principal componente de las partículas finas PM2,5, emitidas </w:t>
      </w:r>
      <w:r w:rsidRPr="000406AC">
        <w:rPr>
          <w:rFonts w:ascii="Verdana" w:eastAsia="Times New Roman" w:hAnsi="Verdana" w:cs="Times New Roman"/>
          <w:color w:val="000000"/>
          <w:kern w:val="0"/>
          <w:lang w:val="es-CO" w:eastAsia="es-MX"/>
          <w14:ligatures w14:val="none"/>
        </w:rPr>
        <w:lastRenderedPageBreak/>
        <w:t>por el sector transporte, según estimaciones del Concejo Internacional del Transporte Limpio (ICCT por sus siglas en inglés) (ICCT, 2015).</w:t>
      </w:r>
    </w:p>
    <w:p w14:paraId="4B2B629C"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5A72E7B1"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en este contexto, es necesario incrementar los aranceles para la importación de los vehículos y motocicletas a combustión (con motor de embolo (pistón), de encendido por chispa o por compresión (diésel o semi-diésel), con el fin de fortalecer, proteger y promover la industria automotriz colombiana basada en tecnologías de energías limpias, así como los procesos de reindustrialización que se están gestando en este sector, la sofisticación y diversificación de la matriz productiva, el empleo calificado y los encadenamientos productivos.</w:t>
      </w:r>
    </w:p>
    <w:p w14:paraId="052F562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40902BE"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adicionalmente, la medida que se establece por medio del presente decreto tiene la finalidad de generar condiciones más favorables para la atracción de nuevas inversiones encaminadas a la producción y transformación tecnológica del sector automotor en el país.</w:t>
      </w:r>
    </w:p>
    <w:p w14:paraId="68BAEE11"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664BE11C"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de acuerdo con lo establecido por el artículo 2.2.5.1.2.2 del Decreto 1076 de 2015 la quema de combustibles fósiles utilizados por el parque automotor, es catalogada como una actividad contaminante.</w:t>
      </w:r>
    </w:p>
    <w:p w14:paraId="0807CE56"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E836095"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la medida que se establece por medio del presente decreto se encuentra en coherencia con la Estrategia Nacional de Transporte Sostenible adelantada por el Ministerio de Transporte.</w:t>
      </w:r>
    </w:p>
    <w:p w14:paraId="011CF57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4F01BF0E"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con el fin de armonizar los objetivos de la Política Nacional de Reindustrialización con los objetivos de política pública en materia medio ambiental, de movilidad sostenible y de transición energética, resulta útil el incremento de los aranceles para la importación de vehículos que generen mayores niveles de emisiones contaminantes.</w:t>
      </w:r>
    </w:p>
    <w:p w14:paraId="110B5A5A"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7B95DA9A"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Que el Comité de Asuntos Aduaneros, Arancelarios y de Comercio Exterior en su sesión 384 del 5 de noviembre de 2025, recomendó el incremento arancelario al 40% para las importaciones de vehículos propulsados por motores de combustión por gasolina o diésel identificados con la partida 8703 (13 subpartidas arancelarias) y al 35% para las importaciones de motocicletas propulsadas por motores de combustión por gasolina o diésel, identificadas con la partida 8711 (5 subpartidas arancelarias).</w:t>
      </w:r>
    </w:p>
    <w:p w14:paraId="3EF030B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1F89D68A"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 xml:space="preserve">Que de acuerdo con lo establecido en el parágrafo 2 del artículo 2º de la Ley 1609 de 2013, los decretos que se expidan en reglamentación de dicha ley, </w:t>
      </w:r>
      <w:r w:rsidRPr="000406AC">
        <w:rPr>
          <w:rFonts w:ascii="Verdana" w:eastAsia="Times New Roman" w:hAnsi="Verdana" w:cs="Times New Roman"/>
          <w:i/>
          <w:iCs/>
          <w:color w:val="000000"/>
          <w:kern w:val="0"/>
          <w:lang w:val="es-CO" w:eastAsia="es-MX"/>
          <w14:ligatures w14:val="none"/>
        </w:rPr>
        <w:t>"entrarán en vigor en un plazo no menor a quince (15) días comunes y no mayor a noventa (90) días comunes después de su publicación en el Diario Oficial'.</w:t>
      </w:r>
    </w:p>
    <w:p w14:paraId="05F841DB"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0031A3E"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lastRenderedPageBreak/>
        <w:t>Que para dar aplicación a lo dispuesto en el artículo 2.1.2.1.14. del Decreto 1081 de 2015, modificado por el artículo 2 del Decreto 1273 de 2020, el presente Decreto fue sometido a consulta de la ciudadanía por el término de quince (15) días, mediante su publicación en el sitio web del Ministerio de Comercio, Industria y Turismo, entre el 8 de noviembre de 2025 al 22 de noviembre de 2025 a efectos de garantizar la participación pública frente a los aspectos abordados en la normativa.</w:t>
      </w:r>
    </w:p>
    <w:p w14:paraId="32129264"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0D86E651"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En mérito de lo expuesto,</w:t>
      </w:r>
    </w:p>
    <w:p w14:paraId="0B3E58B1"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71DD38AB" w14:textId="77777777" w:rsidR="000406AC" w:rsidRPr="000406AC" w:rsidRDefault="000406AC" w:rsidP="000406AC">
      <w:pPr>
        <w:jc w:val="both"/>
        <w:outlineLvl w:val="0"/>
        <w:rPr>
          <w:rFonts w:ascii="Times New Roman" w:eastAsia="Times New Roman" w:hAnsi="Times New Roman" w:cs="Times New Roman"/>
          <w:b/>
          <w:bCs/>
          <w:kern w:val="36"/>
          <w:sz w:val="48"/>
          <w:szCs w:val="48"/>
          <w:lang w:val="es-CO" w:eastAsia="es-MX"/>
          <w14:ligatures w14:val="none"/>
        </w:rPr>
      </w:pPr>
      <w:r w:rsidRPr="000406AC">
        <w:rPr>
          <w:rFonts w:ascii="Verdana" w:eastAsia="Times New Roman" w:hAnsi="Verdana" w:cs="Times New Roman"/>
          <w:b/>
          <w:bCs/>
          <w:color w:val="000000"/>
          <w:kern w:val="36"/>
          <w:lang w:val="es-CO" w:eastAsia="es-MX"/>
          <w14:ligatures w14:val="none"/>
        </w:rPr>
        <w:t>DECRETA:</w:t>
      </w:r>
    </w:p>
    <w:p w14:paraId="4ED3E511"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32079B10"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lang w:val="es-CO" w:eastAsia="es-MX"/>
          <w14:ligatures w14:val="none"/>
        </w:rPr>
        <w:t xml:space="preserve">Artículo 1. </w:t>
      </w:r>
      <w:r w:rsidRPr="000406AC">
        <w:rPr>
          <w:rFonts w:ascii="Verdana" w:eastAsia="Times New Roman" w:hAnsi="Verdana" w:cs="Times New Roman"/>
          <w:color w:val="000000"/>
          <w:kern w:val="0"/>
          <w:lang w:val="es-CO" w:eastAsia="es-MX"/>
          <w14:ligatures w14:val="none"/>
        </w:rPr>
        <w:t>Modificar parcialmente el artículo 1º del Decreto 1881 del 30 de diciembre de 2021 en el sentido de establecer un gravamen arancelario del 40% para a las importaciones de las mercancías clasificadas bajo las siguientes subpartidas arancelarias:</w:t>
      </w:r>
    </w:p>
    <w:p w14:paraId="68D47F24" w14:textId="77777777" w:rsidR="000406AC" w:rsidRPr="000406AC" w:rsidRDefault="000406AC" w:rsidP="000406AC">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175"/>
        <w:gridCol w:w="1548"/>
      </w:tblGrid>
      <w:tr w:rsidR="000406AC" w:rsidRPr="000406AC" w14:paraId="2EB6A2E4"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B1E691C"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sz w:val="18"/>
                <w:szCs w:val="18"/>
                <w:lang w:val="es-CO" w:eastAsia="es-MX"/>
                <w14:ligatures w14:val="none"/>
              </w:rPr>
              <w:t>Subpartida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B339A1"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sz w:val="18"/>
                <w:szCs w:val="18"/>
                <w:lang w:val="es-CO" w:eastAsia="es-MX"/>
                <w14:ligatures w14:val="none"/>
              </w:rPr>
              <w:t>Gravamen (%)</w:t>
            </w:r>
          </w:p>
        </w:tc>
      </w:tr>
      <w:tr w:rsidR="000406AC" w:rsidRPr="000406AC" w14:paraId="47784695"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F93D0A8"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8703210090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4B88FFA"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614DCDCF"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C389705"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8703221090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206934D"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708139C6"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0DD5A11"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8703229090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D4E5D0"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22982603"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89244BC"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8703231090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63B80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63EBCBF0"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1F6F46A"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8703239090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0B709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4558556E"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7FBAA06"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8703241090</w:t>
            </w:r>
          </w:p>
        </w:tc>
        <w:tc>
          <w:tcPr>
            <w:tcW w:w="0" w:type="auto"/>
            <w:tcBorders>
              <w:top w:val="single" w:sz="4" w:space="0" w:color="000000"/>
              <w:left w:val="single" w:sz="4" w:space="0" w:color="000000"/>
              <w:bottom w:val="single" w:sz="4" w:space="0" w:color="000000"/>
            </w:tcBorders>
            <w:vAlign w:val="center"/>
            <w:hideMark/>
          </w:tcPr>
          <w:p w14:paraId="3CB6A157"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2D642006"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8D23A18"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8703249090</w:t>
            </w:r>
          </w:p>
        </w:tc>
        <w:tc>
          <w:tcPr>
            <w:tcW w:w="0" w:type="auto"/>
            <w:tcBorders>
              <w:top w:val="single" w:sz="4" w:space="0" w:color="000000"/>
              <w:left w:val="single" w:sz="4" w:space="0" w:color="000000"/>
              <w:bottom w:val="single" w:sz="4" w:space="0" w:color="000000"/>
            </w:tcBorders>
            <w:vAlign w:val="center"/>
            <w:hideMark/>
          </w:tcPr>
          <w:p w14:paraId="640BA274"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0620BCC1"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52D3E86"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8703311000</w:t>
            </w:r>
          </w:p>
        </w:tc>
        <w:tc>
          <w:tcPr>
            <w:tcW w:w="0" w:type="auto"/>
            <w:tcBorders>
              <w:top w:val="single" w:sz="4" w:space="0" w:color="000000"/>
              <w:left w:val="single" w:sz="4" w:space="0" w:color="000000"/>
              <w:bottom w:val="single" w:sz="4" w:space="0" w:color="000000"/>
            </w:tcBorders>
            <w:vAlign w:val="center"/>
            <w:hideMark/>
          </w:tcPr>
          <w:p w14:paraId="63C48B4C"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4C0502A8"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F5D8EF"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8703319000</w:t>
            </w:r>
          </w:p>
        </w:tc>
        <w:tc>
          <w:tcPr>
            <w:tcW w:w="0" w:type="auto"/>
            <w:tcBorders>
              <w:top w:val="single" w:sz="4" w:space="0" w:color="000000"/>
              <w:left w:val="single" w:sz="4" w:space="0" w:color="000000"/>
              <w:bottom w:val="single" w:sz="4" w:space="0" w:color="000000"/>
            </w:tcBorders>
            <w:vAlign w:val="center"/>
            <w:hideMark/>
          </w:tcPr>
          <w:p w14:paraId="629011BA"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5634E018" w14:textId="77777777">
        <w:trPr>
          <w:trHeight w:val="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743CB0F"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8703321000</w:t>
            </w:r>
          </w:p>
        </w:tc>
        <w:tc>
          <w:tcPr>
            <w:tcW w:w="0" w:type="auto"/>
            <w:tcBorders>
              <w:top w:val="single" w:sz="4" w:space="0" w:color="000000"/>
              <w:left w:val="single" w:sz="4" w:space="0" w:color="000000"/>
              <w:bottom w:val="single" w:sz="4" w:space="0" w:color="000000"/>
            </w:tcBorders>
            <w:vAlign w:val="center"/>
            <w:hideMark/>
          </w:tcPr>
          <w:p w14:paraId="7ED1EB17"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23E53C9F" w14:textId="77777777">
        <w:trPr>
          <w:trHeight w:val="20"/>
          <w:jc w:val="center"/>
        </w:trPr>
        <w:tc>
          <w:tcPr>
            <w:tcW w:w="0" w:type="auto"/>
            <w:tcBorders>
              <w:top w:val="single" w:sz="4" w:space="0" w:color="000000"/>
              <w:bottom w:val="single" w:sz="4" w:space="0" w:color="000000"/>
              <w:right w:val="single" w:sz="4" w:space="0" w:color="000000"/>
            </w:tcBorders>
            <w:vAlign w:val="center"/>
            <w:hideMark/>
          </w:tcPr>
          <w:p w14:paraId="4585D39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8703329000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13C7D0"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62AA9014" w14:textId="77777777">
        <w:trPr>
          <w:trHeight w:val="20"/>
          <w:jc w:val="center"/>
        </w:trPr>
        <w:tc>
          <w:tcPr>
            <w:tcW w:w="0" w:type="auto"/>
            <w:tcBorders>
              <w:top w:val="single" w:sz="4" w:space="0" w:color="000000"/>
              <w:bottom w:val="single" w:sz="4" w:space="0" w:color="000000"/>
              <w:right w:val="single" w:sz="4" w:space="0" w:color="000000"/>
            </w:tcBorders>
            <w:vAlign w:val="center"/>
            <w:hideMark/>
          </w:tcPr>
          <w:p w14:paraId="2C53733C"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8703331000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78859D"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r w:rsidR="000406AC" w:rsidRPr="000406AC" w14:paraId="6AA86986" w14:textId="77777777">
        <w:trPr>
          <w:trHeight w:val="20"/>
          <w:jc w:val="center"/>
        </w:trPr>
        <w:tc>
          <w:tcPr>
            <w:tcW w:w="0" w:type="auto"/>
            <w:tcBorders>
              <w:top w:val="single" w:sz="4" w:space="0" w:color="000000"/>
              <w:bottom w:val="single" w:sz="4" w:space="0" w:color="000000"/>
              <w:right w:val="single" w:sz="4" w:space="0" w:color="000000"/>
            </w:tcBorders>
            <w:vAlign w:val="center"/>
            <w:hideMark/>
          </w:tcPr>
          <w:p w14:paraId="44664A5F"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8703339000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3400910"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40</w:t>
            </w:r>
          </w:p>
        </w:tc>
      </w:tr>
    </w:tbl>
    <w:p w14:paraId="59E53B28"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4A1B4293"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lang w:val="es-CO" w:eastAsia="es-MX"/>
          <w14:ligatures w14:val="none"/>
        </w:rPr>
        <w:t xml:space="preserve">Artículo 2. </w:t>
      </w:r>
      <w:r w:rsidRPr="000406AC">
        <w:rPr>
          <w:rFonts w:ascii="Verdana" w:eastAsia="Times New Roman" w:hAnsi="Verdana" w:cs="Times New Roman"/>
          <w:color w:val="000000"/>
          <w:kern w:val="0"/>
          <w:lang w:val="es-CO" w:eastAsia="es-MX"/>
          <w14:ligatures w14:val="none"/>
        </w:rPr>
        <w:t>Modificar parcialmente el artículo 1º del Decreto 1881 del 30 de diciembre de 2021 en el sentido de establecer un gravamen arancelario del 35% para a las importaciones de las mercancías clasificadas bajo las siguientes subpartidas arancelarias:</w:t>
      </w:r>
    </w:p>
    <w:p w14:paraId="12D5E177" w14:textId="77777777" w:rsidR="000406AC" w:rsidRPr="000406AC" w:rsidRDefault="000406AC" w:rsidP="000406AC">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175"/>
        <w:gridCol w:w="1486"/>
      </w:tblGrid>
      <w:tr w:rsidR="000406AC" w:rsidRPr="000406AC" w14:paraId="757AF4A3"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2374076"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sz w:val="18"/>
                <w:szCs w:val="18"/>
                <w:lang w:val="es-CO" w:eastAsia="es-MX"/>
                <w14:ligatures w14:val="none"/>
              </w:rPr>
              <w:t>Subpartida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CB0CB7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sz w:val="18"/>
                <w:szCs w:val="18"/>
                <w:lang w:val="es-CO" w:eastAsia="es-MX"/>
                <w14:ligatures w14:val="none"/>
              </w:rPr>
              <w:t>Gravamen(%)</w:t>
            </w:r>
          </w:p>
        </w:tc>
      </w:tr>
      <w:tr w:rsidR="000406AC" w:rsidRPr="000406AC" w14:paraId="7BC81E1E"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90811F2"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8711100000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5A526A4"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35</w:t>
            </w:r>
          </w:p>
        </w:tc>
      </w:tr>
      <w:tr w:rsidR="000406AC" w:rsidRPr="000406AC" w14:paraId="23275D48"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7385C1C"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8711200000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83277B6"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35</w:t>
            </w:r>
          </w:p>
        </w:tc>
      </w:tr>
      <w:tr w:rsidR="000406AC" w:rsidRPr="000406AC" w14:paraId="1F2E20AC"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83256A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8711300000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E33AAD8"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35</w:t>
            </w:r>
          </w:p>
        </w:tc>
      </w:tr>
      <w:tr w:rsidR="000406AC" w:rsidRPr="000406AC" w14:paraId="67A4A8D9"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7A8383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8711400000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B820FCB"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35</w:t>
            </w:r>
          </w:p>
        </w:tc>
      </w:tr>
      <w:tr w:rsidR="000406AC" w:rsidRPr="000406AC" w14:paraId="03A23BF4"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2EE7F53"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8711500000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975B9D" w14:textId="77777777" w:rsidR="000406AC" w:rsidRPr="000406AC" w:rsidRDefault="000406AC" w:rsidP="000406AC">
            <w:pPr>
              <w:jc w:val="center"/>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sz w:val="18"/>
                <w:szCs w:val="18"/>
                <w:lang w:val="es-CO" w:eastAsia="es-MX"/>
                <w14:ligatures w14:val="none"/>
              </w:rPr>
              <w:t>35</w:t>
            </w:r>
          </w:p>
        </w:tc>
      </w:tr>
    </w:tbl>
    <w:p w14:paraId="01E2AFAD"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707A3484"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lang w:val="es-CO" w:eastAsia="es-MX"/>
          <w14:ligatures w14:val="none"/>
        </w:rPr>
        <w:t xml:space="preserve">Artículo 3. </w:t>
      </w:r>
      <w:r w:rsidRPr="000406AC">
        <w:rPr>
          <w:rFonts w:ascii="Verdana" w:eastAsia="Times New Roman" w:hAnsi="Verdana" w:cs="Times New Roman"/>
          <w:color w:val="000000"/>
          <w:kern w:val="0"/>
          <w:lang w:val="es-CO" w:eastAsia="es-MX"/>
          <w14:ligatures w14:val="none"/>
        </w:rPr>
        <w:t>La medida que se establece en el presente decreto se aplicará sin perjuicio de lo previsto en los tratados, convenios y acuerdos internacionales vigentes para Colombia en materia comercial.</w:t>
      </w:r>
    </w:p>
    <w:p w14:paraId="1B3D98C5"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51A6EA5"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b/>
          <w:bCs/>
          <w:color w:val="000000"/>
          <w:kern w:val="0"/>
          <w:lang w:val="es-CO" w:eastAsia="es-MX"/>
          <w14:ligatures w14:val="none"/>
        </w:rPr>
        <w:t xml:space="preserve">Artículo 4. </w:t>
      </w:r>
      <w:r w:rsidRPr="000406AC">
        <w:rPr>
          <w:rFonts w:ascii="Verdana" w:eastAsia="Times New Roman" w:hAnsi="Verdana" w:cs="Times New Roman"/>
          <w:color w:val="000000"/>
          <w:kern w:val="0"/>
          <w:lang w:val="es-CO" w:eastAsia="es-MX"/>
          <w14:ligatures w14:val="none"/>
        </w:rPr>
        <w:t>El presente Decreto entrará a regir transcurridos quince (15) días comunes después de su publicación en el Diario Oficial y modifica parcialmente el artículo 1º. del Decreto 1881 del 30 de diciembre de 2021.</w:t>
      </w:r>
    </w:p>
    <w:p w14:paraId="021388CF"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42743102"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PUBLÍQUESE Y CÚMPLASE,</w:t>
      </w:r>
    </w:p>
    <w:p w14:paraId="7E890253"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692B30DF"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Dado en Bogotá, D.C., a los 24 DIC 2025.</w:t>
      </w:r>
    </w:p>
    <w:p w14:paraId="38FECB7B"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21D0F9D0"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EL MINISTRO DE HACIENDA Y CRÉDITO PÚBLICO,</w:t>
      </w:r>
    </w:p>
    <w:p w14:paraId="690C6904"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GERMÁN ÁVILA PLAZAS</w:t>
      </w:r>
    </w:p>
    <w:p w14:paraId="1C25B119"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6D07BC1C"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LA MINISTRA DE COMERCIO, INDUSTRIA Y TURISMO,</w:t>
      </w:r>
    </w:p>
    <w:p w14:paraId="5CC86892" w14:textId="77777777" w:rsidR="000406AC" w:rsidRPr="000406AC" w:rsidRDefault="000406AC" w:rsidP="000406AC">
      <w:pPr>
        <w:jc w:val="both"/>
        <w:rPr>
          <w:rFonts w:ascii="Times New Roman" w:eastAsia="Times New Roman" w:hAnsi="Times New Roman" w:cs="Times New Roman"/>
          <w:kern w:val="0"/>
          <w:lang w:val="es-CO" w:eastAsia="es-MX"/>
          <w14:ligatures w14:val="none"/>
        </w:rPr>
      </w:pPr>
      <w:r w:rsidRPr="000406AC">
        <w:rPr>
          <w:rFonts w:ascii="Verdana" w:eastAsia="Times New Roman" w:hAnsi="Verdana" w:cs="Times New Roman"/>
          <w:color w:val="000000"/>
          <w:kern w:val="0"/>
          <w:lang w:val="es-CO" w:eastAsia="es-MX"/>
          <w14:ligatures w14:val="none"/>
        </w:rPr>
        <w:t>DIANA MARCELA MORALES ROJAS</w:t>
      </w:r>
    </w:p>
    <w:p w14:paraId="0F60802F" w14:textId="77777777" w:rsidR="000406AC" w:rsidRPr="000406AC" w:rsidRDefault="000406AC" w:rsidP="000406AC">
      <w:pPr>
        <w:rPr>
          <w:rFonts w:ascii="Times New Roman" w:eastAsia="Times New Roman" w:hAnsi="Times New Roman" w:cs="Times New Roman"/>
          <w:kern w:val="0"/>
          <w:lang w:val="es-CO" w:eastAsia="es-MX"/>
          <w14:ligatures w14:val="none"/>
        </w:rPr>
      </w:pPr>
    </w:p>
    <w:p w14:paraId="7F4AA16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6AC"/>
    <w:rsid w:val="000406AC"/>
    <w:rsid w:val="000B2285"/>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7060B01"/>
  <w14:defaultImageDpi w14:val="32767"/>
  <w15:chartTrackingRefBased/>
  <w15:docId w15:val="{891838F2-864B-324E-AF3D-26F13EB1F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406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406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406A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406A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406A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406A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406A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406A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406A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406A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406A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406A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406A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406A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406A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406A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406A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406AC"/>
    <w:rPr>
      <w:rFonts w:eastAsiaTheme="majorEastAsia" w:cstheme="majorBidi"/>
      <w:color w:val="272727" w:themeColor="text1" w:themeTint="D8"/>
    </w:rPr>
  </w:style>
  <w:style w:type="paragraph" w:styleId="Ttulo">
    <w:name w:val="Title"/>
    <w:basedOn w:val="Normal"/>
    <w:next w:val="Normal"/>
    <w:link w:val="TtuloCar"/>
    <w:uiPriority w:val="10"/>
    <w:qFormat/>
    <w:rsid w:val="000406A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406A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406A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406A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406A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406AC"/>
    <w:rPr>
      <w:i/>
      <w:iCs/>
      <w:color w:val="404040" w:themeColor="text1" w:themeTint="BF"/>
    </w:rPr>
  </w:style>
  <w:style w:type="paragraph" w:styleId="Prrafodelista">
    <w:name w:val="List Paragraph"/>
    <w:basedOn w:val="Normal"/>
    <w:uiPriority w:val="34"/>
    <w:qFormat/>
    <w:rsid w:val="000406AC"/>
    <w:pPr>
      <w:ind w:left="720"/>
      <w:contextualSpacing/>
    </w:pPr>
  </w:style>
  <w:style w:type="character" w:styleId="nfasisintenso">
    <w:name w:val="Intense Emphasis"/>
    <w:basedOn w:val="Fuentedeprrafopredeter"/>
    <w:uiPriority w:val="21"/>
    <w:qFormat/>
    <w:rsid w:val="000406AC"/>
    <w:rPr>
      <w:i/>
      <w:iCs/>
      <w:color w:val="2F5496" w:themeColor="accent1" w:themeShade="BF"/>
    </w:rPr>
  </w:style>
  <w:style w:type="paragraph" w:styleId="Citadestacada">
    <w:name w:val="Intense Quote"/>
    <w:basedOn w:val="Normal"/>
    <w:next w:val="Normal"/>
    <w:link w:val="CitadestacadaCar"/>
    <w:uiPriority w:val="30"/>
    <w:qFormat/>
    <w:rsid w:val="000406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406AC"/>
    <w:rPr>
      <w:i/>
      <w:iCs/>
      <w:color w:val="2F5496" w:themeColor="accent1" w:themeShade="BF"/>
    </w:rPr>
  </w:style>
  <w:style w:type="character" w:styleId="Referenciaintensa">
    <w:name w:val="Intense Reference"/>
    <w:basedOn w:val="Fuentedeprrafopredeter"/>
    <w:uiPriority w:val="32"/>
    <w:qFormat/>
    <w:rsid w:val="000406AC"/>
    <w:rPr>
      <w:b/>
      <w:bCs/>
      <w:smallCaps/>
      <w:color w:val="2F5496" w:themeColor="accent1" w:themeShade="BF"/>
      <w:spacing w:val="5"/>
    </w:rPr>
  </w:style>
  <w:style w:type="paragraph" w:styleId="NormalWeb">
    <w:name w:val="Normal (Web)"/>
    <w:basedOn w:val="Normal"/>
    <w:uiPriority w:val="99"/>
    <w:semiHidden/>
    <w:unhideWhenUsed/>
    <w:rsid w:val="000406AC"/>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1407</Words>
  <Characters>7743</Characters>
  <Application>Microsoft Office Word</Application>
  <DocSecurity>0</DocSecurity>
  <Lines>64</Lines>
  <Paragraphs>18</Paragraphs>
  <ScaleCrop>false</ScaleCrop>
  <Company/>
  <LinksUpToDate>false</LinksUpToDate>
  <CharactersWithSpaces>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2026-01-08T16:21:00Z</dcterms:created>
  <dcterms:modified xsi:type="dcterms:W3CDTF">2026-01-08T16:22:00Z</dcterms:modified>
</cp:coreProperties>
</file>