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81A06" w14:textId="599EAFDF"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b/>
          <w:bCs/>
          <w:color w:val="000000"/>
          <w:kern w:val="0"/>
          <w:lang w:val="es-CO" w:eastAsia="es-MX"/>
          <w14:ligatures w14:val="none"/>
        </w:rPr>
        <w:t>RESOLUCIÓN 38 DEL 5 DE ENERO DE 202</w:t>
      </w:r>
      <w:r w:rsidR="00470CF4">
        <w:rPr>
          <w:rFonts w:ascii="Verdana" w:eastAsia="Times New Roman" w:hAnsi="Verdana" w:cs="Times New Roman"/>
          <w:b/>
          <w:bCs/>
          <w:color w:val="000000"/>
          <w:kern w:val="0"/>
          <w:lang w:val="es-CO" w:eastAsia="es-MX"/>
          <w14:ligatures w14:val="none"/>
        </w:rPr>
        <w:t>6</w:t>
      </w:r>
    </w:p>
    <w:p w14:paraId="6B2B2F65"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b/>
          <w:bCs/>
          <w:color w:val="000000"/>
          <w:kern w:val="0"/>
          <w:lang w:val="es-CO" w:eastAsia="es-MX"/>
          <w14:ligatures w14:val="none"/>
        </w:rPr>
        <w:t>DIRECCIÓN DE IMPUESTOS Y ADUANAS NACIONALES</w:t>
      </w:r>
    </w:p>
    <w:p w14:paraId="72C62003"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35C709B4"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Por la cual se autoriza el uso de la firma mecánica para la suscripción de los documentos y certificaciones generados a través del Sistema de Registro Único de Personal --RUP</w:t>
      </w:r>
    </w:p>
    <w:p w14:paraId="2FCC068C"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4123FFA0"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b/>
          <w:bCs/>
          <w:color w:val="000000"/>
          <w:kern w:val="0"/>
          <w:lang w:val="es-CO" w:eastAsia="es-MX"/>
          <w14:ligatures w14:val="none"/>
        </w:rPr>
        <w:t>EL DIRECTOR GENERAL DE LA UNIDAD ADMINISTRATIVA ESPECIAL DIRECCIÓN DE IMPUESTOS Y ADUANAS NACIONALES – DIAN</w:t>
      </w:r>
    </w:p>
    <w:p w14:paraId="1D128401"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6A5EDCE6"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En uso de sus facultades legales y en especial las consagradas en los numerales 20 y 40 del artículo 8° y 80 del Decreto 1742 de 2020, y</w:t>
      </w:r>
    </w:p>
    <w:p w14:paraId="544D48C8"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33EE09B5"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b/>
          <w:bCs/>
          <w:color w:val="000000"/>
          <w:kern w:val="0"/>
          <w:lang w:val="es-CO" w:eastAsia="es-MX"/>
          <w14:ligatures w14:val="none"/>
        </w:rPr>
        <w:t>CONSIDERANDO</w:t>
      </w:r>
    </w:p>
    <w:p w14:paraId="4DF7318E"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1F34F565"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Que de conformidad con lo previsto en el artículo 209 de la Constitución Política de Colombia, en concordancia con el artículo 3º del Código de Procedimiento Administrativo y de lo Contencioso Administrativo, las actuaciones administrativas se desarrollaran con fundamento en los principios de economía, celeridad, eficacia, imparcialidad, publicidad y contradicción, entre otros. </w:t>
      </w:r>
    </w:p>
    <w:p w14:paraId="4DB6F13E"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7E51B149"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Que el artículo 12 del Decreto Ley 2150 de 1995 prescribe el uso de la firma mecánica en los siguientes términos: "Los jefes de las entidades que integran la Administración Pública, podrán hacer uso, bajo su responsabilidad, de la firma que procede de algún medio mecánico, tratándose de firmas masivas. En tal caso, previamente mediante acto administrativo de carácter general, deberá informar sobre el particular y sobre las características del medio mecánico". </w:t>
      </w:r>
    </w:p>
    <w:p w14:paraId="1F0B2E97"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0B070E15"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Que los literales a) y b), así como el parágrafo primero del artículo 19 de la Ley 594 de 2000, establecen que las entidades del Estado podrán incorporar tecnologías de avanzada en la administración y conservación de sus archivos, empleando cualquier medio técnico, electrónico, informático, óptico o telemático, siempre y cuando cumplan requisitos relacionados con la organización archivística de los documentos y estudios sobre conservación física, condiciones ambientales y operacionales, la seguridad, perdurabilidad y reproducción de la información contenida en estos soportes. Específicamente, la norma prevé que los documentos reproducidos por los citados medios gozarán de la validez y eficacia del documento original, siempre que se cumplan los requisitos exigidos por las leyes procesales y se garantice la autenticidad, integridad e inalterabilidad de la información. </w:t>
      </w:r>
    </w:p>
    <w:p w14:paraId="28B3EA16"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19281926"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lastRenderedPageBreak/>
        <w:t>Que la Ley 962 de 2005 sobre racionalización de trámites, en su artículo 6º establece los medios tecnológicos para que los organismos y entidades de la Administración Pública puedan atender los trámites y procedimientos de su competencia. </w:t>
      </w:r>
    </w:p>
    <w:p w14:paraId="32598166"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2EC6018B"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Que mediante el Decreto 17 42 de 2020 se creó la Subdirección de Gestión del Empleo Público y le asigna la función especificada en el numeral 14 del artículo 36 de "Conformar, actualizar y administrar las historias laborales de los servidores públicos que se vinculen a la DIAN, garantizar su integridad, custodia y reserva. Y expedir las certificaciones laborales, a través del medio tecnológico que se adopte para el efecto.</w:t>
      </w:r>
    </w:p>
    <w:p w14:paraId="7D360304"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1C1EA246"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Que la UAE Dirección de Impuestos y Aduanas Nacionales -DIAN-, dando aplicación a los pilares de transformación del talento humano, expide diferentes documentos y certificaciones derivados de la vinculación legal y reglamentaria en forma sistematizada, a través del Sistema de Registro único de Personal -RUP. </w:t>
      </w:r>
    </w:p>
    <w:p w14:paraId="5E44079B"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72E4BDA4"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Que el instrumento de firma mecánica se constituye en un mecanismo idóneo y seguro para generar documentos y certificaciones derivadas de la vinculación laboral y reglamentaria, toda vez que se emite a través de un sistema de información controlado, donde quedan los registros de auditoría (logs) necesarios para hacer la trazabilidad correspondiente a un documento expedido por el sistema y firmado mecánicamente por éste. </w:t>
      </w:r>
    </w:p>
    <w:p w14:paraId="4C4C31D7"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2220E949"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En mérito de lo anteriormente expuesto, este Despacho, </w:t>
      </w:r>
    </w:p>
    <w:p w14:paraId="63A269BD"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68BF57CA"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b/>
          <w:bCs/>
          <w:color w:val="000000"/>
          <w:kern w:val="0"/>
          <w:lang w:val="es-CO" w:eastAsia="es-MX"/>
          <w14:ligatures w14:val="none"/>
        </w:rPr>
        <w:t>RESUELVE </w:t>
      </w:r>
    </w:p>
    <w:p w14:paraId="0F97E250"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50D1C930"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b/>
          <w:bCs/>
          <w:color w:val="000000"/>
          <w:kern w:val="0"/>
          <w:lang w:val="es-CO" w:eastAsia="es-MX"/>
          <w14:ligatures w14:val="none"/>
        </w:rPr>
        <w:t xml:space="preserve">ARTÍCULO PRIMERO. </w:t>
      </w:r>
      <w:r w:rsidRPr="00BF316C">
        <w:rPr>
          <w:rFonts w:ascii="Verdana" w:eastAsia="Times New Roman" w:hAnsi="Verdana" w:cs="Times New Roman"/>
          <w:color w:val="000000"/>
          <w:kern w:val="0"/>
          <w:lang w:val="es-CO" w:eastAsia="es-MX"/>
          <w14:ligatures w14:val="none"/>
        </w:rPr>
        <w:t>Autorizar el uso de la firma mecánica a la funcionaria María Teresa López Peñuela en su calidad de Subdirectora de Gestión del Empleo Público (A) para utilizarla por medio mecánico en la expedición de los documentos y certificaciones generados a través del Sistema de Registro Único de Personal -RUP-, de conformidad con lo expuesto en la parte considerativa. </w:t>
      </w:r>
    </w:p>
    <w:p w14:paraId="1B202423"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3B170332"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b/>
          <w:bCs/>
          <w:color w:val="000000"/>
          <w:kern w:val="0"/>
          <w:lang w:val="es-CO" w:eastAsia="es-MX"/>
          <w14:ligatures w14:val="none"/>
        </w:rPr>
        <w:t>ARTÍCULO SEGUNDO.</w:t>
      </w:r>
      <w:r w:rsidRPr="00BF316C">
        <w:rPr>
          <w:rFonts w:ascii="Verdana" w:eastAsia="Times New Roman" w:hAnsi="Verdana" w:cs="Times New Roman"/>
          <w:color w:val="000000"/>
          <w:kern w:val="0"/>
          <w:lang w:val="es-CO" w:eastAsia="es-MX"/>
          <w14:ligatures w14:val="none"/>
        </w:rPr>
        <w:t xml:space="preserve"> La firma mecánica que se plasmará en las diferentes documentos y certificaciones generados en forma sistematizada a través del Sistema de Registro Único de Personal -RUP, corresponderá a un facsímil con la imagen de la firma de la Subdirectora, reproducida mediante medios computarizados, la cual se acompañará del nombre y respectivo cargo. </w:t>
      </w:r>
    </w:p>
    <w:p w14:paraId="7CE25CA4"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13090AB9"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lastRenderedPageBreak/>
        <w:t>La firma mecánica corresponderá a la reproducción fiel de la firma manuscrita aquí impuesta:</w:t>
      </w:r>
    </w:p>
    <w:p w14:paraId="5CED1A85"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0F1F4CD1" w14:textId="76DB5D68"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noProof/>
          <w:color w:val="000000"/>
          <w:kern w:val="0"/>
          <w:bdr w:val="none" w:sz="0" w:space="0" w:color="auto" w:frame="1"/>
          <w:lang w:val="es-CO" w:eastAsia="es-MX"/>
          <w14:ligatures w14:val="none"/>
        </w:rPr>
        <w:drawing>
          <wp:inline distT="0" distB="0" distL="0" distR="0" wp14:anchorId="121BA510" wp14:editId="6C2F8A59">
            <wp:extent cx="3513455" cy="1145540"/>
            <wp:effectExtent l="0" t="0" r="4445" b="0"/>
            <wp:docPr id="1130100714"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 Carta&#10;&#10;El contenido generado por IA puede ser incorrect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13455" cy="1145540"/>
                    </a:xfrm>
                    <a:prstGeom prst="rect">
                      <a:avLst/>
                    </a:prstGeom>
                    <a:noFill/>
                    <a:ln>
                      <a:noFill/>
                    </a:ln>
                  </pic:spPr>
                </pic:pic>
              </a:graphicData>
            </a:graphic>
          </wp:inline>
        </w:drawing>
      </w:r>
    </w:p>
    <w:p w14:paraId="3ED2A200"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319DBD0E"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b/>
          <w:bCs/>
          <w:color w:val="000000"/>
          <w:kern w:val="0"/>
          <w:lang w:val="es-CO" w:eastAsia="es-MX"/>
          <w14:ligatures w14:val="none"/>
        </w:rPr>
        <w:t>ARTÍCULO TERCERO</w:t>
      </w:r>
      <w:r w:rsidRPr="00BF316C">
        <w:rPr>
          <w:rFonts w:ascii="Verdana" w:eastAsia="Times New Roman" w:hAnsi="Verdana" w:cs="Times New Roman"/>
          <w:color w:val="000000"/>
          <w:kern w:val="0"/>
          <w:lang w:val="es-CO" w:eastAsia="es-MX"/>
          <w14:ligatures w14:val="none"/>
        </w:rPr>
        <w:t>. Cualquier modificación o alteración al contenido de los documentos y certificaciones generados de manera sistematizada a través del Sistema de Registro Único de Persona-RUP, generará la pérdida de autenticidad de éstos y dará lugar a las actuaciones administrativas correspondientes. </w:t>
      </w:r>
    </w:p>
    <w:p w14:paraId="0B6AA0E0"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14AA5C3D"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b/>
          <w:bCs/>
          <w:color w:val="000000"/>
          <w:kern w:val="0"/>
          <w:lang w:val="es-CO" w:eastAsia="es-MX"/>
          <w14:ligatures w14:val="none"/>
        </w:rPr>
        <w:t>ARTÍCULO CUARTO.</w:t>
      </w:r>
      <w:r w:rsidRPr="00BF316C">
        <w:rPr>
          <w:rFonts w:ascii="Verdana" w:eastAsia="Times New Roman" w:hAnsi="Verdana" w:cs="Times New Roman"/>
          <w:color w:val="000000"/>
          <w:kern w:val="0"/>
          <w:lang w:val="es-CO" w:eastAsia="es-MX"/>
          <w14:ligatures w14:val="none"/>
        </w:rPr>
        <w:t xml:space="preserve"> La firma mecánica aquí autorizada deberá estar implementada en el Sistema de Registro Único de Personal -RUP- de la Entidad, bajo los parámetros de seguridad del sistema, será archivada en el servidor de aplicaciones que es administrado por la Dirección de Gestión de Innovación y Tecnología, el cual garantizará su uso de acuerdo con las políticas de seguridad de la </w:t>
      </w:r>
    </w:p>
    <w:p w14:paraId="66A13FBD"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información establecidas.</w:t>
      </w:r>
    </w:p>
    <w:p w14:paraId="53171C9C"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38B17C8A"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b/>
          <w:bCs/>
          <w:color w:val="000000"/>
          <w:kern w:val="0"/>
          <w:lang w:val="es-CO" w:eastAsia="es-MX"/>
          <w14:ligatures w14:val="none"/>
        </w:rPr>
        <w:t>ARTÍCULO QUINTO. Vigencia y derogatoria.</w:t>
      </w:r>
      <w:r w:rsidRPr="00BF316C">
        <w:rPr>
          <w:rFonts w:ascii="Verdana" w:eastAsia="Times New Roman" w:hAnsi="Verdana" w:cs="Times New Roman"/>
          <w:color w:val="000000"/>
          <w:kern w:val="0"/>
          <w:lang w:val="es-CO" w:eastAsia="es-MX"/>
          <w14:ligatures w14:val="none"/>
        </w:rPr>
        <w:t xml:space="preserve"> La presente Resolución rige a partir de su publicación en la página WEB de la entidad y deroga la Resolución No. 008745 del 4 de agosto de 2025.</w:t>
      </w:r>
    </w:p>
    <w:p w14:paraId="0C039B3E"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01675C97"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PUBLÍQUESE Y CÚMPLASE</w:t>
      </w:r>
    </w:p>
    <w:p w14:paraId="7557AFC5"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3FFF0B22"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Dada en Bogotá D.C., a 05 ENE 2026.</w:t>
      </w:r>
    </w:p>
    <w:p w14:paraId="365AF23E"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5A0BF4A9"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b/>
          <w:bCs/>
          <w:color w:val="000000"/>
          <w:kern w:val="0"/>
          <w:lang w:val="es-CO" w:eastAsia="es-MX"/>
          <w14:ligatures w14:val="none"/>
        </w:rPr>
        <w:t>CARLOS EMILIO BETANCOURT GALEANO</w:t>
      </w:r>
    </w:p>
    <w:p w14:paraId="17B5E3D2" w14:textId="77777777" w:rsidR="00BF316C" w:rsidRPr="00BF316C" w:rsidRDefault="00BF316C" w:rsidP="00BF316C">
      <w:pPr>
        <w:jc w:val="both"/>
        <w:rPr>
          <w:rFonts w:ascii="Times New Roman" w:eastAsia="Times New Roman" w:hAnsi="Times New Roman" w:cs="Times New Roman"/>
          <w:kern w:val="0"/>
          <w:lang w:val="es-CO" w:eastAsia="es-MX"/>
          <w14:ligatures w14:val="none"/>
        </w:rPr>
      </w:pPr>
      <w:r w:rsidRPr="00BF316C">
        <w:rPr>
          <w:rFonts w:ascii="Verdana" w:eastAsia="Times New Roman" w:hAnsi="Verdana" w:cs="Times New Roman"/>
          <w:color w:val="000000"/>
          <w:kern w:val="0"/>
          <w:lang w:val="es-CO" w:eastAsia="es-MX"/>
          <w14:ligatures w14:val="none"/>
        </w:rPr>
        <w:t>Director General</w:t>
      </w:r>
    </w:p>
    <w:p w14:paraId="37F19C66" w14:textId="77777777" w:rsidR="00BF316C" w:rsidRPr="00BF316C" w:rsidRDefault="00BF316C" w:rsidP="00BF316C">
      <w:pPr>
        <w:rPr>
          <w:rFonts w:ascii="Times New Roman" w:eastAsia="Times New Roman" w:hAnsi="Times New Roman" w:cs="Times New Roman"/>
          <w:kern w:val="0"/>
          <w:lang w:val="es-CO" w:eastAsia="es-MX"/>
          <w14:ligatures w14:val="none"/>
        </w:rPr>
      </w:pPr>
    </w:p>
    <w:p w14:paraId="01CCBC4D"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16C"/>
    <w:rsid w:val="00093FDB"/>
    <w:rsid w:val="000B2285"/>
    <w:rsid w:val="00470CF4"/>
    <w:rsid w:val="00537D8F"/>
    <w:rsid w:val="008C61E1"/>
    <w:rsid w:val="00B83A7B"/>
    <w:rsid w:val="00BF316C"/>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E8E97"/>
  <w14:defaultImageDpi w14:val="32767"/>
  <w15:chartTrackingRefBased/>
  <w15:docId w15:val="{BDC22714-9BE1-CA41-8AB4-B090BFBC6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F316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F316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F316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F316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F316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F316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F316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F316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F316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F316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F316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F316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F316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F316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F316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F316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F316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F316C"/>
    <w:rPr>
      <w:rFonts w:eastAsiaTheme="majorEastAsia" w:cstheme="majorBidi"/>
      <w:color w:val="272727" w:themeColor="text1" w:themeTint="D8"/>
    </w:rPr>
  </w:style>
  <w:style w:type="paragraph" w:styleId="Ttulo">
    <w:name w:val="Title"/>
    <w:basedOn w:val="Normal"/>
    <w:next w:val="Normal"/>
    <w:link w:val="TtuloCar"/>
    <w:uiPriority w:val="10"/>
    <w:qFormat/>
    <w:rsid w:val="00BF316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F316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F316C"/>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F316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F316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F316C"/>
    <w:rPr>
      <w:i/>
      <w:iCs/>
      <w:color w:val="404040" w:themeColor="text1" w:themeTint="BF"/>
    </w:rPr>
  </w:style>
  <w:style w:type="paragraph" w:styleId="Prrafodelista">
    <w:name w:val="List Paragraph"/>
    <w:basedOn w:val="Normal"/>
    <w:uiPriority w:val="34"/>
    <w:qFormat/>
    <w:rsid w:val="00BF316C"/>
    <w:pPr>
      <w:ind w:left="720"/>
      <w:contextualSpacing/>
    </w:pPr>
  </w:style>
  <w:style w:type="character" w:styleId="nfasisintenso">
    <w:name w:val="Intense Emphasis"/>
    <w:basedOn w:val="Fuentedeprrafopredeter"/>
    <w:uiPriority w:val="21"/>
    <w:qFormat/>
    <w:rsid w:val="00BF316C"/>
    <w:rPr>
      <w:i/>
      <w:iCs/>
      <w:color w:val="2F5496" w:themeColor="accent1" w:themeShade="BF"/>
    </w:rPr>
  </w:style>
  <w:style w:type="paragraph" w:styleId="Citadestacada">
    <w:name w:val="Intense Quote"/>
    <w:basedOn w:val="Normal"/>
    <w:next w:val="Normal"/>
    <w:link w:val="CitadestacadaCar"/>
    <w:uiPriority w:val="30"/>
    <w:qFormat/>
    <w:rsid w:val="00BF316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F316C"/>
    <w:rPr>
      <w:i/>
      <w:iCs/>
      <w:color w:val="2F5496" w:themeColor="accent1" w:themeShade="BF"/>
    </w:rPr>
  </w:style>
  <w:style w:type="character" w:styleId="Referenciaintensa">
    <w:name w:val="Intense Reference"/>
    <w:basedOn w:val="Fuentedeprrafopredeter"/>
    <w:uiPriority w:val="32"/>
    <w:qFormat/>
    <w:rsid w:val="00BF316C"/>
    <w:rPr>
      <w:b/>
      <w:bCs/>
      <w:smallCaps/>
      <w:color w:val="2F5496" w:themeColor="accent1" w:themeShade="BF"/>
      <w:spacing w:val="5"/>
    </w:rPr>
  </w:style>
  <w:style w:type="paragraph" w:styleId="NormalWeb">
    <w:name w:val="Normal (Web)"/>
    <w:basedOn w:val="Normal"/>
    <w:uiPriority w:val="99"/>
    <w:semiHidden/>
    <w:unhideWhenUsed/>
    <w:rsid w:val="00BF316C"/>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855</Words>
  <Characters>4724</Characters>
  <Application>Microsoft Office Word</Application>
  <DocSecurity>0</DocSecurity>
  <Lines>112</Lines>
  <Paragraphs>48</Paragraphs>
  <ScaleCrop>false</ScaleCrop>
  <Company/>
  <LinksUpToDate>false</LinksUpToDate>
  <CharactersWithSpaces>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Alejandro Delgado</cp:lastModifiedBy>
  <cp:revision>2</cp:revision>
  <dcterms:created xsi:type="dcterms:W3CDTF">2026-01-08T16:23:00Z</dcterms:created>
  <dcterms:modified xsi:type="dcterms:W3CDTF">2026-01-14T14:32:00Z</dcterms:modified>
</cp:coreProperties>
</file>