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C7ECA"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b/>
          <w:bCs/>
          <w:color w:val="000000"/>
          <w:kern w:val="0"/>
          <w:lang w:val="es-CO" w:eastAsia="es-MX"/>
          <w14:ligatures w14:val="none"/>
        </w:rPr>
        <w:t>CONCEPTO DIAN 24 DEL 6 DE ENERO DE 2026</w:t>
      </w:r>
    </w:p>
    <w:p w14:paraId="63E8F6FB"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b/>
          <w:bCs/>
          <w:color w:val="000000"/>
          <w:kern w:val="0"/>
          <w:lang w:val="es-CO" w:eastAsia="es-MX"/>
          <w14:ligatures w14:val="none"/>
        </w:rPr>
        <w:t>DIRECCIÓN DE IMPUESTOS Y ADUANAS NACIONALES</w:t>
      </w:r>
    </w:p>
    <w:p w14:paraId="7B57DA44" w14:textId="77777777" w:rsidR="00332FA7" w:rsidRPr="00332FA7" w:rsidRDefault="00332FA7" w:rsidP="00332FA7">
      <w:pPr>
        <w:rPr>
          <w:rFonts w:ascii="Times New Roman" w:eastAsia="Times New Roman" w:hAnsi="Times New Roman" w:cs="Times New Roman"/>
          <w:kern w:val="0"/>
          <w:lang w:val="es-CO" w:eastAsia="es-MX"/>
          <w14:ligatures w14:val="none"/>
        </w:rPr>
      </w:pPr>
    </w:p>
    <w:p w14:paraId="745D4FCC"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color w:val="000000"/>
          <w:kern w:val="0"/>
          <w:lang w:val="es-CO" w:eastAsia="es-MX"/>
          <w14:ligatures w14:val="none"/>
        </w:rPr>
        <w:t>Bogotá, D.C.,</w:t>
      </w:r>
    </w:p>
    <w:p w14:paraId="3ACB30EF" w14:textId="77777777" w:rsidR="00332FA7" w:rsidRPr="00332FA7" w:rsidRDefault="00332FA7" w:rsidP="00332FA7">
      <w:pPr>
        <w:rPr>
          <w:rFonts w:ascii="Times New Roman" w:eastAsia="Times New Roman" w:hAnsi="Times New Roman" w:cs="Times New Roman"/>
          <w:kern w:val="0"/>
          <w:lang w:val="es-CO" w:eastAsia="es-MX"/>
          <w14:ligatures w14:val="none"/>
        </w:rPr>
      </w:pPr>
    </w:p>
    <w:p w14:paraId="202102FD"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color w:val="000000"/>
          <w:kern w:val="0"/>
          <w:lang w:val="es-CO" w:eastAsia="es-MX"/>
          <w14:ligatures w14:val="none"/>
        </w:rPr>
        <w:t>Cordial saludo.</w:t>
      </w:r>
    </w:p>
    <w:p w14:paraId="2D7C664C" w14:textId="77777777" w:rsidR="00332FA7" w:rsidRPr="00332FA7" w:rsidRDefault="00332FA7" w:rsidP="00332FA7">
      <w:pPr>
        <w:rPr>
          <w:rFonts w:ascii="Times New Roman" w:eastAsia="Times New Roman" w:hAnsi="Times New Roman" w:cs="Times New Roman"/>
          <w:kern w:val="0"/>
          <w:lang w:val="es-CO" w:eastAsia="es-MX"/>
          <w14:ligatures w14:val="none"/>
        </w:rPr>
      </w:pPr>
      <w:r w:rsidRPr="00332FA7">
        <w:rPr>
          <w:rFonts w:ascii="Times New Roman" w:eastAsia="Times New Roman" w:hAnsi="Times New Roman" w:cs="Times New Roman"/>
          <w:kern w:val="0"/>
          <w:lang w:val="es-CO" w:eastAsia="es-MX"/>
          <w14:ligatures w14:val="none"/>
        </w:rPr>
        <w:br/>
      </w:r>
    </w:p>
    <w:p w14:paraId="186D48E7" w14:textId="77777777" w:rsidR="00332FA7" w:rsidRPr="00332FA7" w:rsidRDefault="00332FA7" w:rsidP="00332FA7">
      <w:pPr>
        <w:numPr>
          <w:ilvl w:val="0"/>
          <w:numId w:val="1"/>
        </w:numPr>
        <w:jc w:val="both"/>
        <w:textAlignment w:val="baseline"/>
        <w:rPr>
          <w:rFonts w:ascii="Verdana" w:eastAsia="Times New Roman" w:hAnsi="Verdana" w:cs="Times New Roman"/>
          <w:color w:val="000000"/>
          <w:kern w:val="0"/>
          <w:lang w:val="es-CO" w:eastAsia="es-MX"/>
          <w14:ligatures w14:val="none"/>
        </w:rPr>
      </w:pPr>
      <w:r w:rsidRPr="00332FA7">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339290D9" w14:textId="77777777" w:rsidR="00332FA7" w:rsidRPr="00332FA7" w:rsidRDefault="00332FA7" w:rsidP="00332FA7">
      <w:pPr>
        <w:rPr>
          <w:rFonts w:ascii="Times New Roman" w:eastAsia="Times New Roman" w:hAnsi="Times New Roman" w:cs="Times New Roman"/>
          <w:kern w:val="0"/>
          <w:lang w:val="es-CO" w:eastAsia="es-MX"/>
          <w14:ligatures w14:val="none"/>
        </w:rPr>
      </w:pPr>
      <w:r w:rsidRPr="00332FA7">
        <w:rPr>
          <w:rFonts w:ascii="Times New Roman" w:eastAsia="Times New Roman" w:hAnsi="Times New Roman" w:cs="Times New Roman"/>
          <w:kern w:val="0"/>
          <w:lang w:val="es-CO" w:eastAsia="es-MX"/>
          <w14:ligatures w14:val="none"/>
        </w:rPr>
        <w:br/>
      </w:r>
    </w:p>
    <w:p w14:paraId="18CBA0E3" w14:textId="77777777" w:rsidR="00332FA7" w:rsidRPr="00332FA7" w:rsidRDefault="00332FA7" w:rsidP="00332FA7">
      <w:pPr>
        <w:numPr>
          <w:ilvl w:val="0"/>
          <w:numId w:val="2"/>
        </w:numPr>
        <w:jc w:val="both"/>
        <w:textAlignment w:val="baseline"/>
        <w:rPr>
          <w:rFonts w:ascii="Verdana" w:eastAsia="Times New Roman" w:hAnsi="Verdana" w:cs="Times New Roman"/>
          <w:color w:val="000000"/>
          <w:kern w:val="0"/>
          <w:lang w:val="es-CO" w:eastAsia="es-MX"/>
          <w14:ligatures w14:val="none"/>
        </w:rPr>
      </w:pPr>
      <w:r w:rsidRPr="00332FA7">
        <w:rPr>
          <w:rFonts w:ascii="Verdana" w:eastAsia="Times New Roman" w:hAnsi="Verdana" w:cs="Times New Roman"/>
          <w:color w:val="000000"/>
          <w:kern w:val="0"/>
          <w:lang w:val="es-CO" w:eastAsia="es-MX"/>
          <w14:ligatures w14:val="none"/>
        </w:rPr>
        <w:t>Mediante el presente pronunciamiento, conforme a la doctrina oficial vigente, se da respuesta a la pregunta: “¿Es obligatorio el registro de los libros oficiales para propiedad horizontal residencial ante la DIAN?”</w:t>
      </w:r>
    </w:p>
    <w:p w14:paraId="56E7E5F3" w14:textId="77777777" w:rsidR="00332FA7" w:rsidRPr="00332FA7" w:rsidRDefault="00332FA7" w:rsidP="00332FA7">
      <w:pPr>
        <w:rPr>
          <w:rFonts w:ascii="Times New Roman" w:eastAsia="Times New Roman" w:hAnsi="Times New Roman" w:cs="Times New Roman"/>
          <w:kern w:val="0"/>
          <w:lang w:val="es-CO" w:eastAsia="es-MX"/>
          <w14:ligatures w14:val="none"/>
        </w:rPr>
      </w:pPr>
      <w:r w:rsidRPr="00332FA7">
        <w:rPr>
          <w:rFonts w:ascii="Times New Roman" w:eastAsia="Times New Roman" w:hAnsi="Times New Roman" w:cs="Times New Roman"/>
          <w:kern w:val="0"/>
          <w:lang w:val="es-CO" w:eastAsia="es-MX"/>
          <w14:ligatures w14:val="none"/>
        </w:rPr>
        <w:br/>
      </w:r>
    </w:p>
    <w:p w14:paraId="196D920B" w14:textId="77777777" w:rsidR="00332FA7" w:rsidRPr="00332FA7" w:rsidRDefault="00332FA7" w:rsidP="00332FA7">
      <w:pPr>
        <w:numPr>
          <w:ilvl w:val="0"/>
          <w:numId w:val="3"/>
        </w:numPr>
        <w:jc w:val="both"/>
        <w:textAlignment w:val="baseline"/>
        <w:rPr>
          <w:rFonts w:ascii="Verdana" w:eastAsia="Times New Roman" w:hAnsi="Verdana" w:cs="Times New Roman"/>
          <w:color w:val="000000"/>
          <w:kern w:val="0"/>
          <w:lang w:val="es-CO" w:eastAsia="es-MX"/>
          <w14:ligatures w14:val="none"/>
        </w:rPr>
      </w:pPr>
      <w:r w:rsidRPr="00332FA7">
        <w:rPr>
          <w:rFonts w:ascii="Verdana" w:eastAsia="Times New Roman" w:hAnsi="Verdana" w:cs="Times New Roman"/>
          <w:color w:val="000000"/>
          <w:kern w:val="0"/>
          <w:lang w:val="es-CO" w:eastAsia="es-MX"/>
          <w14:ligatures w14:val="none"/>
        </w:rPr>
        <w:t>Al respecto se precisa que, en el caso de las personas jurídicas originadas en la constitución de la propiedad horizontal, el registro de los libros oficiales correspondientes a los libros de actas se encuentra regulado por el artículo 1.2.1.5.4.5 del Decreto 1625 de 2016, disposición que resulta aplicable únicamente a los sujetos comprendidos dentro de los artículos a los que remite, entre ellos el artículo 1.2.1.5.3.1. del mismo decreto.</w:t>
      </w:r>
    </w:p>
    <w:p w14:paraId="1B885FA7" w14:textId="77777777" w:rsidR="00332FA7" w:rsidRPr="00332FA7" w:rsidRDefault="00332FA7" w:rsidP="00332FA7">
      <w:pPr>
        <w:rPr>
          <w:rFonts w:ascii="Times New Roman" w:eastAsia="Times New Roman" w:hAnsi="Times New Roman" w:cs="Times New Roman"/>
          <w:kern w:val="0"/>
          <w:lang w:val="es-CO" w:eastAsia="es-MX"/>
          <w14:ligatures w14:val="none"/>
        </w:rPr>
      </w:pPr>
      <w:r w:rsidRPr="00332FA7">
        <w:rPr>
          <w:rFonts w:ascii="Times New Roman" w:eastAsia="Times New Roman" w:hAnsi="Times New Roman" w:cs="Times New Roman"/>
          <w:kern w:val="0"/>
          <w:lang w:val="es-CO" w:eastAsia="es-MX"/>
          <w14:ligatures w14:val="none"/>
        </w:rPr>
        <w:br/>
      </w:r>
    </w:p>
    <w:p w14:paraId="59CA5139" w14:textId="77777777" w:rsidR="00332FA7" w:rsidRPr="00332FA7" w:rsidRDefault="00332FA7" w:rsidP="00332FA7">
      <w:pPr>
        <w:numPr>
          <w:ilvl w:val="0"/>
          <w:numId w:val="4"/>
        </w:numPr>
        <w:jc w:val="both"/>
        <w:textAlignment w:val="baseline"/>
        <w:rPr>
          <w:rFonts w:ascii="Verdana" w:eastAsia="Times New Roman" w:hAnsi="Verdana" w:cs="Times New Roman"/>
          <w:color w:val="000000"/>
          <w:kern w:val="0"/>
          <w:lang w:val="es-CO" w:eastAsia="es-MX"/>
          <w14:ligatures w14:val="none"/>
        </w:rPr>
      </w:pPr>
      <w:r w:rsidRPr="00332FA7">
        <w:rPr>
          <w:rFonts w:ascii="Verdana" w:eastAsia="Times New Roman" w:hAnsi="Verdana" w:cs="Times New Roman"/>
          <w:color w:val="000000"/>
          <w:kern w:val="0"/>
          <w:lang w:val="es-CO" w:eastAsia="es-MX"/>
          <w14:ligatures w14:val="none"/>
        </w:rPr>
        <w:t>El artículo 1.2.1.5.3.1. define a las personas jurídicas originadas en la propiedad horizontal contribuyentes del régimen ordinario del impuesto sobre la renta y complementario, y excluye de manera expresa a las propiedades horizontales de uso residencial, en concordancia con el parágrafo del artículo 19-5 del Estatuto Tributario. En consecuencia, las propiedades horizontales residenciales no se encuentran dentro del ámbito al que se refiere el artículo 1.2.1.5.4.5., por lo que no les es exigible la obligación de registrar el libro de actas ante la DIAN.</w:t>
      </w:r>
    </w:p>
    <w:p w14:paraId="419AE374" w14:textId="77777777" w:rsidR="00332FA7" w:rsidRPr="00332FA7" w:rsidRDefault="00332FA7" w:rsidP="00332FA7">
      <w:pPr>
        <w:rPr>
          <w:rFonts w:ascii="Times New Roman" w:eastAsia="Times New Roman" w:hAnsi="Times New Roman" w:cs="Times New Roman"/>
          <w:kern w:val="0"/>
          <w:lang w:val="es-CO" w:eastAsia="es-MX"/>
          <w14:ligatures w14:val="none"/>
        </w:rPr>
      </w:pPr>
      <w:r w:rsidRPr="00332FA7">
        <w:rPr>
          <w:rFonts w:ascii="Times New Roman" w:eastAsia="Times New Roman" w:hAnsi="Times New Roman" w:cs="Times New Roman"/>
          <w:kern w:val="0"/>
          <w:lang w:val="es-CO" w:eastAsia="es-MX"/>
          <w14:ligatures w14:val="none"/>
        </w:rPr>
        <w:br/>
      </w:r>
    </w:p>
    <w:p w14:paraId="6E14BA9F" w14:textId="77777777" w:rsidR="00332FA7" w:rsidRPr="00332FA7" w:rsidRDefault="00332FA7" w:rsidP="00332FA7">
      <w:pPr>
        <w:numPr>
          <w:ilvl w:val="0"/>
          <w:numId w:val="5"/>
        </w:numPr>
        <w:jc w:val="both"/>
        <w:textAlignment w:val="baseline"/>
        <w:rPr>
          <w:rFonts w:ascii="Verdana" w:eastAsia="Times New Roman" w:hAnsi="Verdana" w:cs="Times New Roman"/>
          <w:color w:val="000000"/>
          <w:kern w:val="0"/>
          <w:lang w:val="es-CO" w:eastAsia="es-MX"/>
          <w14:ligatures w14:val="none"/>
        </w:rPr>
      </w:pPr>
      <w:r w:rsidRPr="00332FA7">
        <w:rPr>
          <w:rFonts w:ascii="Verdana" w:eastAsia="Times New Roman" w:hAnsi="Verdana" w:cs="Times New Roman"/>
          <w:color w:val="000000"/>
          <w:kern w:val="0"/>
          <w:lang w:val="es-CO" w:eastAsia="es-MX"/>
          <w14:ligatures w14:val="none"/>
        </w:rPr>
        <w:t xml:space="preserve">Este entendimiento ha sido precisado por la doctrina vigente de esta Entidad, en al interpretar que la exclusión de las propiedades horizontales de uso residencial se mantiene incluso cuando estas destinan bienes o áreas comunes a la explotación comercial o industrial, sin que ello </w:t>
      </w:r>
      <w:r w:rsidRPr="00332FA7">
        <w:rPr>
          <w:rFonts w:ascii="Verdana" w:eastAsia="Times New Roman" w:hAnsi="Verdana" w:cs="Times New Roman"/>
          <w:color w:val="000000"/>
          <w:kern w:val="0"/>
          <w:lang w:val="es-CO" w:eastAsia="es-MX"/>
          <w14:ligatures w14:val="none"/>
        </w:rPr>
        <w:lastRenderedPageBreak/>
        <w:t>modifique su tratamiento tributario en materia del impuesto sobre la renta, conforme a lo señalado de manera expresa en el Oficio No. 012443 del 19 de mayo de 2017. Por tanto, las propiedades horizontales de uso exclusivamente residencial no están obligadas a registrar su libro de actas ante la DIAN.</w:t>
      </w:r>
    </w:p>
    <w:p w14:paraId="2C484BAA" w14:textId="77777777" w:rsidR="00332FA7" w:rsidRPr="00332FA7" w:rsidRDefault="00332FA7" w:rsidP="00332FA7">
      <w:pPr>
        <w:rPr>
          <w:rFonts w:ascii="Times New Roman" w:eastAsia="Times New Roman" w:hAnsi="Times New Roman" w:cs="Times New Roman"/>
          <w:kern w:val="0"/>
          <w:lang w:val="es-CO" w:eastAsia="es-MX"/>
          <w14:ligatures w14:val="none"/>
        </w:rPr>
      </w:pPr>
      <w:r w:rsidRPr="00332FA7">
        <w:rPr>
          <w:rFonts w:ascii="Times New Roman" w:eastAsia="Times New Roman" w:hAnsi="Times New Roman" w:cs="Times New Roman"/>
          <w:kern w:val="0"/>
          <w:lang w:val="es-CO" w:eastAsia="es-MX"/>
          <w14:ligatures w14:val="none"/>
        </w:rPr>
        <w:br/>
      </w:r>
    </w:p>
    <w:p w14:paraId="6C8B93CB" w14:textId="77777777" w:rsidR="00332FA7" w:rsidRPr="00332FA7" w:rsidRDefault="00332FA7" w:rsidP="00332FA7">
      <w:pPr>
        <w:numPr>
          <w:ilvl w:val="0"/>
          <w:numId w:val="6"/>
        </w:numPr>
        <w:jc w:val="both"/>
        <w:textAlignment w:val="baseline"/>
        <w:rPr>
          <w:rFonts w:ascii="Verdana" w:eastAsia="Times New Roman" w:hAnsi="Verdana" w:cs="Times New Roman"/>
          <w:color w:val="000000"/>
          <w:kern w:val="0"/>
          <w:lang w:val="es-CO" w:eastAsia="es-MX"/>
          <w14:ligatures w14:val="none"/>
        </w:rPr>
      </w:pPr>
      <w:r w:rsidRPr="00332FA7">
        <w:rPr>
          <w:rFonts w:ascii="Verdana" w:eastAsia="Times New Roman" w:hAnsi="Verdana" w:cs="Times New Roman"/>
          <w:color w:val="000000"/>
          <w:kern w:val="0"/>
          <w:lang w:val="es-CO" w:eastAsia="es-MX"/>
          <w14:ligatures w14:val="none"/>
        </w:rPr>
        <w:t>En cuanto a los libros de contabilidad, si bien las propiedades horizontales están obligadas a llevar contabilidad, dicha obligación no comporta, por sí sola, un deber general de registrar los libros contables. Nótese que la obligación de registro ante la DIAN prevista en el artículo 2 del Decreto 2500 de 1986 se entiende derogada al no haber sido compilada en el Decreto 1625 de 2016, y el artículo 175 del Decreto 019 de 2012 eliminó el registro de libros ante la Cámara de Comercio. No obstante, cuando la propiedad horizontal requiera que su contabilidad constituya prueba, los libros deberán registrarse conforme al numeral 1 del artículo 774 del Estatuto Tributario, como condición probatoria, y no como obligación permanente.</w:t>
      </w:r>
    </w:p>
    <w:p w14:paraId="41B1C72F" w14:textId="77777777" w:rsidR="00332FA7" w:rsidRPr="00332FA7" w:rsidRDefault="00332FA7" w:rsidP="00332FA7">
      <w:pPr>
        <w:rPr>
          <w:rFonts w:ascii="Times New Roman" w:eastAsia="Times New Roman" w:hAnsi="Times New Roman" w:cs="Times New Roman"/>
          <w:kern w:val="0"/>
          <w:lang w:val="es-CO" w:eastAsia="es-MX"/>
          <w14:ligatures w14:val="none"/>
        </w:rPr>
      </w:pPr>
      <w:r w:rsidRPr="00332FA7">
        <w:rPr>
          <w:rFonts w:ascii="Times New Roman" w:eastAsia="Times New Roman" w:hAnsi="Times New Roman" w:cs="Times New Roman"/>
          <w:kern w:val="0"/>
          <w:lang w:val="es-CO" w:eastAsia="es-MX"/>
          <w14:ligatures w14:val="none"/>
        </w:rPr>
        <w:br/>
      </w:r>
    </w:p>
    <w:p w14:paraId="5C333A40" w14:textId="77777777" w:rsidR="00332FA7" w:rsidRPr="00332FA7" w:rsidRDefault="00332FA7" w:rsidP="00332FA7">
      <w:pPr>
        <w:numPr>
          <w:ilvl w:val="0"/>
          <w:numId w:val="7"/>
        </w:numPr>
        <w:jc w:val="both"/>
        <w:textAlignment w:val="baseline"/>
        <w:rPr>
          <w:rFonts w:ascii="Verdana" w:eastAsia="Times New Roman" w:hAnsi="Verdana" w:cs="Times New Roman"/>
          <w:color w:val="000000"/>
          <w:kern w:val="0"/>
          <w:lang w:val="es-CO" w:eastAsia="es-MX"/>
          <w14:ligatures w14:val="none"/>
        </w:rPr>
      </w:pPr>
      <w:r w:rsidRPr="00332FA7">
        <w:rPr>
          <w:rFonts w:ascii="Verdana" w:eastAsia="Times New Roman" w:hAnsi="Verdana" w:cs="Times New Roman"/>
          <w:color w:val="000000"/>
          <w:kern w:val="0"/>
          <w:lang w:val="es-CO" w:eastAsia="es-MX"/>
          <w14:ligatures w14:val="none"/>
        </w:rPr>
        <w:t>En síntesis, las propiedades horizontales de uso residencial no están obligadas a registrar sus libros oficiales ante la DIAN, ni el libro de actas ni los libros de contabilidad, salvo este último caso, cuando voluntariamente se pretenda otorgarles valor probatorio ante la administración tributaria.</w:t>
      </w:r>
    </w:p>
    <w:p w14:paraId="344EA3D5" w14:textId="77777777" w:rsidR="00332FA7" w:rsidRPr="00332FA7" w:rsidRDefault="00332FA7" w:rsidP="00332FA7">
      <w:pPr>
        <w:rPr>
          <w:rFonts w:ascii="Times New Roman" w:eastAsia="Times New Roman" w:hAnsi="Times New Roman" w:cs="Times New Roman"/>
          <w:kern w:val="0"/>
          <w:lang w:val="es-CO" w:eastAsia="es-MX"/>
          <w14:ligatures w14:val="none"/>
        </w:rPr>
      </w:pPr>
    </w:p>
    <w:p w14:paraId="47F00283"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332FA7">
        <w:rPr>
          <w:rFonts w:ascii="Verdana" w:eastAsia="Times New Roman" w:hAnsi="Verdana" w:cs="Times New Roman"/>
          <w:color w:val="000000"/>
          <w:kern w:val="0"/>
          <w:u w:val="single"/>
          <w:lang w:val="es-CO" w:eastAsia="es-MX"/>
          <w14:ligatures w14:val="none"/>
        </w:rPr>
        <w:t>https://normograma.dian.gov.co/dian/</w:t>
      </w:r>
      <w:r w:rsidRPr="00332FA7">
        <w:rPr>
          <w:rFonts w:ascii="Verdana" w:eastAsia="Times New Roman" w:hAnsi="Verdana" w:cs="Times New Roman"/>
          <w:color w:val="000000"/>
          <w:kern w:val="0"/>
          <w:lang w:val="es-CO" w:eastAsia="es-MX"/>
          <w14:ligatures w14:val="none"/>
        </w:rPr>
        <w:t>.</w:t>
      </w:r>
    </w:p>
    <w:p w14:paraId="5D9D3727" w14:textId="77777777" w:rsidR="00332FA7" w:rsidRPr="00332FA7" w:rsidRDefault="00332FA7" w:rsidP="00332FA7">
      <w:pPr>
        <w:spacing w:after="240"/>
        <w:rPr>
          <w:rFonts w:ascii="Times New Roman" w:eastAsia="Times New Roman" w:hAnsi="Times New Roman" w:cs="Times New Roman"/>
          <w:kern w:val="0"/>
          <w:lang w:val="es-CO" w:eastAsia="es-MX"/>
          <w14:ligatures w14:val="none"/>
        </w:rPr>
      </w:pPr>
    </w:p>
    <w:p w14:paraId="7359ABA8"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color w:val="000000"/>
          <w:kern w:val="0"/>
          <w:lang w:val="es-CO" w:eastAsia="es-MX"/>
          <w14:ligatures w14:val="none"/>
        </w:rPr>
        <w:t>Atentamente,</w:t>
      </w:r>
    </w:p>
    <w:p w14:paraId="521B39BA" w14:textId="77777777" w:rsidR="00332FA7" w:rsidRPr="00332FA7" w:rsidRDefault="00332FA7" w:rsidP="00332FA7">
      <w:pPr>
        <w:spacing w:after="240"/>
        <w:rPr>
          <w:rFonts w:ascii="Times New Roman" w:eastAsia="Times New Roman" w:hAnsi="Times New Roman" w:cs="Times New Roman"/>
          <w:kern w:val="0"/>
          <w:lang w:val="es-CO" w:eastAsia="es-MX"/>
          <w14:ligatures w14:val="none"/>
        </w:rPr>
      </w:pPr>
      <w:r w:rsidRPr="00332FA7">
        <w:rPr>
          <w:rFonts w:ascii="Times New Roman" w:eastAsia="Times New Roman" w:hAnsi="Times New Roman" w:cs="Times New Roman"/>
          <w:kern w:val="0"/>
          <w:lang w:val="es-CO" w:eastAsia="es-MX"/>
          <w14:ligatures w14:val="none"/>
        </w:rPr>
        <w:br/>
      </w:r>
    </w:p>
    <w:p w14:paraId="79826B69"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b/>
          <w:bCs/>
          <w:color w:val="000000"/>
          <w:kern w:val="0"/>
          <w:lang w:val="es-CO" w:eastAsia="es-MX"/>
          <w14:ligatures w14:val="none"/>
        </w:rPr>
        <w:t>JUDY MARISOL CESPEDES QUEVEDO</w:t>
      </w:r>
    </w:p>
    <w:p w14:paraId="1B5F88FE"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color w:val="000000"/>
          <w:kern w:val="0"/>
          <w:lang w:val="es-CO" w:eastAsia="es-MX"/>
          <w14:ligatures w14:val="none"/>
        </w:rPr>
        <w:t>Subdirectora de Normativa y Doctrina (A)</w:t>
      </w:r>
    </w:p>
    <w:p w14:paraId="3B1736B0"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color w:val="000000"/>
          <w:kern w:val="0"/>
          <w:lang w:val="es-CO" w:eastAsia="es-MX"/>
          <w14:ligatures w14:val="none"/>
        </w:rPr>
        <w:t>Subdirección de Normativa y Doctrina</w:t>
      </w:r>
    </w:p>
    <w:p w14:paraId="0499E38B"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color w:val="000000"/>
          <w:kern w:val="0"/>
          <w:lang w:val="es-CO" w:eastAsia="es-MX"/>
          <w14:ligatures w14:val="none"/>
        </w:rPr>
        <w:t>Dirección de Gestión Jurídica</w:t>
      </w:r>
    </w:p>
    <w:p w14:paraId="1EBB0AAA" w14:textId="77777777" w:rsidR="00332FA7" w:rsidRPr="00332FA7" w:rsidRDefault="00332FA7" w:rsidP="00332FA7">
      <w:pPr>
        <w:jc w:val="both"/>
        <w:rPr>
          <w:rFonts w:ascii="Times New Roman" w:eastAsia="Times New Roman" w:hAnsi="Times New Roman" w:cs="Times New Roman"/>
          <w:kern w:val="0"/>
          <w:lang w:val="es-CO" w:eastAsia="es-MX"/>
          <w14:ligatures w14:val="none"/>
        </w:rPr>
      </w:pPr>
      <w:r w:rsidRPr="00332FA7">
        <w:rPr>
          <w:rFonts w:ascii="Verdana" w:eastAsia="Times New Roman" w:hAnsi="Verdana" w:cs="Times New Roman"/>
          <w:color w:val="000000"/>
          <w:kern w:val="0"/>
          <w:lang w:val="es-CO" w:eastAsia="es-MX"/>
          <w14:ligatures w14:val="none"/>
        </w:rPr>
        <w:t>www.dian.gov.co</w:t>
      </w:r>
    </w:p>
    <w:p w14:paraId="0894D3F5" w14:textId="77777777" w:rsidR="00332FA7" w:rsidRPr="00332FA7" w:rsidRDefault="00332FA7" w:rsidP="00332FA7">
      <w:pPr>
        <w:rPr>
          <w:rFonts w:ascii="Times New Roman" w:eastAsia="Times New Roman" w:hAnsi="Times New Roman" w:cs="Times New Roman"/>
          <w:kern w:val="0"/>
          <w:lang w:val="es-CO" w:eastAsia="es-MX"/>
          <w14:ligatures w14:val="none"/>
        </w:rPr>
      </w:pPr>
    </w:p>
    <w:p w14:paraId="0780FCB1"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94FB9"/>
    <w:multiLevelType w:val="multilevel"/>
    <w:tmpl w:val="5330EB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7D4FD2"/>
    <w:multiLevelType w:val="multilevel"/>
    <w:tmpl w:val="0718993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E73204"/>
    <w:multiLevelType w:val="multilevel"/>
    <w:tmpl w:val="070EEC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993451"/>
    <w:multiLevelType w:val="multilevel"/>
    <w:tmpl w:val="7CE022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A7E78EC"/>
    <w:multiLevelType w:val="multilevel"/>
    <w:tmpl w:val="98E4FC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5831FAD"/>
    <w:multiLevelType w:val="multilevel"/>
    <w:tmpl w:val="B35C60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BDA264B"/>
    <w:multiLevelType w:val="multilevel"/>
    <w:tmpl w:val="82FED05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6959341">
    <w:abstractNumId w:val="5"/>
  </w:num>
  <w:num w:numId="2" w16cid:durableId="1406998868">
    <w:abstractNumId w:val="4"/>
    <w:lvlOverride w:ilvl="0">
      <w:lvl w:ilvl="0">
        <w:numFmt w:val="decimal"/>
        <w:lvlText w:val="%1."/>
        <w:lvlJc w:val="left"/>
      </w:lvl>
    </w:lvlOverride>
  </w:num>
  <w:num w:numId="3" w16cid:durableId="415709254">
    <w:abstractNumId w:val="2"/>
    <w:lvlOverride w:ilvl="0">
      <w:lvl w:ilvl="0">
        <w:numFmt w:val="decimal"/>
        <w:lvlText w:val="%1."/>
        <w:lvlJc w:val="left"/>
      </w:lvl>
    </w:lvlOverride>
  </w:num>
  <w:num w:numId="4" w16cid:durableId="884484898">
    <w:abstractNumId w:val="3"/>
    <w:lvlOverride w:ilvl="0">
      <w:lvl w:ilvl="0">
        <w:numFmt w:val="decimal"/>
        <w:lvlText w:val="%1."/>
        <w:lvlJc w:val="left"/>
      </w:lvl>
    </w:lvlOverride>
  </w:num>
  <w:num w:numId="5" w16cid:durableId="347946734">
    <w:abstractNumId w:val="6"/>
    <w:lvlOverride w:ilvl="0">
      <w:lvl w:ilvl="0">
        <w:numFmt w:val="decimal"/>
        <w:lvlText w:val="%1."/>
        <w:lvlJc w:val="left"/>
      </w:lvl>
    </w:lvlOverride>
  </w:num>
  <w:num w:numId="6" w16cid:durableId="1536772313">
    <w:abstractNumId w:val="0"/>
    <w:lvlOverride w:ilvl="0">
      <w:lvl w:ilvl="0">
        <w:numFmt w:val="decimal"/>
        <w:lvlText w:val="%1."/>
        <w:lvlJc w:val="left"/>
      </w:lvl>
    </w:lvlOverride>
  </w:num>
  <w:num w:numId="7" w16cid:durableId="1456371044">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FA7"/>
    <w:rsid w:val="000B2285"/>
    <w:rsid w:val="00332FA7"/>
    <w:rsid w:val="003E1055"/>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042B440"/>
  <w14:defaultImageDpi w14:val="32767"/>
  <w15:chartTrackingRefBased/>
  <w15:docId w15:val="{7FCBA3CE-4848-5847-B2C3-FD24D973DD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32F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32F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32FA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32FA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32FA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32FA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32FA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32FA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32FA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32FA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32FA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32FA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32FA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32FA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32FA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32FA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32FA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32FA7"/>
    <w:rPr>
      <w:rFonts w:eastAsiaTheme="majorEastAsia" w:cstheme="majorBidi"/>
      <w:color w:val="272727" w:themeColor="text1" w:themeTint="D8"/>
    </w:rPr>
  </w:style>
  <w:style w:type="paragraph" w:styleId="Ttulo">
    <w:name w:val="Title"/>
    <w:basedOn w:val="Normal"/>
    <w:next w:val="Normal"/>
    <w:link w:val="TtuloCar"/>
    <w:uiPriority w:val="10"/>
    <w:qFormat/>
    <w:rsid w:val="00332FA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32FA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32FA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32FA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32FA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332FA7"/>
    <w:rPr>
      <w:i/>
      <w:iCs/>
      <w:color w:val="404040" w:themeColor="text1" w:themeTint="BF"/>
    </w:rPr>
  </w:style>
  <w:style w:type="paragraph" w:styleId="Prrafodelista">
    <w:name w:val="List Paragraph"/>
    <w:basedOn w:val="Normal"/>
    <w:uiPriority w:val="34"/>
    <w:qFormat/>
    <w:rsid w:val="00332FA7"/>
    <w:pPr>
      <w:ind w:left="720"/>
      <w:contextualSpacing/>
    </w:pPr>
  </w:style>
  <w:style w:type="character" w:styleId="nfasisintenso">
    <w:name w:val="Intense Emphasis"/>
    <w:basedOn w:val="Fuentedeprrafopredeter"/>
    <w:uiPriority w:val="21"/>
    <w:qFormat/>
    <w:rsid w:val="00332FA7"/>
    <w:rPr>
      <w:i/>
      <w:iCs/>
      <w:color w:val="2F5496" w:themeColor="accent1" w:themeShade="BF"/>
    </w:rPr>
  </w:style>
  <w:style w:type="paragraph" w:styleId="Citadestacada">
    <w:name w:val="Intense Quote"/>
    <w:basedOn w:val="Normal"/>
    <w:next w:val="Normal"/>
    <w:link w:val="CitadestacadaCar"/>
    <w:uiPriority w:val="30"/>
    <w:qFormat/>
    <w:rsid w:val="00332F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32FA7"/>
    <w:rPr>
      <w:i/>
      <w:iCs/>
      <w:color w:val="2F5496" w:themeColor="accent1" w:themeShade="BF"/>
    </w:rPr>
  </w:style>
  <w:style w:type="character" w:styleId="Referenciaintensa">
    <w:name w:val="Intense Reference"/>
    <w:basedOn w:val="Fuentedeprrafopredeter"/>
    <w:uiPriority w:val="32"/>
    <w:qFormat/>
    <w:rsid w:val="00332FA7"/>
    <w:rPr>
      <w:b/>
      <w:bCs/>
      <w:smallCaps/>
      <w:color w:val="2F5496" w:themeColor="accent1" w:themeShade="BF"/>
      <w:spacing w:val="5"/>
    </w:rPr>
  </w:style>
  <w:style w:type="paragraph" w:styleId="NormalWeb">
    <w:name w:val="Normal (Web)"/>
    <w:basedOn w:val="Normal"/>
    <w:uiPriority w:val="99"/>
    <w:semiHidden/>
    <w:unhideWhenUsed/>
    <w:rsid w:val="00332FA7"/>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591</Words>
  <Characters>3254</Characters>
  <Application>Microsoft Office Word</Application>
  <DocSecurity>0</DocSecurity>
  <Lines>27</Lines>
  <Paragraphs>7</Paragraphs>
  <ScaleCrop>false</ScaleCrop>
  <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2026-02-20T14:44:00Z</dcterms:created>
  <dcterms:modified xsi:type="dcterms:W3CDTF">2026-02-20T14:44:00Z</dcterms:modified>
</cp:coreProperties>
</file>