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6472E6" w14:textId="77777777" w:rsidR="00684A8D" w:rsidRPr="007F2045" w:rsidRDefault="00684A8D" w:rsidP="001B5728">
      <w:pPr>
        <w:spacing w:after="0" w:line="240" w:lineRule="auto"/>
        <w:jc w:val="center"/>
        <w:rPr>
          <w:rFonts w:ascii="Times New Roman" w:hAnsi="Times New Roman"/>
          <w:b/>
          <w:sz w:val="28"/>
          <w:szCs w:val="28"/>
          <w:lang w:val="es-CO" w:eastAsia="es-MX"/>
        </w:rPr>
      </w:pPr>
      <w:bookmarkStart w:id="0" w:name="_Hlk221991906"/>
      <w:r w:rsidRPr="007F2045">
        <w:rPr>
          <w:rFonts w:ascii="Times New Roman" w:hAnsi="Times New Roman"/>
          <w:b/>
          <w:sz w:val="28"/>
          <w:szCs w:val="28"/>
          <w:lang w:val="es-CO" w:eastAsia="es-MX"/>
        </w:rPr>
        <w:t>REPÚBLICA DE COLOMBIA</w:t>
      </w:r>
    </w:p>
    <w:p w14:paraId="5198ADC2" w14:textId="77777777" w:rsidR="00684A8D" w:rsidRPr="007F2045" w:rsidRDefault="00330EAB" w:rsidP="001B5728">
      <w:pPr>
        <w:spacing w:after="0" w:line="240" w:lineRule="auto"/>
        <w:jc w:val="center"/>
        <w:rPr>
          <w:rFonts w:ascii="Times New Roman" w:hAnsi="Times New Roman"/>
          <w:b/>
          <w:sz w:val="28"/>
          <w:szCs w:val="28"/>
          <w:lang w:val="es-CO" w:eastAsia="es-MX"/>
        </w:rPr>
      </w:pPr>
      <w:r w:rsidRPr="00330EAB">
        <w:rPr>
          <w:rFonts w:ascii="Times New Roman" w:hAnsi="Times New Roman"/>
          <w:b/>
          <w:noProof/>
          <w:sz w:val="28"/>
          <w:szCs w:val="28"/>
          <w:lang w:val="es-CO" w:eastAsia="es-MX"/>
        </w:rPr>
        <w:drawing>
          <wp:inline distT="0" distB="0" distL="0" distR="0" wp14:anchorId="588174DB" wp14:editId="796CCF18">
            <wp:extent cx="632460" cy="63246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2460" cy="632460"/>
                    </a:xfrm>
                    <a:prstGeom prst="rect">
                      <a:avLst/>
                    </a:prstGeom>
                    <a:noFill/>
                    <a:ln>
                      <a:noFill/>
                    </a:ln>
                  </pic:spPr>
                </pic:pic>
              </a:graphicData>
            </a:graphic>
          </wp:inline>
        </w:drawing>
      </w:r>
    </w:p>
    <w:p w14:paraId="694EBAE6" w14:textId="77777777" w:rsidR="00684A8D" w:rsidRPr="00D924B6" w:rsidRDefault="00684A8D" w:rsidP="001B5728">
      <w:pPr>
        <w:spacing w:after="0" w:line="240" w:lineRule="auto"/>
        <w:jc w:val="center"/>
        <w:rPr>
          <w:rFonts w:ascii="Times New Roman" w:hAnsi="Times New Roman"/>
          <w:b/>
          <w:sz w:val="28"/>
          <w:szCs w:val="28"/>
          <w:lang w:val="pt-PT" w:eastAsia="es-MX"/>
        </w:rPr>
      </w:pPr>
      <w:r w:rsidRPr="00D924B6">
        <w:rPr>
          <w:rFonts w:ascii="Times New Roman" w:hAnsi="Times New Roman"/>
          <w:b/>
          <w:sz w:val="28"/>
          <w:szCs w:val="28"/>
          <w:lang w:val="pt-PT" w:eastAsia="es-MX"/>
        </w:rPr>
        <w:t>CORTE CONSTITUCIONAL</w:t>
      </w:r>
    </w:p>
    <w:p w14:paraId="0C64F814" w14:textId="77777777" w:rsidR="00684A8D" w:rsidRPr="00D924B6" w:rsidRDefault="00684A8D" w:rsidP="001B5728">
      <w:pPr>
        <w:spacing w:after="0" w:line="240" w:lineRule="auto"/>
        <w:jc w:val="center"/>
        <w:rPr>
          <w:rFonts w:ascii="Times New Roman" w:hAnsi="Times New Roman"/>
          <w:b/>
          <w:sz w:val="28"/>
          <w:szCs w:val="28"/>
          <w:lang w:val="pt-PT" w:eastAsia="es-MX"/>
        </w:rPr>
      </w:pPr>
      <w:r w:rsidRPr="00D924B6">
        <w:rPr>
          <w:rFonts w:ascii="Times New Roman" w:hAnsi="Times New Roman"/>
          <w:b/>
          <w:sz w:val="28"/>
          <w:szCs w:val="28"/>
          <w:lang w:val="pt-PT" w:eastAsia="es-MX"/>
        </w:rPr>
        <w:t>Sala Plena</w:t>
      </w:r>
    </w:p>
    <w:p w14:paraId="188DC7AC" w14:textId="77777777" w:rsidR="00684A8D" w:rsidRPr="00D924B6" w:rsidRDefault="00684A8D" w:rsidP="001B5728">
      <w:pPr>
        <w:spacing w:after="0" w:line="240" w:lineRule="auto"/>
        <w:jc w:val="center"/>
        <w:rPr>
          <w:rFonts w:ascii="Times New Roman" w:hAnsi="Times New Roman"/>
          <w:b/>
          <w:sz w:val="28"/>
          <w:szCs w:val="28"/>
          <w:lang w:val="pt-PT" w:eastAsia="es-MX"/>
        </w:rPr>
      </w:pPr>
    </w:p>
    <w:p w14:paraId="1231D200" w14:textId="77777777" w:rsidR="00684A8D" w:rsidRPr="00D924B6" w:rsidRDefault="00684A8D" w:rsidP="001B5728">
      <w:pPr>
        <w:spacing w:after="0" w:line="240" w:lineRule="auto"/>
        <w:jc w:val="center"/>
        <w:rPr>
          <w:rFonts w:ascii="Times New Roman" w:hAnsi="Times New Roman"/>
          <w:b/>
          <w:sz w:val="28"/>
          <w:szCs w:val="28"/>
          <w:lang w:val="pt-PT" w:eastAsia="es-MX"/>
        </w:rPr>
      </w:pPr>
      <w:r w:rsidRPr="00D924B6">
        <w:rPr>
          <w:rFonts w:ascii="Times New Roman" w:hAnsi="Times New Roman"/>
          <w:b/>
          <w:sz w:val="28"/>
          <w:szCs w:val="28"/>
          <w:lang w:val="pt-PT" w:eastAsia="es-MX"/>
        </w:rPr>
        <w:t>AUTO 082 DE 2026</w:t>
      </w:r>
    </w:p>
    <w:p w14:paraId="1C520C8A" w14:textId="77777777" w:rsidR="00684A8D" w:rsidRPr="00D924B6" w:rsidRDefault="00684A8D" w:rsidP="001B5728">
      <w:pPr>
        <w:spacing w:after="0" w:line="240" w:lineRule="auto"/>
        <w:jc w:val="center"/>
        <w:rPr>
          <w:rFonts w:ascii="Times New Roman" w:hAnsi="Times New Roman"/>
          <w:b/>
          <w:sz w:val="28"/>
          <w:szCs w:val="28"/>
          <w:lang w:val="pt-PT" w:eastAsia="es-MX"/>
        </w:rPr>
      </w:pPr>
    </w:p>
    <w:p w14:paraId="12B7C900" w14:textId="77777777" w:rsidR="00684A8D" w:rsidRPr="007F2045" w:rsidRDefault="00684A8D" w:rsidP="001B5728">
      <w:pPr>
        <w:widowControl w:val="0"/>
        <w:autoSpaceDE w:val="0"/>
        <w:autoSpaceDN w:val="0"/>
        <w:adjustRightInd w:val="0"/>
        <w:spacing w:after="0" w:line="240" w:lineRule="auto"/>
        <w:ind w:left="3969" w:right="-36"/>
        <w:rPr>
          <w:rFonts w:ascii="Times New Roman" w:eastAsia="MS Mincho" w:hAnsi="Times New Roman"/>
          <w:b/>
          <w:bCs/>
          <w:sz w:val="28"/>
          <w:szCs w:val="28"/>
          <w:lang w:val="es-CO" w:eastAsia="es-ES_tradnl"/>
        </w:rPr>
      </w:pPr>
      <w:r w:rsidRPr="007F2045">
        <w:rPr>
          <w:rFonts w:ascii="Times New Roman" w:eastAsia="MS Mincho" w:hAnsi="Times New Roman"/>
          <w:b/>
          <w:bCs/>
          <w:sz w:val="28"/>
          <w:szCs w:val="28"/>
          <w:lang w:val="es-CO" w:eastAsia="es-ES_tradnl"/>
        </w:rPr>
        <w:t>Referencia:</w:t>
      </w:r>
      <w:r w:rsidRPr="007F2045">
        <w:rPr>
          <w:rFonts w:ascii="Times New Roman" w:eastAsia="MS Mincho" w:hAnsi="Times New Roman"/>
          <w:sz w:val="28"/>
          <w:szCs w:val="28"/>
          <w:lang w:val="es-CO" w:eastAsia="es-ES_tradnl"/>
        </w:rPr>
        <w:t xml:space="preserve"> expediente </w:t>
      </w:r>
      <w:r w:rsidRPr="007F2045">
        <w:rPr>
          <w:rFonts w:ascii="Times New Roman" w:eastAsia="MS Mincho" w:hAnsi="Times New Roman"/>
          <w:sz w:val="28"/>
          <w:szCs w:val="28"/>
          <w:shd w:val="clear" w:color="auto" w:fill="FFFFFF"/>
          <w:lang w:val="es-CO" w:eastAsia="es-MX"/>
        </w:rPr>
        <w:t>RE-387</w:t>
      </w:r>
    </w:p>
    <w:p w14:paraId="2FA6C7B0" w14:textId="77777777" w:rsidR="00684A8D" w:rsidRPr="007F2045" w:rsidRDefault="00684A8D" w:rsidP="001B5728">
      <w:pPr>
        <w:widowControl w:val="0"/>
        <w:autoSpaceDE w:val="0"/>
        <w:autoSpaceDN w:val="0"/>
        <w:adjustRightInd w:val="0"/>
        <w:spacing w:after="0" w:line="240" w:lineRule="auto"/>
        <w:ind w:left="3969" w:right="-36"/>
        <w:rPr>
          <w:rFonts w:ascii="Times New Roman" w:eastAsia="MS Mincho" w:hAnsi="Times New Roman"/>
          <w:b/>
          <w:bCs/>
          <w:sz w:val="28"/>
          <w:szCs w:val="28"/>
          <w:lang w:val="es-CO" w:eastAsia="es-ES_tradnl"/>
        </w:rPr>
      </w:pPr>
    </w:p>
    <w:p w14:paraId="2C4777BE" w14:textId="77777777" w:rsidR="00684A8D" w:rsidRPr="007F2045" w:rsidRDefault="00684A8D" w:rsidP="001B5728">
      <w:pPr>
        <w:widowControl w:val="0"/>
        <w:autoSpaceDE w:val="0"/>
        <w:autoSpaceDN w:val="0"/>
        <w:adjustRightInd w:val="0"/>
        <w:spacing w:after="0" w:line="240" w:lineRule="auto"/>
        <w:ind w:left="3969" w:right="-34"/>
        <w:rPr>
          <w:rFonts w:ascii="Times New Roman" w:eastAsia="Times New Roman" w:hAnsi="Times New Roman"/>
          <w:sz w:val="28"/>
          <w:szCs w:val="28"/>
          <w:lang w:val="es-CO"/>
        </w:rPr>
      </w:pPr>
      <w:r w:rsidRPr="007F2045">
        <w:rPr>
          <w:rFonts w:ascii="Times New Roman" w:eastAsia="Times New Roman" w:hAnsi="Times New Roman"/>
          <w:b/>
          <w:sz w:val="28"/>
          <w:szCs w:val="28"/>
          <w:lang w:val="es-CO"/>
        </w:rPr>
        <w:t>Asunto:</w:t>
      </w:r>
      <w:r w:rsidRPr="007F2045">
        <w:rPr>
          <w:rFonts w:ascii="Times New Roman" w:eastAsia="Times New Roman" w:hAnsi="Times New Roman"/>
          <w:sz w:val="28"/>
          <w:szCs w:val="28"/>
          <w:lang w:val="es-CO"/>
        </w:rPr>
        <w:t xml:space="preserve"> medida de suspensión provisional </w:t>
      </w:r>
      <w:r w:rsidRPr="007F2045">
        <w:rPr>
          <w:rFonts w:ascii="Times New Roman" w:eastAsia="MS Mincho" w:hAnsi="Times New Roman"/>
          <w:sz w:val="28"/>
          <w:szCs w:val="28"/>
          <w:lang w:val="es-CO" w:eastAsia="es-MX"/>
        </w:rPr>
        <w:t>del Decreto</w:t>
      </w:r>
      <w:r w:rsidR="00763A46" w:rsidRPr="007F2045">
        <w:rPr>
          <w:rFonts w:ascii="Times New Roman" w:eastAsia="MS Mincho" w:hAnsi="Times New Roman"/>
          <w:sz w:val="28"/>
          <w:szCs w:val="28"/>
          <w:lang w:val="es-CO" w:eastAsia="es-MX"/>
        </w:rPr>
        <w:t xml:space="preserve"> </w:t>
      </w:r>
      <w:r w:rsidRPr="007F2045">
        <w:rPr>
          <w:rFonts w:ascii="Times New Roman" w:eastAsia="MS Mincho" w:hAnsi="Times New Roman"/>
          <w:sz w:val="28"/>
          <w:szCs w:val="28"/>
          <w:lang w:val="es-CO" w:eastAsia="es-MX"/>
        </w:rPr>
        <w:t>1390 del 22 de diciembre de 2025 “[p]</w:t>
      </w:r>
      <w:proofErr w:type="spellStart"/>
      <w:r w:rsidRPr="007F2045">
        <w:rPr>
          <w:rFonts w:ascii="Times New Roman" w:eastAsia="MS Mincho" w:hAnsi="Times New Roman"/>
          <w:sz w:val="28"/>
          <w:szCs w:val="28"/>
          <w:lang w:val="es-CO" w:eastAsia="es-MX"/>
        </w:rPr>
        <w:t>or</w:t>
      </w:r>
      <w:proofErr w:type="spellEnd"/>
      <w:r w:rsidRPr="007F2045">
        <w:rPr>
          <w:rFonts w:ascii="Times New Roman" w:eastAsia="MS Mincho" w:hAnsi="Times New Roman"/>
          <w:sz w:val="28"/>
          <w:szCs w:val="28"/>
          <w:lang w:val="es-CO" w:eastAsia="es-MX"/>
        </w:rPr>
        <w:t xml:space="preserve"> el cual se declara el Estado de Emergencia Económica y Social en todo el territorio nacional”</w:t>
      </w:r>
    </w:p>
    <w:p w14:paraId="4CC96E78" w14:textId="77777777" w:rsidR="00684A8D" w:rsidRPr="007F2045" w:rsidRDefault="00684A8D" w:rsidP="001B5728">
      <w:pPr>
        <w:autoSpaceDE w:val="0"/>
        <w:autoSpaceDN w:val="0"/>
        <w:adjustRightInd w:val="0"/>
        <w:spacing w:after="0" w:line="240" w:lineRule="auto"/>
        <w:ind w:left="3969" w:right="-34"/>
        <w:rPr>
          <w:rFonts w:ascii="Times New Roman" w:eastAsia="MS Mincho" w:hAnsi="Times New Roman"/>
          <w:b/>
          <w:bCs/>
          <w:sz w:val="28"/>
          <w:szCs w:val="28"/>
          <w:lang w:val="es-CO" w:eastAsia="es-MX"/>
        </w:rPr>
      </w:pPr>
      <w:r w:rsidRPr="007F2045">
        <w:rPr>
          <w:rFonts w:ascii="Times New Roman" w:eastAsia="MS Mincho" w:hAnsi="Times New Roman"/>
          <w:b/>
          <w:bCs/>
          <w:sz w:val="28"/>
          <w:szCs w:val="28"/>
          <w:lang w:val="es-CO" w:eastAsia="es-MX"/>
        </w:rPr>
        <w:tab/>
      </w:r>
      <w:r w:rsidRPr="007F2045">
        <w:rPr>
          <w:rFonts w:ascii="Times New Roman" w:eastAsia="MS Mincho" w:hAnsi="Times New Roman"/>
          <w:b/>
          <w:bCs/>
          <w:sz w:val="28"/>
          <w:szCs w:val="28"/>
          <w:lang w:val="es-CO" w:eastAsia="es-MX"/>
        </w:rPr>
        <w:tab/>
      </w:r>
    </w:p>
    <w:p w14:paraId="669FBF24" w14:textId="77777777" w:rsidR="00684A8D" w:rsidRPr="007F2045" w:rsidRDefault="00684A8D" w:rsidP="001B5728">
      <w:pPr>
        <w:autoSpaceDE w:val="0"/>
        <w:autoSpaceDN w:val="0"/>
        <w:adjustRightInd w:val="0"/>
        <w:spacing w:after="0" w:line="240" w:lineRule="auto"/>
        <w:ind w:left="3969" w:right="-34"/>
        <w:rPr>
          <w:rFonts w:ascii="Times New Roman" w:eastAsia="MS Mincho" w:hAnsi="Times New Roman"/>
          <w:sz w:val="28"/>
          <w:szCs w:val="28"/>
          <w:lang w:val="es-CO" w:eastAsia="es-MX"/>
        </w:rPr>
      </w:pPr>
      <w:r w:rsidRPr="007F2045">
        <w:rPr>
          <w:rFonts w:ascii="Times New Roman" w:eastAsia="MS Mincho" w:hAnsi="Times New Roman"/>
          <w:b/>
          <w:sz w:val="28"/>
          <w:szCs w:val="28"/>
          <w:lang w:val="es-CO" w:eastAsia="es-MX"/>
        </w:rPr>
        <w:t xml:space="preserve">Magistrados sustanciadores: </w:t>
      </w:r>
      <w:r w:rsidRPr="007F2045">
        <w:rPr>
          <w:rFonts w:ascii="Times New Roman" w:eastAsia="MS Mincho" w:hAnsi="Times New Roman"/>
          <w:sz w:val="28"/>
          <w:szCs w:val="28"/>
          <w:lang w:val="es-CO" w:eastAsia="es-MX"/>
        </w:rPr>
        <w:t xml:space="preserve">Natalia Ángel Cabo, Carlos Camargo </w:t>
      </w:r>
      <w:proofErr w:type="spellStart"/>
      <w:r w:rsidRPr="007F2045">
        <w:rPr>
          <w:rFonts w:ascii="Times New Roman" w:eastAsia="MS Mincho" w:hAnsi="Times New Roman"/>
          <w:sz w:val="28"/>
          <w:szCs w:val="28"/>
          <w:lang w:val="es-CO" w:eastAsia="es-MX"/>
        </w:rPr>
        <w:t>Assis</w:t>
      </w:r>
      <w:proofErr w:type="spellEnd"/>
      <w:r w:rsidRPr="007F2045">
        <w:rPr>
          <w:rFonts w:ascii="Times New Roman" w:eastAsia="MS Mincho" w:hAnsi="Times New Roman"/>
          <w:sz w:val="28"/>
          <w:szCs w:val="28"/>
          <w:lang w:val="es-CO" w:eastAsia="es-MX"/>
        </w:rPr>
        <w:t xml:space="preserve">, Juan Carlos Cortés González, Lina Marcela Escobar Martínez, Paola Andrea Meneses Mosquera y Miguel Polo Rosero </w:t>
      </w:r>
    </w:p>
    <w:p w14:paraId="1974C835" w14:textId="77777777" w:rsidR="00684A8D" w:rsidRPr="007F2045" w:rsidRDefault="00684A8D" w:rsidP="001B5728">
      <w:pPr>
        <w:autoSpaceDE w:val="0"/>
        <w:autoSpaceDN w:val="0"/>
        <w:adjustRightInd w:val="0"/>
        <w:spacing w:after="0" w:line="240" w:lineRule="auto"/>
        <w:ind w:right="-34"/>
        <w:rPr>
          <w:rFonts w:ascii="Times New Roman" w:eastAsia="MS Mincho" w:hAnsi="Times New Roman"/>
          <w:sz w:val="28"/>
          <w:szCs w:val="28"/>
          <w:lang w:val="es-CO" w:eastAsia="es-MX"/>
        </w:rPr>
      </w:pPr>
    </w:p>
    <w:p w14:paraId="303163F5" w14:textId="77777777" w:rsidR="00684A8D" w:rsidRPr="007F2045" w:rsidRDefault="00684A8D" w:rsidP="001B5728">
      <w:pPr>
        <w:spacing w:after="0" w:line="240" w:lineRule="auto"/>
        <w:rPr>
          <w:rFonts w:ascii="Times New Roman" w:hAnsi="Times New Roman"/>
          <w:sz w:val="28"/>
          <w:szCs w:val="28"/>
          <w:lang w:val="es-CO" w:eastAsia="es-MX"/>
        </w:rPr>
      </w:pPr>
      <w:r w:rsidRPr="007F2045">
        <w:rPr>
          <w:rFonts w:ascii="Times New Roman" w:hAnsi="Times New Roman"/>
          <w:sz w:val="28"/>
          <w:szCs w:val="28"/>
          <w:lang w:val="es-CO" w:eastAsia="es-MX"/>
        </w:rPr>
        <w:t>Bogotá D.C., veintinueve (29) de enero de dos mil veintiséis (2026).</w:t>
      </w:r>
    </w:p>
    <w:p w14:paraId="71D48B83" w14:textId="77777777" w:rsidR="00684A8D" w:rsidRPr="007F2045" w:rsidRDefault="00684A8D" w:rsidP="001B5728">
      <w:pPr>
        <w:spacing w:after="0" w:line="240" w:lineRule="auto"/>
        <w:rPr>
          <w:rFonts w:ascii="Times New Roman" w:hAnsi="Times New Roman"/>
          <w:sz w:val="28"/>
          <w:szCs w:val="28"/>
          <w:lang w:val="es-CO" w:eastAsia="es-MX"/>
        </w:rPr>
      </w:pPr>
    </w:p>
    <w:p w14:paraId="01F914CF" w14:textId="77777777" w:rsidR="00684A8D" w:rsidRPr="007F2045" w:rsidRDefault="00684A8D" w:rsidP="001B5728">
      <w:pPr>
        <w:tabs>
          <w:tab w:val="left" w:pos="284"/>
        </w:tabs>
        <w:spacing w:after="0" w:line="240" w:lineRule="auto"/>
        <w:rPr>
          <w:rFonts w:ascii="Times New Roman" w:hAnsi="Times New Roman"/>
          <w:sz w:val="28"/>
          <w:szCs w:val="28"/>
          <w:lang w:val="es-CO" w:eastAsia="es-MX"/>
        </w:rPr>
      </w:pPr>
      <w:r w:rsidRPr="007F2045">
        <w:rPr>
          <w:rFonts w:ascii="Times New Roman" w:hAnsi="Times New Roman"/>
          <w:sz w:val="28"/>
          <w:szCs w:val="28"/>
          <w:lang w:val="es-CO" w:eastAsia="es-MX"/>
        </w:rPr>
        <w:t>La Sala Plena de la Corte Constitucional</w:t>
      </w:r>
      <w:r w:rsidRPr="007F2045">
        <w:rPr>
          <w:rFonts w:ascii="Times New Roman" w:hAnsi="Times New Roman"/>
          <w:sz w:val="28"/>
          <w:szCs w:val="28"/>
          <w:shd w:val="clear" w:color="auto" w:fill="FFFFFF"/>
          <w:lang w:val="es-CO" w:eastAsia="es-MX"/>
        </w:rPr>
        <w:t xml:space="preserve">, </w:t>
      </w:r>
      <w:r w:rsidRPr="007F2045">
        <w:rPr>
          <w:rFonts w:ascii="Times New Roman" w:hAnsi="Times New Roman"/>
          <w:sz w:val="28"/>
          <w:szCs w:val="28"/>
          <w:lang w:val="es-CO" w:eastAsia="es-MX"/>
        </w:rPr>
        <w:t>en ejercicio de sus atribuciones constitucionales y legales, procede a emitir la presente providencia.</w:t>
      </w:r>
    </w:p>
    <w:p w14:paraId="4B9FF22F" w14:textId="77777777" w:rsidR="00684A8D" w:rsidRPr="007F2045" w:rsidRDefault="00684A8D" w:rsidP="001B5728">
      <w:pPr>
        <w:widowControl w:val="0"/>
        <w:tabs>
          <w:tab w:val="left" w:pos="284"/>
        </w:tabs>
        <w:autoSpaceDE w:val="0"/>
        <w:autoSpaceDN w:val="0"/>
        <w:adjustRightInd w:val="0"/>
        <w:spacing w:after="0" w:line="240" w:lineRule="auto"/>
        <w:rPr>
          <w:rFonts w:ascii="Times New Roman" w:eastAsia="MS Mincho" w:hAnsi="Times New Roman"/>
          <w:sz w:val="28"/>
          <w:szCs w:val="28"/>
          <w:lang w:val="es-CO" w:eastAsia="es-MX"/>
        </w:rPr>
      </w:pPr>
    </w:p>
    <w:p w14:paraId="521ADCA0" w14:textId="77777777" w:rsidR="00684A8D" w:rsidRPr="007F2045" w:rsidRDefault="00684A8D" w:rsidP="001B5728">
      <w:pPr>
        <w:pStyle w:val="Ttulo1"/>
        <w:rPr>
          <w:bCs/>
          <w:spacing w:val="34"/>
          <w:lang w:val="es-CO" w:eastAsia="es-MX"/>
        </w:rPr>
      </w:pPr>
      <w:r w:rsidRPr="007F2045">
        <w:rPr>
          <w:lang w:val="es-CO"/>
        </w:rPr>
        <w:t>ANTECEDENTES</w:t>
      </w:r>
    </w:p>
    <w:p w14:paraId="6B8ED803" w14:textId="77777777" w:rsidR="00684A8D" w:rsidRPr="007F2045" w:rsidRDefault="00684A8D" w:rsidP="001B5728">
      <w:pPr>
        <w:widowControl w:val="0"/>
        <w:tabs>
          <w:tab w:val="left" w:pos="284"/>
        </w:tabs>
        <w:autoSpaceDE w:val="0"/>
        <w:autoSpaceDN w:val="0"/>
        <w:adjustRightInd w:val="0"/>
        <w:spacing w:after="0" w:line="240" w:lineRule="auto"/>
        <w:rPr>
          <w:rFonts w:ascii="Times New Roman" w:eastAsia="MS Mincho" w:hAnsi="Times New Roman"/>
          <w:sz w:val="28"/>
          <w:szCs w:val="28"/>
          <w:lang w:val="es-CO" w:eastAsia="es-MX"/>
        </w:rPr>
      </w:pPr>
    </w:p>
    <w:p w14:paraId="6201EEE3" w14:textId="77777777" w:rsidR="00684A8D" w:rsidRPr="007F2045" w:rsidRDefault="00684A8D" w:rsidP="001B5728">
      <w:pPr>
        <w:widowControl w:val="0"/>
        <w:numPr>
          <w:ilvl w:val="0"/>
          <w:numId w:val="2"/>
        </w:numPr>
        <w:tabs>
          <w:tab w:val="left" w:pos="284"/>
          <w:tab w:val="left" w:pos="426"/>
        </w:tabs>
        <w:autoSpaceDE w:val="0"/>
        <w:autoSpaceDN w:val="0"/>
        <w:adjustRightInd w:val="0"/>
        <w:spacing w:after="0" w:line="240" w:lineRule="auto"/>
        <w:ind w:left="0" w:firstLine="0"/>
        <w:rPr>
          <w:rFonts w:ascii="Times New Roman" w:eastAsia="MS Mincho" w:hAnsi="Times New Roman"/>
          <w:sz w:val="28"/>
          <w:szCs w:val="28"/>
          <w:lang w:val="es-CO" w:eastAsia="es-MX"/>
        </w:rPr>
      </w:pPr>
      <w:r w:rsidRPr="007F2045">
        <w:rPr>
          <w:rFonts w:ascii="Times New Roman" w:eastAsia="MS Mincho" w:hAnsi="Times New Roman"/>
          <w:sz w:val="28"/>
          <w:szCs w:val="28"/>
          <w:lang w:val="es-CO" w:eastAsia="es-MX"/>
        </w:rPr>
        <w:t>El 22 de diciembre de 2025, el presidente de la República expidió el Decreto 1390, “[p]</w:t>
      </w:r>
      <w:proofErr w:type="spellStart"/>
      <w:r w:rsidRPr="007F2045">
        <w:rPr>
          <w:rFonts w:ascii="Times New Roman" w:eastAsia="MS Mincho" w:hAnsi="Times New Roman"/>
          <w:sz w:val="28"/>
          <w:szCs w:val="28"/>
          <w:lang w:val="es-CO" w:eastAsia="es-MX"/>
        </w:rPr>
        <w:t>or</w:t>
      </w:r>
      <w:proofErr w:type="spellEnd"/>
      <w:r w:rsidRPr="007F2045">
        <w:rPr>
          <w:rFonts w:ascii="Times New Roman" w:eastAsia="MS Mincho" w:hAnsi="Times New Roman"/>
          <w:sz w:val="28"/>
          <w:szCs w:val="28"/>
          <w:lang w:val="es-CO" w:eastAsia="es-MX"/>
        </w:rPr>
        <w:t xml:space="preserve"> el cual se declara el Estado de Emergencia Económica y Social en todo el territorio nacional”</w:t>
      </w:r>
      <w:r w:rsidR="006F75AD" w:rsidRPr="007F2045">
        <w:rPr>
          <w:rFonts w:ascii="Times New Roman" w:eastAsia="MS Mincho" w:hAnsi="Times New Roman"/>
          <w:szCs w:val="28"/>
          <w:vertAlign w:val="superscript"/>
          <w:lang w:val="es-CO" w:eastAsia="es-MX"/>
        </w:rPr>
        <w:footnoteReference w:id="1"/>
      </w:r>
      <w:r w:rsidRPr="007F2045">
        <w:rPr>
          <w:rFonts w:ascii="Times New Roman" w:eastAsia="MS Mincho" w:hAnsi="Times New Roman"/>
          <w:sz w:val="28"/>
          <w:szCs w:val="28"/>
          <w:lang w:val="es-CO" w:eastAsia="es-MX"/>
        </w:rPr>
        <w:t xml:space="preserve">. A partir de ese momento </w:t>
      </w:r>
      <w:r w:rsidR="00341F48" w:rsidRPr="007F2045">
        <w:rPr>
          <w:rFonts w:ascii="Times New Roman" w:eastAsia="MS Mincho" w:hAnsi="Times New Roman"/>
          <w:sz w:val="28"/>
          <w:szCs w:val="28"/>
          <w:lang w:val="es-CO" w:eastAsia="es-MX"/>
        </w:rPr>
        <w:t>profirió</w:t>
      </w:r>
      <w:r w:rsidRPr="007F2045">
        <w:rPr>
          <w:rFonts w:ascii="Times New Roman" w:eastAsia="MS Mincho" w:hAnsi="Times New Roman"/>
          <w:sz w:val="28"/>
          <w:szCs w:val="28"/>
          <w:lang w:val="es-CO" w:eastAsia="es-MX"/>
        </w:rPr>
        <w:t xml:space="preserve"> </w:t>
      </w:r>
      <w:r w:rsidR="003F2973" w:rsidRPr="007F2045">
        <w:rPr>
          <w:rFonts w:ascii="Times New Roman" w:eastAsia="MS Mincho" w:hAnsi="Times New Roman"/>
          <w:sz w:val="28"/>
          <w:szCs w:val="28"/>
          <w:lang w:val="es-CO" w:eastAsia="es-MX"/>
        </w:rPr>
        <w:t>l</w:t>
      </w:r>
      <w:r w:rsidRPr="007F2045">
        <w:rPr>
          <w:rFonts w:ascii="Times New Roman" w:eastAsia="MS Mincho" w:hAnsi="Times New Roman"/>
          <w:sz w:val="28"/>
          <w:szCs w:val="28"/>
          <w:lang w:val="es-CO" w:eastAsia="es-MX"/>
        </w:rPr>
        <w:t>os decretos de desarrollo</w:t>
      </w:r>
      <w:r w:rsidR="003F2973" w:rsidRPr="007F2045">
        <w:rPr>
          <w:rFonts w:ascii="Times New Roman" w:eastAsia="MS Mincho" w:hAnsi="Times New Roman"/>
          <w:sz w:val="28"/>
          <w:szCs w:val="28"/>
          <w:lang w:val="es-CO" w:eastAsia="es-MX"/>
        </w:rPr>
        <w:t xml:space="preserve"> 1474 de 2025 y 044 de 2026</w:t>
      </w:r>
      <w:r w:rsidRPr="007F2045">
        <w:rPr>
          <w:rFonts w:ascii="Times New Roman" w:eastAsia="MS Mincho" w:hAnsi="Times New Roman"/>
          <w:sz w:val="28"/>
          <w:szCs w:val="28"/>
          <w:lang w:val="es-CO" w:eastAsia="es-MX"/>
        </w:rPr>
        <w:t xml:space="preserve">. El 13 de enero de 2026, la Sala Plena efectuó el reparto del asunto por sorteo, </w:t>
      </w:r>
      <w:r w:rsidR="001234BF" w:rsidRPr="007F2045">
        <w:rPr>
          <w:rFonts w:ascii="Times New Roman" w:eastAsia="MS Mincho" w:hAnsi="Times New Roman"/>
          <w:sz w:val="28"/>
          <w:szCs w:val="28"/>
          <w:lang w:val="es-CO" w:eastAsia="es-MX"/>
        </w:rPr>
        <w:t>y su conocimiento correspondió</w:t>
      </w:r>
      <w:r w:rsidRPr="007F2045">
        <w:rPr>
          <w:rFonts w:ascii="Times New Roman" w:eastAsia="MS Mincho" w:hAnsi="Times New Roman"/>
          <w:sz w:val="28"/>
          <w:szCs w:val="28"/>
          <w:lang w:val="es-CO" w:eastAsia="es-MX"/>
        </w:rPr>
        <w:t xml:space="preserve"> al magistrado Carlos Camargo </w:t>
      </w:r>
      <w:proofErr w:type="spellStart"/>
      <w:r w:rsidRPr="007F2045">
        <w:rPr>
          <w:rFonts w:ascii="Times New Roman" w:eastAsia="MS Mincho" w:hAnsi="Times New Roman"/>
          <w:sz w:val="28"/>
          <w:szCs w:val="28"/>
          <w:lang w:val="es-CO" w:eastAsia="es-MX"/>
        </w:rPr>
        <w:t>Assis</w:t>
      </w:r>
      <w:proofErr w:type="spellEnd"/>
      <w:r w:rsidRPr="007F2045">
        <w:rPr>
          <w:rFonts w:ascii="Times New Roman" w:eastAsia="MS Mincho" w:hAnsi="Times New Roman"/>
          <w:sz w:val="28"/>
          <w:szCs w:val="28"/>
          <w:lang w:val="es-CO" w:eastAsia="es-MX"/>
        </w:rPr>
        <w:t xml:space="preserve">. El 14 de enero, el magistrado </w:t>
      </w:r>
      <w:r w:rsidR="00F86BB5" w:rsidRPr="007F2045">
        <w:rPr>
          <w:rFonts w:ascii="Times New Roman" w:eastAsia="MS Mincho" w:hAnsi="Times New Roman"/>
          <w:sz w:val="28"/>
          <w:szCs w:val="28"/>
          <w:lang w:val="es-CO" w:eastAsia="es-MX"/>
        </w:rPr>
        <w:t>sustanciador</w:t>
      </w:r>
      <w:r w:rsidRPr="007F2045">
        <w:rPr>
          <w:rFonts w:ascii="Times New Roman" w:eastAsia="MS Mincho" w:hAnsi="Times New Roman"/>
          <w:sz w:val="28"/>
          <w:szCs w:val="28"/>
          <w:lang w:val="es-CO" w:eastAsia="es-MX"/>
        </w:rPr>
        <w:t xml:space="preserve"> avocó el conocimiento,</w:t>
      </w:r>
      <w:r w:rsidRPr="007F2045">
        <w:rPr>
          <w:rFonts w:ascii="Times New Roman" w:eastAsia="MS Mincho" w:hAnsi="Times New Roman"/>
          <w:b/>
          <w:sz w:val="28"/>
          <w:szCs w:val="28"/>
          <w:lang w:val="es-CO" w:eastAsia="es-MX"/>
        </w:rPr>
        <w:t xml:space="preserve"> </w:t>
      </w:r>
      <w:r w:rsidRPr="007F2045">
        <w:rPr>
          <w:rFonts w:ascii="Times New Roman" w:eastAsia="MS Mincho" w:hAnsi="Times New Roman"/>
          <w:sz w:val="28"/>
          <w:szCs w:val="28"/>
          <w:lang w:val="es-CO" w:eastAsia="es-MX"/>
        </w:rPr>
        <w:t xml:space="preserve">dispuso comunicar el inicio del asunto al Gobierno </w:t>
      </w:r>
      <w:r w:rsidR="00094739" w:rsidRPr="007F2045">
        <w:rPr>
          <w:rFonts w:ascii="Times New Roman" w:eastAsia="MS Mincho" w:hAnsi="Times New Roman"/>
          <w:sz w:val="28"/>
          <w:szCs w:val="28"/>
          <w:lang w:val="es-CO" w:eastAsia="es-MX"/>
        </w:rPr>
        <w:t xml:space="preserve">nacional </w:t>
      </w:r>
      <w:r w:rsidRPr="007F2045">
        <w:rPr>
          <w:rFonts w:ascii="Times New Roman" w:eastAsia="MS Mincho" w:hAnsi="Times New Roman"/>
          <w:sz w:val="28"/>
          <w:szCs w:val="28"/>
          <w:lang w:val="es-CO" w:eastAsia="es-MX"/>
        </w:rPr>
        <w:t>y decretó la práctica de pruebas, entre otras actuaciones.</w:t>
      </w:r>
    </w:p>
    <w:p w14:paraId="7F3667C8" w14:textId="77777777" w:rsidR="00763A46" w:rsidRPr="007F2045" w:rsidRDefault="00763A46" w:rsidP="001B5728">
      <w:pPr>
        <w:widowControl w:val="0"/>
        <w:tabs>
          <w:tab w:val="left" w:pos="284"/>
          <w:tab w:val="left" w:pos="426"/>
        </w:tabs>
        <w:autoSpaceDE w:val="0"/>
        <w:autoSpaceDN w:val="0"/>
        <w:adjustRightInd w:val="0"/>
        <w:spacing w:after="0" w:line="240" w:lineRule="auto"/>
        <w:rPr>
          <w:rFonts w:ascii="Times New Roman" w:eastAsia="MS Mincho" w:hAnsi="Times New Roman"/>
          <w:sz w:val="28"/>
          <w:szCs w:val="28"/>
          <w:lang w:val="es-CO" w:eastAsia="es-MX"/>
        </w:rPr>
      </w:pPr>
    </w:p>
    <w:p w14:paraId="65386462" w14:textId="77777777" w:rsidR="00684A8D" w:rsidRPr="007F2045" w:rsidRDefault="00763A46" w:rsidP="001B5728">
      <w:pPr>
        <w:widowControl w:val="0"/>
        <w:numPr>
          <w:ilvl w:val="0"/>
          <w:numId w:val="2"/>
        </w:numPr>
        <w:tabs>
          <w:tab w:val="left" w:pos="284"/>
          <w:tab w:val="left" w:pos="426"/>
        </w:tabs>
        <w:autoSpaceDE w:val="0"/>
        <w:autoSpaceDN w:val="0"/>
        <w:adjustRightInd w:val="0"/>
        <w:spacing w:after="0" w:line="240" w:lineRule="auto"/>
        <w:ind w:left="0" w:firstLine="0"/>
        <w:rPr>
          <w:rFonts w:ascii="Times New Roman" w:eastAsia="MS Mincho" w:hAnsi="Times New Roman"/>
          <w:sz w:val="28"/>
          <w:szCs w:val="28"/>
          <w:lang w:val="es-CO" w:eastAsia="es-MX"/>
        </w:rPr>
      </w:pPr>
      <w:r w:rsidRPr="007F2045">
        <w:rPr>
          <w:rFonts w:ascii="Times New Roman" w:hAnsi="Times New Roman"/>
          <w:sz w:val="28"/>
          <w:szCs w:val="28"/>
          <w:lang w:val="es-CO" w:eastAsia="es-MX"/>
        </w:rPr>
        <w:t>E</w:t>
      </w:r>
      <w:r w:rsidR="00684A8D" w:rsidRPr="007F2045">
        <w:rPr>
          <w:rFonts w:ascii="Times New Roman" w:hAnsi="Times New Roman"/>
          <w:sz w:val="28"/>
          <w:szCs w:val="28"/>
          <w:lang w:val="es-CO" w:eastAsia="es-MX"/>
        </w:rPr>
        <w:t xml:space="preserve">l magistrado Carlos Camargo </w:t>
      </w:r>
      <w:proofErr w:type="spellStart"/>
      <w:r w:rsidR="00684A8D" w:rsidRPr="007F2045">
        <w:rPr>
          <w:rFonts w:ascii="Times New Roman" w:hAnsi="Times New Roman"/>
          <w:sz w:val="28"/>
          <w:szCs w:val="28"/>
          <w:lang w:val="es-CO" w:eastAsia="es-MX"/>
        </w:rPr>
        <w:t>Assis</w:t>
      </w:r>
      <w:proofErr w:type="spellEnd"/>
      <w:r w:rsidR="00684A8D" w:rsidRPr="007F2045">
        <w:rPr>
          <w:rFonts w:ascii="Times New Roman" w:hAnsi="Times New Roman"/>
          <w:sz w:val="28"/>
          <w:szCs w:val="28"/>
          <w:lang w:val="es-CO" w:eastAsia="es-MX"/>
        </w:rPr>
        <w:t xml:space="preserve"> presentó ante la Sala Plena petición de suspensión provisional del Decreto 1390 del 22 de diciembre de 2025</w:t>
      </w:r>
      <w:r w:rsidRPr="007F2045">
        <w:rPr>
          <w:rFonts w:ascii="Times New Roman" w:hAnsi="Times New Roman"/>
          <w:szCs w:val="28"/>
          <w:vertAlign w:val="superscript"/>
          <w:lang w:val="es-CO" w:eastAsia="es-MX"/>
        </w:rPr>
        <w:footnoteReference w:id="2"/>
      </w:r>
      <w:r w:rsidR="00684A8D" w:rsidRPr="007F2045">
        <w:rPr>
          <w:rFonts w:ascii="Times New Roman" w:hAnsi="Times New Roman"/>
          <w:sz w:val="28"/>
          <w:szCs w:val="28"/>
          <w:lang w:val="es-CO" w:eastAsia="es-MX"/>
        </w:rPr>
        <w:t xml:space="preserve">. </w:t>
      </w:r>
    </w:p>
    <w:p w14:paraId="3F6FDFD7" w14:textId="77777777" w:rsidR="00684A8D" w:rsidRPr="007F2045" w:rsidRDefault="00684A8D" w:rsidP="001B5728">
      <w:pPr>
        <w:widowControl w:val="0"/>
        <w:tabs>
          <w:tab w:val="left" w:pos="284"/>
          <w:tab w:val="left" w:pos="426"/>
        </w:tabs>
        <w:autoSpaceDE w:val="0"/>
        <w:autoSpaceDN w:val="0"/>
        <w:adjustRightInd w:val="0"/>
        <w:spacing w:after="0" w:line="240" w:lineRule="auto"/>
        <w:rPr>
          <w:rFonts w:ascii="Times New Roman" w:eastAsia="MS Mincho" w:hAnsi="Times New Roman"/>
          <w:sz w:val="28"/>
          <w:szCs w:val="28"/>
          <w:lang w:val="es-CO" w:eastAsia="es-MX"/>
        </w:rPr>
      </w:pPr>
    </w:p>
    <w:p w14:paraId="41EB0596" w14:textId="77777777" w:rsidR="00684A8D" w:rsidRPr="007F2045" w:rsidRDefault="00684A8D" w:rsidP="001B5728">
      <w:pPr>
        <w:widowControl w:val="0"/>
        <w:numPr>
          <w:ilvl w:val="0"/>
          <w:numId w:val="2"/>
        </w:numPr>
        <w:tabs>
          <w:tab w:val="left" w:pos="284"/>
          <w:tab w:val="left" w:pos="426"/>
        </w:tabs>
        <w:autoSpaceDE w:val="0"/>
        <w:autoSpaceDN w:val="0"/>
        <w:adjustRightInd w:val="0"/>
        <w:spacing w:after="0" w:line="240" w:lineRule="auto"/>
        <w:ind w:left="0" w:firstLine="0"/>
        <w:rPr>
          <w:rFonts w:ascii="Times New Roman" w:eastAsia="MS Mincho" w:hAnsi="Times New Roman"/>
          <w:sz w:val="28"/>
          <w:szCs w:val="28"/>
          <w:lang w:val="es-CO" w:eastAsia="es-MX"/>
        </w:rPr>
      </w:pPr>
      <w:r w:rsidRPr="007F2045">
        <w:rPr>
          <w:rFonts w:ascii="Times New Roman" w:hAnsi="Times New Roman"/>
          <w:sz w:val="28"/>
          <w:szCs w:val="28"/>
          <w:lang w:val="es-CO" w:eastAsia="es-MX"/>
        </w:rPr>
        <w:lastRenderedPageBreak/>
        <w:t xml:space="preserve">Así las cosas, </w:t>
      </w:r>
      <w:r w:rsidR="00D94E0A" w:rsidRPr="007F2045">
        <w:rPr>
          <w:rFonts w:ascii="Times New Roman" w:hAnsi="Times New Roman"/>
          <w:sz w:val="28"/>
          <w:szCs w:val="28"/>
          <w:lang w:val="es-CO" w:eastAsia="es-MX"/>
        </w:rPr>
        <w:t xml:space="preserve">una vez examinada la petición presentada por el magistrado sustanciador, </w:t>
      </w:r>
      <w:r w:rsidR="00A15100" w:rsidRPr="007F2045">
        <w:rPr>
          <w:rFonts w:ascii="Times New Roman" w:hAnsi="Times New Roman"/>
          <w:sz w:val="28"/>
          <w:szCs w:val="28"/>
          <w:lang w:val="es-CO" w:eastAsia="es-MX"/>
        </w:rPr>
        <w:t xml:space="preserve">y con base en los elementos de juicio aportados, </w:t>
      </w:r>
      <w:r w:rsidRPr="007F2045">
        <w:rPr>
          <w:rFonts w:ascii="Times New Roman" w:hAnsi="Times New Roman"/>
          <w:sz w:val="28"/>
          <w:szCs w:val="28"/>
          <w:lang w:val="es-CO" w:eastAsia="es-MX"/>
        </w:rPr>
        <w:t>la Sala Plena de la Corte</w:t>
      </w:r>
      <w:r w:rsidR="009C399F" w:rsidRPr="007F2045">
        <w:rPr>
          <w:rFonts w:ascii="Times New Roman" w:hAnsi="Times New Roman"/>
          <w:sz w:val="28"/>
          <w:szCs w:val="28"/>
          <w:lang w:val="es-CO" w:eastAsia="es-MX"/>
        </w:rPr>
        <w:t>,</w:t>
      </w:r>
      <w:r w:rsidRPr="007F2045">
        <w:rPr>
          <w:rFonts w:ascii="Times New Roman" w:hAnsi="Times New Roman"/>
          <w:sz w:val="28"/>
          <w:szCs w:val="28"/>
          <w:lang w:val="es-CO" w:eastAsia="es-MX"/>
        </w:rPr>
        <w:t xml:space="preserve"> procede a su resolución. </w:t>
      </w:r>
    </w:p>
    <w:p w14:paraId="70421418" w14:textId="77777777" w:rsidR="00684A8D" w:rsidRPr="007F2045" w:rsidRDefault="00684A8D" w:rsidP="001B5728">
      <w:pPr>
        <w:spacing w:after="0" w:line="240" w:lineRule="auto"/>
        <w:contextualSpacing/>
        <w:rPr>
          <w:rFonts w:ascii="Times New Roman" w:hAnsi="Times New Roman"/>
          <w:sz w:val="28"/>
          <w:szCs w:val="28"/>
          <w:lang w:val="es-CO" w:eastAsia="es-MX"/>
        </w:rPr>
      </w:pPr>
    </w:p>
    <w:p w14:paraId="3209DD4C" w14:textId="77777777" w:rsidR="00684A8D" w:rsidRPr="007F2045" w:rsidRDefault="00684A8D" w:rsidP="001B5728">
      <w:pPr>
        <w:pStyle w:val="Ttulo1"/>
        <w:rPr>
          <w:lang w:val="es-CO" w:eastAsia="es-MX"/>
        </w:rPr>
      </w:pPr>
      <w:r w:rsidRPr="007F2045">
        <w:rPr>
          <w:lang w:val="es-CO" w:eastAsia="es-MX"/>
        </w:rPr>
        <w:t>CONSIDERACIONES</w:t>
      </w:r>
    </w:p>
    <w:p w14:paraId="3F7B7AC3" w14:textId="77777777" w:rsidR="00684A8D" w:rsidRPr="007F2045" w:rsidRDefault="00684A8D" w:rsidP="001B5728">
      <w:pPr>
        <w:spacing w:after="0" w:line="240" w:lineRule="auto"/>
        <w:rPr>
          <w:rFonts w:ascii="Times New Roman" w:hAnsi="Times New Roman"/>
          <w:sz w:val="28"/>
          <w:szCs w:val="28"/>
          <w:lang w:val="es-CO" w:eastAsia="es-MX"/>
        </w:rPr>
      </w:pPr>
    </w:p>
    <w:p w14:paraId="7F214F9F" w14:textId="77777777" w:rsidR="00684A8D" w:rsidRPr="007F2045" w:rsidRDefault="00684A8D" w:rsidP="001B5728">
      <w:pPr>
        <w:pStyle w:val="Ttulo2"/>
        <w:rPr>
          <w:lang w:val="es-CO" w:eastAsia="es-MX"/>
        </w:rPr>
      </w:pPr>
      <w:r w:rsidRPr="007F2045">
        <w:rPr>
          <w:lang w:val="es-CO" w:eastAsia="es-MX"/>
        </w:rPr>
        <w:t xml:space="preserve">Competencia </w:t>
      </w:r>
    </w:p>
    <w:p w14:paraId="3BF87D39" w14:textId="77777777" w:rsidR="00684A8D" w:rsidRPr="007F2045" w:rsidRDefault="00684A8D" w:rsidP="001B5728">
      <w:pPr>
        <w:widowControl w:val="0"/>
        <w:tabs>
          <w:tab w:val="left" w:pos="284"/>
        </w:tabs>
        <w:autoSpaceDE w:val="0"/>
        <w:autoSpaceDN w:val="0"/>
        <w:adjustRightInd w:val="0"/>
        <w:spacing w:after="0" w:line="240" w:lineRule="auto"/>
        <w:rPr>
          <w:rFonts w:ascii="Times New Roman" w:eastAsia="MS Mincho" w:hAnsi="Times New Roman"/>
          <w:sz w:val="28"/>
          <w:szCs w:val="28"/>
          <w:lang w:val="es-CO" w:eastAsia="es-MX"/>
        </w:rPr>
      </w:pPr>
    </w:p>
    <w:p w14:paraId="46E8D44A" w14:textId="77777777" w:rsidR="00684A8D" w:rsidRPr="007F2045" w:rsidRDefault="00684A8D" w:rsidP="001B5728">
      <w:pPr>
        <w:widowControl w:val="0"/>
        <w:numPr>
          <w:ilvl w:val="0"/>
          <w:numId w:val="2"/>
        </w:numPr>
        <w:tabs>
          <w:tab w:val="left" w:pos="284"/>
          <w:tab w:val="left" w:pos="426"/>
        </w:tabs>
        <w:autoSpaceDE w:val="0"/>
        <w:autoSpaceDN w:val="0"/>
        <w:adjustRightInd w:val="0"/>
        <w:spacing w:after="0" w:line="240" w:lineRule="auto"/>
        <w:ind w:left="0" w:firstLine="0"/>
        <w:rPr>
          <w:rFonts w:ascii="Times New Roman" w:eastAsia="MS Mincho" w:hAnsi="Times New Roman"/>
          <w:sz w:val="28"/>
          <w:szCs w:val="28"/>
          <w:lang w:val="es-CO" w:eastAsia="es-MX"/>
        </w:rPr>
      </w:pPr>
      <w:r w:rsidRPr="007F2045">
        <w:rPr>
          <w:rFonts w:ascii="Times New Roman" w:eastAsia="MS Mincho" w:hAnsi="Times New Roman"/>
          <w:sz w:val="28"/>
          <w:szCs w:val="28"/>
          <w:lang w:val="es-CO" w:eastAsia="es-MX"/>
        </w:rPr>
        <w:t>La Corte Constitucional es competente para pronunciarse sobre la suspensión provisional del Decreto 1390 del 22 de diciembre de 2025</w:t>
      </w:r>
      <w:r w:rsidR="00077FB0" w:rsidRPr="007F2045">
        <w:rPr>
          <w:rFonts w:ascii="Times New Roman" w:eastAsia="MS Mincho" w:hAnsi="Times New Roman"/>
          <w:sz w:val="28"/>
          <w:szCs w:val="28"/>
          <w:lang w:val="es-CO" w:eastAsia="es-MX"/>
        </w:rPr>
        <w:t>,</w:t>
      </w:r>
      <w:r w:rsidRPr="007F2045">
        <w:rPr>
          <w:rFonts w:ascii="Times New Roman" w:eastAsia="MS Mincho" w:hAnsi="Times New Roman"/>
          <w:sz w:val="28"/>
          <w:szCs w:val="28"/>
          <w:lang w:val="es-CO" w:eastAsia="es-MX"/>
        </w:rPr>
        <w:t xml:space="preserve"> con fundamento</w:t>
      </w:r>
      <w:r w:rsidR="00AC79A2" w:rsidRPr="007F2045">
        <w:rPr>
          <w:rFonts w:ascii="Times New Roman" w:eastAsia="MS Mincho" w:hAnsi="Times New Roman"/>
          <w:color w:val="EE0000"/>
          <w:sz w:val="28"/>
          <w:szCs w:val="28"/>
          <w:lang w:val="es-CO" w:eastAsia="es-MX"/>
        </w:rPr>
        <w:t xml:space="preserve"> </w:t>
      </w:r>
      <w:r w:rsidRPr="007F2045">
        <w:rPr>
          <w:rFonts w:ascii="Times New Roman" w:eastAsia="MS Mincho" w:hAnsi="Times New Roman"/>
          <w:sz w:val="28"/>
          <w:szCs w:val="28"/>
          <w:lang w:val="es-CO" w:eastAsia="es-MX"/>
        </w:rPr>
        <w:t>en el artículo 2</w:t>
      </w:r>
      <w:r w:rsidR="00957C20" w:rsidRPr="007F2045">
        <w:rPr>
          <w:rFonts w:ascii="Times New Roman" w:eastAsia="MS Mincho" w:hAnsi="Times New Roman"/>
          <w:sz w:val="28"/>
          <w:szCs w:val="28"/>
          <w:lang w:val="es-CO" w:eastAsia="es-MX"/>
        </w:rPr>
        <w:t>41.7</w:t>
      </w:r>
      <w:r w:rsidRPr="007F2045">
        <w:rPr>
          <w:rFonts w:ascii="Times New Roman" w:eastAsia="MS Mincho" w:hAnsi="Times New Roman"/>
          <w:sz w:val="28"/>
          <w:szCs w:val="28"/>
          <w:lang w:val="es-CO" w:eastAsia="es-MX"/>
        </w:rPr>
        <w:t xml:space="preserve"> de la Constitución.</w:t>
      </w:r>
    </w:p>
    <w:p w14:paraId="6D24F9E4" w14:textId="77777777" w:rsidR="00684A8D" w:rsidRPr="007F2045" w:rsidRDefault="00684A8D" w:rsidP="001B5728">
      <w:pPr>
        <w:widowControl w:val="0"/>
        <w:tabs>
          <w:tab w:val="left" w:pos="284"/>
          <w:tab w:val="left" w:pos="426"/>
        </w:tabs>
        <w:autoSpaceDE w:val="0"/>
        <w:autoSpaceDN w:val="0"/>
        <w:adjustRightInd w:val="0"/>
        <w:spacing w:after="0" w:line="240" w:lineRule="auto"/>
        <w:rPr>
          <w:rFonts w:ascii="Times New Roman" w:eastAsia="MS Mincho" w:hAnsi="Times New Roman"/>
          <w:sz w:val="28"/>
          <w:szCs w:val="28"/>
          <w:lang w:val="es-CO" w:eastAsia="es-MX"/>
        </w:rPr>
      </w:pPr>
    </w:p>
    <w:p w14:paraId="3E9385F5" w14:textId="77777777" w:rsidR="00684A8D" w:rsidRPr="007F2045" w:rsidRDefault="00684A8D" w:rsidP="001B5728">
      <w:pPr>
        <w:widowControl w:val="0"/>
        <w:numPr>
          <w:ilvl w:val="0"/>
          <w:numId w:val="2"/>
        </w:numPr>
        <w:tabs>
          <w:tab w:val="left" w:pos="284"/>
          <w:tab w:val="left" w:pos="426"/>
        </w:tabs>
        <w:autoSpaceDE w:val="0"/>
        <w:autoSpaceDN w:val="0"/>
        <w:adjustRightInd w:val="0"/>
        <w:spacing w:after="0" w:line="240" w:lineRule="auto"/>
        <w:ind w:left="0" w:firstLine="0"/>
        <w:rPr>
          <w:rFonts w:ascii="Times New Roman" w:eastAsia="MS Mincho" w:hAnsi="Times New Roman"/>
          <w:sz w:val="28"/>
          <w:szCs w:val="28"/>
          <w:lang w:val="es-CO" w:eastAsia="es-MX"/>
        </w:rPr>
      </w:pPr>
      <w:r w:rsidRPr="007F2045">
        <w:rPr>
          <w:rFonts w:ascii="Times New Roman" w:eastAsia="MS Mincho" w:hAnsi="Times New Roman"/>
          <w:sz w:val="28"/>
          <w:szCs w:val="28"/>
          <w:lang w:val="es-CO" w:eastAsia="es-ES"/>
        </w:rPr>
        <w:t xml:space="preserve">A pesar de que el término que define la vigencia del decreto declaratorio (30 días calendario) ha concluido, ello no impide que esta Corporación pueda pronunciarse sobre </w:t>
      </w:r>
      <w:r w:rsidR="005B5C3B" w:rsidRPr="007F2045">
        <w:rPr>
          <w:rFonts w:ascii="Times New Roman" w:eastAsia="MS Mincho" w:hAnsi="Times New Roman"/>
          <w:sz w:val="28"/>
          <w:szCs w:val="28"/>
          <w:lang w:val="es-CO" w:eastAsia="es-ES"/>
        </w:rPr>
        <w:t>la</w:t>
      </w:r>
      <w:r w:rsidRPr="007F2045">
        <w:rPr>
          <w:rFonts w:ascii="Times New Roman" w:eastAsia="MS Mincho" w:hAnsi="Times New Roman"/>
          <w:sz w:val="28"/>
          <w:szCs w:val="28"/>
          <w:lang w:val="es-CO" w:eastAsia="es-ES"/>
        </w:rPr>
        <w:t xml:space="preserve"> suspensión provisional</w:t>
      </w:r>
      <w:r w:rsidR="005B5C3B" w:rsidRPr="007F2045">
        <w:rPr>
          <w:rFonts w:ascii="Times New Roman" w:eastAsia="MS Mincho" w:hAnsi="Times New Roman"/>
          <w:sz w:val="28"/>
          <w:szCs w:val="28"/>
          <w:lang w:val="es-CO" w:eastAsia="es-ES"/>
        </w:rPr>
        <w:t xml:space="preserve"> de sus efectos</w:t>
      </w:r>
      <w:r w:rsidR="00EF2B6F" w:rsidRPr="007F2045">
        <w:rPr>
          <w:rFonts w:ascii="Times New Roman" w:eastAsia="MS Mincho" w:hAnsi="Times New Roman"/>
          <w:sz w:val="28"/>
          <w:szCs w:val="28"/>
          <w:lang w:val="es-CO" w:eastAsia="es-ES"/>
        </w:rPr>
        <w:t>.</w:t>
      </w:r>
      <w:r w:rsidR="00AC79A2" w:rsidRPr="007F2045">
        <w:rPr>
          <w:rFonts w:ascii="Times New Roman" w:eastAsia="MS Mincho" w:hAnsi="Times New Roman"/>
          <w:sz w:val="28"/>
          <w:szCs w:val="28"/>
          <w:lang w:val="es-CO" w:eastAsia="es-ES"/>
        </w:rPr>
        <w:t xml:space="preserve"> </w:t>
      </w:r>
      <w:r w:rsidR="00EF2B6F" w:rsidRPr="007F2045">
        <w:rPr>
          <w:rFonts w:ascii="Times New Roman" w:eastAsia="MS Mincho" w:hAnsi="Times New Roman"/>
          <w:sz w:val="28"/>
          <w:szCs w:val="28"/>
          <w:lang w:val="es-CO" w:eastAsia="es-ES"/>
        </w:rPr>
        <w:t xml:space="preserve">En efecto, </w:t>
      </w:r>
      <w:r w:rsidRPr="007F2045">
        <w:rPr>
          <w:rFonts w:ascii="Times New Roman" w:eastAsia="MS Mincho" w:hAnsi="Times New Roman"/>
          <w:sz w:val="28"/>
          <w:szCs w:val="28"/>
          <w:lang w:val="es-CO" w:eastAsia="es-ES"/>
        </w:rPr>
        <w:t xml:space="preserve">la Corte ha </w:t>
      </w:r>
      <w:r w:rsidR="00DA715D" w:rsidRPr="007F2045">
        <w:rPr>
          <w:rFonts w:ascii="Times New Roman" w:eastAsia="MS Mincho" w:hAnsi="Times New Roman"/>
          <w:sz w:val="28"/>
          <w:szCs w:val="28"/>
          <w:lang w:val="es-CO" w:eastAsia="es-ES"/>
        </w:rPr>
        <w:t xml:space="preserve">admitido </w:t>
      </w:r>
      <w:r w:rsidRPr="007F2045">
        <w:rPr>
          <w:rFonts w:ascii="Times New Roman" w:eastAsia="MS Mincho" w:hAnsi="Times New Roman"/>
          <w:sz w:val="28"/>
          <w:szCs w:val="28"/>
          <w:lang w:val="es-CO" w:eastAsia="es-ES"/>
        </w:rPr>
        <w:t xml:space="preserve">que </w:t>
      </w:r>
      <w:r w:rsidR="00AC79A2" w:rsidRPr="007F2045">
        <w:rPr>
          <w:rFonts w:ascii="Times New Roman" w:eastAsia="MS Mincho" w:hAnsi="Times New Roman"/>
          <w:sz w:val="28"/>
          <w:szCs w:val="28"/>
          <w:lang w:val="es-CO" w:eastAsia="es-ES"/>
        </w:rPr>
        <w:t xml:space="preserve">esta circunstancia </w:t>
      </w:r>
      <w:r w:rsidRPr="007F2045">
        <w:rPr>
          <w:rFonts w:ascii="Times New Roman" w:eastAsia="MS Mincho" w:hAnsi="Times New Roman"/>
          <w:sz w:val="28"/>
          <w:szCs w:val="28"/>
          <w:lang w:val="es-CO" w:eastAsia="es-ES"/>
        </w:rPr>
        <w:t xml:space="preserve">no </w:t>
      </w:r>
      <w:r w:rsidR="00CD679C" w:rsidRPr="007F2045">
        <w:rPr>
          <w:rFonts w:ascii="Times New Roman" w:eastAsia="MS Mincho" w:hAnsi="Times New Roman"/>
          <w:sz w:val="28"/>
          <w:szCs w:val="28"/>
          <w:lang w:val="es-CO" w:eastAsia="es-ES"/>
        </w:rPr>
        <w:t xml:space="preserve">afecta </w:t>
      </w:r>
      <w:r w:rsidRPr="007F2045">
        <w:rPr>
          <w:rFonts w:ascii="Times New Roman" w:eastAsia="MS Mincho" w:hAnsi="Times New Roman"/>
          <w:sz w:val="28"/>
          <w:szCs w:val="28"/>
          <w:lang w:val="es-CO" w:eastAsia="es-ES"/>
        </w:rPr>
        <w:t>el ejercicio de sus competencias</w:t>
      </w:r>
      <w:r w:rsidRPr="007F2045">
        <w:rPr>
          <w:rFonts w:ascii="Times New Roman" w:eastAsia="MS Mincho" w:hAnsi="Times New Roman"/>
          <w:szCs w:val="28"/>
          <w:vertAlign w:val="superscript"/>
          <w:lang w:val="es-CO" w:eastAsia="es-ES"/>
        </w:rPr>
        <w:footnoteReference w:id="3"/>
      </w:r>
      <w:r w:rsidR="00AC79A2" w:rsidRPr="007F2045">
        <w:rPr>
          <w:rFonts w:ascii="Times New Roman" w:eastAsia="MS Mincho" w:hAnsi="Times New Roman"/>
          <w:sz w:val="28"/>
          <w:szCs w:val="28"/>
          <w:lang w:val="es-CO" w:eastAsia="es-ES"/>
        </w:rPr>
        <w:t xml:space="preserve">, máxime </w:t>
      </w:r>
      <w:r w:rsidR="00CD679C" w:rsidRPr="007F2045">
        <w:rPr>
          <w:rFonts w:ascii="Times New Roman" w:eastAsia="MS Mincho" w:hAnsi="Times New Roman"/>
          <w:sz w:val="28"/>
          <w:szCs w:val="28"/>
          <w:lang w:val="es-CO" w:eastAsia="es-ES"/>
        </w:rPr>
        <w:t xml:space="preserve">cuando del decreto objeto de pronunciamiento se deriva la validez y eficacia de </w:t>
      </w:r>
      <w:r w:rsidRPr="007F2045">
        <w:rPr>
          <w:rFonts w:ascii="Times New Roman" w:eastAsia="MS Mincho" w:hAnsi="Times New Roman"/>
          <w:sz w:val="28"/>
          <w:szCs w:val="28"/>
          <w:lang w:val="es-CO" w:eastAsia="es-ES"/>
        </w:rPr>
        <w:t>los decretos de desarrollo</w:t>
      </w:r>
      <w:r w:rsidRPr="007F2045">
        <w:rPr>
          <w:rFonts w:ascii="Times New Roman" w:eastAsia="MS Mincho" w:hAnsi="Times New Roman"/>
          <w:szCs w:val="28"/>
          <w:vertAlign w:val="superscript"/>
          <w:lang w:val="es-CO" w:eastAsia="es-ES"/>
        </w:rPr>
        <w:footnoteReference w:id="4"/>
      </w:r>
      <w:r w:rsidRPr="007F2045">
        <w:rPr>
          <w:rFonts w:ascii="Times New Roman" w:eastAsia="MS Mincho" w:hAnsi="Times New Roman"/>
          <w:sz w:val="28"/>
          <w:szCs w:val="28"/>
          <w:lang w:val="es-CO" w:eastAsia="es-ES"/>
        </w:rPr>
        <w:t>.</w:t>
      </w:r>
      <w:r w:rsidRPr="007F2045">
        <w:rPr>
          <w:rFonts w:ascii="Times New Roman" w:hAnsi="Times New Roman"/>
          <w:sz w:val="28"/>
          <w:szCs w:val="28"/>
          <w:lang w:val="es-CO"/>
        </w:rPr>
        <w:t xml:space="preserve"> </w:t>
      </w:r>
    </w:p>
    <w:p w14:paraId="3C86D1A9" w14:textId="77777777" w:rsidR="00684A8D" w:rsidRPr="007F2045" w:rsidRDefault="00684A8D" w:rsidP="001B5728">
      <w:pPr>
        <w:widowControl w:val="0"/>
        <w:tabs>
          <w:tab w:val="left" w:pos="284"/>
          <w:tab w:val="left" w:pos="426"/>
        </w:tabs>
        <w:autoSpaceDE w:val="0"/>
        <w:autoSpaceDN w:val="0"/>
        <w:adjustRightInd w:val="0"/>
        <w:spacing w:after="0" w:line="240" w:lineRule="auto"/>
        <w:rPr>
          <w:rFonts w:ascii="Times New Roman" w:eastAsia="MS Mincho" w:hAnsi="Times New Roman"/>
          <w:sz w:val="28"/>
          <w:szCs w:val="28"/>
          <w:lang w:val="es-CO" w:eastAsia="es-MX"/>
        </w:rPr>
      </w:pPr>
    </w:p>
    <w:p w14:paraId="1B260914" w14:textId="77777777" w:rsidR="00684A8D" w:rsidRPr="007F2045" w:rsidRDefault="00967B65" w:rsidP="001B5728">
      <w:pPr>
        <w:pStyle w:val="Ttulo2"/>
        <w:rPr>
          <w:lang w:val="es-CO"/>
        </w:rPr>
      </w:pPr>
      <w:r w:rsidRPr="007F2045">
        <w:rPr>
          <w:lang w:val="es-CO"/>
        </w:rPr>
        <w:t xml:space="preserve">Síntesis </w:t>
      </w:r>
      <w:r w:rsidR="00684A8D" w:rsidRPr="007F2045">
        <w:rPr>
          <w:lang w:val="es-CO"/>
        </w:rPr>
        <w:t xml:space="preserve">y estructura de la decisión </w:t>
      </w:r>
    </w:p>
    <w:p w14:paraId="1D36FF16" w14:textId="77777777" w:rsidR="00684A8D" w:rsidRPr="007F2045" w:rsidRDefault="00684A8D" w:rsidP="001B5728">
      <w:pPr>
        <w:pStyle w:val="Prrafodelista"/>
        <w:spacing w:after="0" w:line="240" w:lineRule="auto"/>
        <w:rPr>
          <w:rFonts w:ascii="Times New Roman" w:hAnsi="Times New Roman"/>
          <w:b/>
          <w:sz w:val="28"/>
          <w:szCs w:val="28"/>
          <w:lang w:val="es-CO"/>
        </w:rPr>
      </w:pPr>
    </w:p>
    <w:p w14:paraId="61E4B905" w14:textId="77777777" w:rsidR="002C10DA" w:rsidRPr="007F2045" w:rsidRDefault="00967B65" w:rsidP="001B5728">
      <w:pPr>
        <w:widowControl w:val="0"/>
        <w:numPr>
          <w:ilvl w:val="0"/>
          <w:numId w:val="2"/>
        </w:numPr>
        <w:tabs>
          <w:tab w:val="left" w:pos="284"/>
          <w:tab w:val="left" w:pos="426"/>
        </w:tabs>
        <w:autoSpaceDE w:val="0"/>
        <w:autoSpaceDN w:val="0"/>
        <w:adjustRightInd w:val="0"/>
        <w:spacing w:after="0" w:line="240" w:lineRule="auto"/>
        <w:ind w:left="0" w:firstLine="0"/>
        <w:rPr>
          <w:rFonts w:ascii="Times New Roman" w:hAnsi="Times New Roman"/>
          <w:b/>
          <w:sz w:val="28"/>
          <w:szCs w:val="28"/>
          <w:lang w:val="es-CO"/>
        </w:rPr>
      </w:pPr>
      <w:r w:rsidRPr="007F2045">
        <w:rPr>
          <w:rFonts w:ascii="Times New Roman" w:hAnsi="Times New Roman"/>
          <w:sz w:val="28"/>
          <w:szCs w:val="28"/>
          <w:lang w:val="es-CO"/>
        </w:rPr>
        <w:t>La Corte ha concluido que es procedente</w:t>
      </w:r>
      <w:r w:rsidR="00532FE0" w:rsidRPr="007F2045">
        <w:rPr>
          <w:rFonts w:ascii="Times New Roman" w:hAnsi="Times New Roman"/>
          <w:sz w:val="28"/>
          <w:szCs w:val="28"/>
          <w:lang w:val="es-CO"/>
        </w:rPr>
        <w:t xml:space="preserve"> la suspensión</w:t>
      </w:r>
      <w:r w:rsidRPr="007F2045">
        <w:rPr>
          <w:rFonts w:ascii="Times New Roman" w:hAnsi="Times New Roman"/>
          <w:sz w:val="28"/>
          <w:szCs w:val="28"/>
          <w:lang w:val="es-CO"/>
        </w:rPr>
        <w:t xml:space="preserve"> provisional</w:t>
      </w:r>
      <w:r w:rsidR="00532FE0" w:rsidRPr="007F2045">
        <w:rPr>
          <w:rFonts w:ascii="Times New Roman" w:hAnsi="Times New Roman"/>
          <w:sz w:val="28"/>
          <w:szCs w:val="28"/>
          <w:lang w:val="es-CO"/>
        </w:rPr>
        <w:t xml:space="preserve"> de</w:t>
      </w:r>
      <w:r w:rsidRPr="007F2045">
        <w:rPr>
          <w:rFonts w:ascii="Times New Roman" w:hAnsi="Times New Roman"/>
          <w:sz w:val="28"/>
          <w:szCs w:val="28"/>
          <w:lang w:val="es-CO"/>
        </w:rPr>
        <w:t xml:space="preserve"> los efectos del </w:t>
      </w:r>
      <w:r w:rsidR="00684A8D" w:rsidRPr="007F2045">
        <w:rPr>
          <w:rFonts w:ascii="Times New Roman" w:hAnsi="Times New Roman"/>
          <w:sz w:val="28"/>
          <w:szCs w:val="28"/>
          <w:lang w:val="es-CO"/>
        </w:rPr>
        <w:t xml:space="preserve">Decreto 1390 de 2025 </w:t>
      </w:r>
      <w:r w:rsidR="00684A8D" w:rsidRPr="007F2045">
        <w:rPr>
          <w:rFonts w:ascii="Times New Roman" w:eastAsia="MS Mincho" w:hAnsi="Times New Roman"/>
          <w:sz w:val="28"/>
          <w:szCs w:val="28"/>
          <w:lang w:val="es-CO" w:eastAsia="es-MX"/>
        </w:rPr>
        <w:t>“[p]</w:t>
      </w:r>
      <w:proofErr w:type="spellStart"/>
      <w:r w:rsidR="00684A8D" w:rsidRPr="007F2045">
        <w:rPr>
          <w:rFonts w:ascii="Times New Roman" w:eastAsia="MS Mincho" w:hAnsi="Times New Roman"/>
          <w:sz w:val="28"/>
          <w:szCs w:val="28"/>
          <w:lang w:val="es-CO" w:eastAsia="es-MX"/>
        </w:rPr>
        <w:t>or</w:t>
      </w:r>
      <w:proofErr w:type="spellEnd"/>
      <w:r w:rsidR="00684A8D" w:rsidRPr="007F2045">
        <w:rPr>
          <w:rFonts w:ascii="Times New Roman" w:eastAsia="MS Mincho" w:hAnsi="Times New Roman"/>
          <w:sz w:val="28"/>
          <w:szCs w:val="28"/>
          <w:lang w:val="es-CO" w:eastAsia="es-MX"/>
        </w:rPr>
        <w:t xml:space="preserve"> el cual se declara el Estado de Emergencia Económica y Social en todo el territorio nacional”.</w:t>
      </w:r>
      <w:r w:rsidRPr="007F2045">
        <w:rPr>
          <w:rFonts w:ascii="Times New Roman" w:eastAsia="MS Mincho" w:hAnsi="Times New Roman"/>
          <w:sz w:val="28"/>
          <w:szCs w:val="28"/>
          <w:lang w:val="es-CO" w:eastAsia="es-MX"/>
        </w:rPr>
        <w:t xml:space="preserve"> </w:t>
      </w:r>
      <w:r w:rsidR="006D540D" w:rsidRPr="007F2045">
        <w:rPr>
          <w:rFonts w:ascii="Times New Roman" w:eastAsia="MS Mincho" w:hAnsi="Times New Roman"/>
          <w:sz w:val="28"/>
          <w:szCs w:val="28"/>
          <w:lang w:val="es-CO" w:eastAsia="es-MX"/>
        </w:rPr>
        <w:t xml:space="preserve">Esta decisión </w:t>
      </w:r>
      <w:r w:rsidR="00B50227" w:rsidRPr="007F2045">
        <w:rPr>
          <w:rFonts w:ascii="Times New Roman" w:eastAsia="MS Mincho" w:hAnsi="Times New Roman"/>
          <w:sz w:val="28"/>
          <w:szCs w:val="28"/>
          <w:lang w:val="es-CO" w:eastAsia="es-MX"/>
        </w:rPr>
        <w:t xml:space="preserve">se </w:t>
      </w:r>
      <w:r w:rsidR="002C10DA" w:rsidRPr="007F2045">
        <w:rPr>
          <w:rFonts w:ascii="Times New Roman" w:eastAsia="MS Mincho" w:hAnsi="Times New Roman"/>
          <w:sz w:val="28"/>
          <w:szCs w:val="28"/>
          <w:lang w:val="es-CO" w:eastAsia="es-MX"/>
        </w:rPr>
        <w:t>sustenta en</w:t>
      </w:r>
      <w:r w:rsidR="00B50227" w:rsidRPr="007F2045">
        <w:rPr>
          <w:rFonts w:ascii="Times New Roman" w:eastAsia="MS Mincho" w:hAnsi="Times New Roman"/>
          <w:sz w:val="28"/>
          <w:szCs w:val="28"/>
          <w:lang w:val="es-CO" w:eastAsia="es-MX"/>
        </w:rPr>
        <w:t xml:space="preserve"> </w:t>
      </w:r>
      <w:r w:rsidR="00523D5B" w:rsidRPr="007F2045">
        <w:rPr>
          <w:rFonts w:ascii="Times New Roman" w:eastAsia="MS Mincho" w:hAnsi="Times New Roman"/>
          <w:sz w:val="28"/>
          <w:szCs w:val="28"/>
          <w:lang w:val="es-CO" w:eastAsia="es-MX"/>
        </w:rPr>
        <w:t xml:space="preserve">cuatro </w:t>
      </w:r>
      <w:r w:rsidR="00B50227" w:rsidRPr="007F2045">
        <w:rPr>
          <w:rFonts w:ascii="Times New Roman" w:eastAsia="MS Mincho" w:hAnsi="Times New Roman"/>
          <w:sz w:val="28"/>
          <w:szCs w:val="28"/>
          <w:lang w:val="es-CO" w:eastAsia="es-MX"/>
        </w:rPr>
        <w:t xml:space="preserve">razones. </w:t>
      </w:r>
    </w:p>
    <w:p w14:paraId="1E9AE057" w14:textId="77777777" w:rsidR="002C10DA" w:rsidRPr="007F2045" w:rsidRDefault="002C10DA" w:rsidP="001B5728">
      <w:pPr>
        <w:widowControl w:val="0"/>
        <w:tabs>
          <w:tab w:val="left" w:pos="284"/>
          <w:tab w:val="left" w:pos="426"/>
        </w:tabs>
        <w:autoSpaceDE w:val="0"/>
        <w:autoSpaceDN w:val="0"/>
        <w:adjustRightInd w:val="0"/>
        <w:spacing w:after="0" w:line="240" w:lineRule="auto"/>
        <w:rPr>
          <w:rFonts w:ascii="Times New Roman" w:hAnsi="Times New Roman"/>
          <w:b/>
          <w:sz w:val="28"/>
          <w:szCs w:val="28"/>
          <w:lang w:val="es-CO"/>
        </w:rPr>
      </w:pPr>
    </w:p>
    <w:p w14:paraId="369D362F" w14:textId="77777777" w:rsidR="003D2F4D" w:rsidRPr="007F2045" w:rsidRDefault="00B50227" w:rsidP="001B5728">
      <w:pPr>
        <w:widowControl w:val="0"/>
        <w:numPr>
          <w:ilvl w:val="0"/>
          <w:numId w:val="2"/>
        </w:numPr>
        <w:tabs>
          <w:tab w:val="left" w:pos="284"/>
          <w:tab w:val="left" w:pos="426"/>
        </w:tabs>
        <w:autoSpaceDE w:val="0"/>
        <w:autoSpaceDN w:val="0"/>
        <w:adjustRightInd w:val="0"/>
        <w:spacing w:after="0" w:line="240" w:lineRule="auto"/>
        <w:ind w:left="0" w:firstLine="0"/>
        <w:rPr>
          <w:rFonts w:ascii="Times New Roman" w:hAnsi="Times New Roman"/>
          <w:b/>
          <w:sz w:val="28"/>
          <w:szCs w:val="28"/>
          <w:lang w:val="es-CO"/>
        </w:rPr>
      </w:pPr>
      <w:r w:rsidRPr="007F2045">
        <w:rPr>
          <w:rFonts w:ascii="Times New Roman" w:eastAsia="MS Mincho" w:hAnsi="Times New Roman"/>
          <w:i/>
          <w:sz w:val="28"/>
          <w:szCs w:val="28"/>
          <w:lang w:val="es-CO" w:eastAsia="es-MX"/>
        </w:rPr>
        <w:t>Primera,</w:t>
      </w:r>
      <w:r w:rsidR="006D540D" w:rsidRPr="007F2045">
        <w:rPr>
          <w:rFonts w:ascii="Times New Roman" w:eastAsia="MS Mincho" w:hAnsi="Times New Roman"/>
          <w:sz w:val="28"/>
          <w:szCs w:val="28"/>
          <w:lang w:val="es-CO" w:eastAsia="es-MX"/>
        </w:rPr>
        <w:t xml:space="preserve"> el reconocimiento de la suspensión provisional de normas con fuerza de ley se inscribe en un proceso de</w:t>
      </w:r>
      <w:r w:rsidR="00FC20AB" w:rsidRPr="007F2045">
        <w:rPr>
          <w:rFonts w:ascii="Times New Roman" w:eastAsia="MS Mincho" w:hAnsi="Times New Roman"/>
          <w:sz w:val="28"/>
          <w:szCs w:val="28"/>
          <w:lang w:val="es-CO" w:eastAsia="es-MX"/>
        </w:rPr>
        <w:t xml:space="preserve"> interpretación</w:t>
      </w:r>
      <w:r w:rsidR="006D540D" w:rsidRPr="007F2045">
        <w:rPr>
          <w:rFonts w:ascii="Times New Roman" w:eastAsia="MS Mincho" w:hAnsi="Times New Roman"/>
          <w:sz w:val="28"/>
          <w:szCs w:val="28"/>
          <w:lang w:val="es-CO" w:eastAsia="es-MX"/>
        </w:rPr>
        <w:t xml:space="preserve"> de la</w:t>
      </w:r>
      <w:r w:rsidR="00FC20AB" w:rsidRPr="007F2045">
        <w:rPr>
          <w:rFonts w:ascii="Times New Roman" w:eastAsia="MS Mincho" w:hAnsi="Times New Roman"/>
          <w:sz w:val="28"/>
          <w:szCs w:val="28"/>
          <w:lang w:val="es-CO" w:eastAsia="es-MX"/>
        </w:rPr>
        <w:t xml:space="preserve">s atribuciones de la </w:t>
      </w:r>
      <w:r w:rsidR="006D540D" w:rsidRPr="007F2045">
        <w:rPr>
          <w:rFonts w:ascii="Times New Roman" w:eastAsia="MS Mincho" w:hAnsi="Times New Roman"/>
          <w:sz w:val="28"/>
          <w:szCs w:val="28"/>
          <w:lang w:val="es-CO" w:eastAsia="es-MX"/>
        </w:rPr>
        <w:t>jurisdicción constitucional</w:t>
      </w:r>
      <w:r w:rsidR="00E4402D" w:rsidRPr="007F2045">
        <w:rPr>
          <w:rFonts w:ascii="Times New Roman" w:eastAsia="MS Mincho" w:hAnsi="Times New Roman"/>
          <w:sz w:val="28"/>
          <w:szCs w:val="28"/>
          <w:lang w:val="es-CO" w:eastAsia="es-MX"/>
        </w:rPr>
        <w:t>,</w:t>
      </w:r>
      <w:r w:rsidR="006D540D" w:rsidRPr="007F2045">
        <w:rPr>
          <w:rFonts w:ascii="Times New Roman" w:eastAsia="MS Mincho" w:hAnsi="Times New Roman"/>
          <w:sz w:val="28"/>
          <w:szCs w:val="28"/>
          <w:lang w:val="es-CO" w:eastAsia="es-MX"/>
        </w:rPr>
        <w:t xml:space="preserve"> </w:t>
      </w:r>
      <w:r w:rsidR="002C10DA" w:rsidRPr="007F2045">
        <w:rPr>
          <w:rFonts w:ascii="Times New Roman" w:eastAsia="MS Mincho" w:hAnsi="Times New Roman"/>
          <w:sz w:val="28"/>
          <w:szCs w:val="28"/>
          <w:lang w:val="es-CO" w:eastAsia="es-MX"/>
        </w:rPr>
        <w:t>orientado a</w:t>
      </w:r>
      <w:r w:rsidR="00523D5B" w:rsidRPr="007F2045">
        <w:rPr>
          <w:rFonts w:ascii="Times New Roman" w:eastAsia="MS Mincho" w:hAnsi="Times New Roman"/>
          <w:sz w:val="28"/>
          <w:szCs w:val="28"/>
          <w:lang w:val="es-CO" w:eastAsia="es-MX"/>
        </w:rPr>
        <w:t xml:space="preserve"> asegurar su eficacia para la guarda de la integridad y supremacía del Texto Superior</w:t>
      </w:r>
      <w:r w:rsidRPr="007F2045">
        <w:rPr>
          <w:rFonts w:ascii="Times New Roman" w:eastAsia="MS Mincho" w:hAnsi="Times New Roman"/>
          <w:sz w:val="28"/>
          <w:szCs w:val="28"/>
          <w:lang w:val="es-CO" w:eastAsia="es-MX"/>
        </w:rPr>
        <w:t xml:space="preserve">. </w:t>
      </w:r>
      <w:r w:rsidRPr="007F2045">
        <w:rPr>
          <w:rFonts w:ascii="Times New Roman" w:eastAsia="MS Mincho" w:hAnsi="Times New Roman"/>
          <w:i/>
          <w:sz w:val="28"/>
          <w:szCs w:val="28"/>
          <w:lang w:val="es-CO" w:eastAsia="es-MX"/>
        </w:rPr>
        <w:t>Segunda</w:t>
      </w:r>
      <w:r w:rsidRPr="007F2045">
        <w:rPr>
          <w:rFonts w:ascii="Times New Roman" w:eastAsia="MS Mincho" w:hAnsi="Times New Roman"/>
          <w:sz w:val="28"/>
          <w:szCs w:val="28"/>
          <w:lang w:val="es-CO" w:eastAsia="es-MX"/>
        </w:rPr>
        <w:t xml:space="preserve">, de </w:t>
      </w:r>
      <w:r w:rsidR="00532FE0" w:rsidRPr="007F2045">
        <w:rPr>
          <w:rFonts w:ascii="Times New Roman" w:eastAsia="MS Mincho" w:hAnsi="Times New Roman"/>
          <w:sz w:val="28"/>
          <w:szCs w:val="28"/>
          <w:lang w:val="es-CO" w:eastAsia="es-MX"/>
        </w:rPr>
        <w:t>la sentencia C-179 de 1994</w:t>
      </w:r>
      <w:r w:rsidRPr="007F2045">
        <w:rPr>
          <w:rFonts w:ascii="Times New Roman" w:eastAsia="MS Mincho" w:hAnsi="Times New Roman"/>
          <w:sz w:val="28"/>
          <w:szCs w:val="28"/>
          <w:lang w:val="es-CO" w:eastAsia="es-MX"/>
        </w:rPr>
        <w:t xml:space="preserve"> no se desprende una prohibición para suspender provisionalmente el decreto que declara un estado de excepción. </w:t>
      </w:r>
      <w:r w:rsidRPr="007F2045">
        <w:rPr>
          <w:rFonts w:ascii="Times New Roman" w:eastAsia="MS Mincho" w:hAnsi="Times New Roman"/>
          <w:i/>
          <w:sz w:val="28"/>
          <w:szCs w:val="28"/>
          <w:lang w:val="es-CO" w:eastAsia="es-MX"/>
        </w:rPr>
        <w:t>Tercera</w:t>
      </w:r>
      <w:r w:rsidRPr="007F2045">
        <w:rPr>
          <w:rFonts w:ascii="Times New Roman" w:eastAsia="MS Mincho" w:hAnsi="Times New Roman"/>
          <w:sz w:val="28"/>
          <w:szCs w:val="28"/>
          <w:lang w:val="es-CO" w:eastAsia="es-MX"/>
        </w:rPr>
        <w:t>,</w:t>
      </w:r>
      <w:r w:rsidR="00532FE0" w:rsidRPr="007F2045">
        <w:rPr>
          <w:rFonts w:ascii="Times New Roman" w:eastAsia="MS Mincho" w:hAnsi="Times New Roman"/>
          <w:sz w:val="28"/>
          <w:szCs w:val="28"/>
          <w:lang w:val="es-CO" w:eastAsia="es-MX"/>
        </w:rPr>
        <w:t xml:space="preserve"> </w:t>
      </w:r>
      <w:r w:rsidRPr="007F2045">
        <w:rPr>
          <w:rFonts w:ascii="Times New Roman" w:eastAsia="MS Mincho" w:hAnsi="Times New Roman"/>
          <w:sz w:val="28"/>
          <w:szCs w:val="28"/>
          <w:lang w:val="es-CO" w:eastAsia="es-MX"/>
        </w:rPr>
        <w:t xml:space="preserve">para determinar si es procedente la suspensión provisional </w:t>
      </w:r>
      <w:r w:rsidR="00FC20AB" w:rsidRPr="007F2045">
        <w:rPr>
          <w:rFonts w:ascii="Times New Roman" w:eastAsia="MS Mincho" w:hAnsi="Times New Roman"/>
          <w:sz w:val="28"/>
          <w:szCs w:val="28"/>
          <w:lang w:val="es-CO" w:eastAsia="es-MX"/>
        </w:rPr>
        <w:t xml:space="preserve">del Decreto 1390 de 2025 </w:t>
      </w:r>
      <w:r w:rsidRPr="007F2045">
        <w:rPr>
          <w:rFonts w:ascii="Times New Roman" w:eastAsia="MS Mincho" w:hAnsi="Times New Roman"/>
          <w:sz w:val="28"/>
          <w:szCs w:val="28"/>
          <w:lang w:val="es-CO" w:eastAsia="es-MX"/>
        </w:rPr>
        <w:t xml:space="preserve">es aplicable el precedente establecido en </w:t>
      </w:r>
      <w:r w:rsidR="00532FE0" w:rsidRPr="007F2045">
        <w:rPr>
          <w:rFonts w:ascii="Times New Roman" w:eastAsia="MS Mincho" w:hAnsi="Times New Roman"/>
          <w:sz w:val="28"/>
          <w:szCs w:val="28"/>
          <w:lang w:val="es-CO" w:eastAsia="es-MX"/>
        </w:rPr>
        <w:t xml:space="preserve">el </w:t>
      </w:r>
      <w:r w:rsidR="009E35F9" w:rsidRPr="007F2045">
        <w:rPr>
          <w:rFonts w:ascii="Times New Roman" w:eastAsia="MS Mincho" w:hAnsi="Times New Roman"/>
          <w:sz w:val="28"/>
          <w:szCs w:val="28"/>
          <w:lang w:val="es-CO" w:eastAsia="es-MX"/>
        </w:rPr>
        <w:t>a</w:t>
      </w:r>
      <w:r w:rsidR="00532FE0" w:rsidRPr="007F2045">
        <w:rPr>
          <w:rFonts w:ascii="Times New Roman" w:eastAsia="MS Mincho" w:hAnsi="Times New Roman"/>
          <w:sz w:val="28"/>
          <w:szCs w:val="28"/>
          <w:lang w:val="es-CO" w:eastAsia="es-MX"/>
        </w:rPr>
        <w:t>uto 272 de 2023</w:t>
      </w:r>
      <w:r w:rsidRPr="007F2045">
        <w:rPr>
          <w:rFonts w:ascii="Times New Roman" w:eastAsia="MS Mincho" w:hAnsi="Times New Roman"/>
          <w:sz w:val="28"/>
          <w:szCs w:val="28"/>
          <w:lang w:val="es-CO" w:eastAsia="es-MX"/>
        </w:rPr>
        <w:t xml:space="preserve"> y las condiciones allí </w:t>
      </w:r>
      <w:r w:rsidR="00E4402D" w:rsidRPr="007F2045">
        <w:rPr>
          <w:rFonts w:ascii="Times New Roman" w:eastAsia="MS Mincho" w:hAnsi="Times New Roman"/>
          <w:sz w:val="28"/>
          <w:szCs w:val="28"/>
          <w:lang w:val="es-CO" w:eastAsia="es-MX"/>
        </w:rPr>
        <w:t>previstas</w:t>
      </w:r>
      <w:r w:rsidR="00515BA1" w:rsidRPr="007F2045">
        <w:rPr>
          <w:rFonts w:ascii="Times New Roman" w:eastAsia="MS Mincho" w:hAnsi="Times New Roman"/>
          <w:sz w:val="28"/>
          <w:szCs w:val="28"/>
          <w:lang w:val="es-CO" w:eastAsia="es-MX"/>
        </w:rPr>
        <w:t xml:space="preserve">. </w:t>
      </w:r>
      <w:r w:rsidRPr="007F2045">
        <w:rPr>
          <w:rFonts w:ascii="Times New Roman" w:eastAsia="MS Mincho" w:hAnsi="Times New Roman"/>
          <w:i/>
          <w:sz w:val="28"/>
          <w:szCs w:val="28"/>
          <w:lang w:val="es-CO" w:eastAsia="es-MX"/>
        </w:rPr>
        <w:t>Cuarta</w:t>
      </w:r>
      <w:r w:rsidRPr="007F2045">
        <w:rPr>
          <w:rFonts w:ascii="Times New Roman" w:eastAsia="MS Mincho" w:hAnsi="Times New Roman"/>
          <w:sz w:val="28"/>
          <w:szCs w:val="28"/>
          <w:lang w:val="es-CO" w:eastAsia="es-MX"/>
        </w:rPr>
        <w:t>, l</w:t>
      </w:r>
      <w:r w:rsidR="00515BA1" w:rsidRPr="007F2045">
        <w:rPr>
          <w:rFonts w:ascii="Times New Roman" w:eastAsia="MS Mincho" w:hAnsi="Times New Roman"/>
          <w:sz w:val="28"/>
          <w:szCs w:val="28"/>
          <w:lang w:val="es-CO" w:eastAsia="es-MX"/>
        </w:rPr>
        <w:t xml:space="preserve">a Sala Plena </w:t>
      </w:r>
      <w:r w:rsidR="002C10DA" w:rsidRPr="007F2045">
        <w:rPr>
          <w:rFonts w:ascii="Times New Roman" w:eastAsia="MS Mincho" w:hAnsi="Times New Roman"/>
          <w:sz w:val="28"/>
          <w:szCs w:val="28"/>
          <w:lang w:val="es-CO" w:eastAsia="es-MX"/>
        </w:rPr>
        <w:t>constata</w:t>
      </w:r>
      <w:r w:rsidRPr="007F2045">
        <w:rPr>
          <w:rFonts w:ascii="Times New Roman" w:eastAsia="MS Mincho" w:hAnsi="Times New Roman"/>
          <w:sz w:val="28"/>
          <w:szCs w:val="28"/>
          <w:lang w:val="es-CO" w:eastAsia="es-MX"/>
        </w:rPr>
        <w:t xml:space="preserve"> que se cumplen tales condiciones</w:t>
      </w:r>
      <w:r w:rsidR="002C10DA" w:rsidRPr="007F2045">
        <w:rPr>
          <w:rFonts w:ascii="Times New Roman" w:eastAsia="MS Mincho" w:hAnsi="Times New Roman"/>
          <w:sz w:val="28"/>
          <w:szCs w:val="28"/>
          <w:lang w:val="es-CO" w:eastAsia="es-MX"/>
        </w:rPr>
        <w:t xml:space="preserve">. </w:t>
      </w:r>
    </w:p>
    <w:p w14:paraId="483474FA" w14:textId="77777777" w:rsidR="003D2F4D" w:rsidRPr="007F2045" w:rsidRDefault="003D2F4D" w:rsidP="001B5728">
      <w:pPr>
        <w:pStyle w:val="Prrafodelista"/>
        <w:spacing w:after="0" w:line="240" w:lineRule="auto"/>
        <w:rPr>
          <w:rFonts w:ascii="Times New Roman" w:eastAsia="MS Mincho" w:hAnsi="Times New Roman"/>
          <w:sz w:val="28"/>
          <w:szCs w:val="28"/>
          <w:lang w:val="es-CO" w:eastAsia="es-MX"/>
        </w:rPr>
      </w:pPr>
    </w:p>
    <w:p w14:paraId="1F7874BD" w14:textId="77777777" w:rsidR="003D2F4D" w:rsidRPr="007F2045" w:rsidRDefault="003D2F4D" w:rsidP="001B5728">
      <w:pPr>
        <w:widowControl w:val="0"/>
        <w:numPr>
          <w:ilvl w:val="0"/>
          <w:numId w:val="2"/>
        </w:numPr>
        <w:tabs>
          <w:tab w:val="left" w:pos="284"/>
          <w:tab w:val="left" w:pos="426"/>
        </w:tabs>
        <w:autoSpaceDE w:val="0"/>
        <w:autoSpaceDN w:val="0"/>
        <w:adjustRightInd w:val="0"/>
        <w:spacing w:after="0" w:line="240" w:lineRule="auto"/>
        <w:ind w:left="0" w:firstLine="0"/>
        <w:rPr>
          <w:rFonts w:ascii="Times New Roman" w:hAnsi="Times New Roman"/>
          <w:b/>
          <w:sz w:val="28"/>
          <w:szCs w:val="28"/>
          <w:lang w:val="es-CO"/>
        </w:rPr>
      </w:pPr>
      <w:r w:rsidRPr="007F2045">
        <w:rPr>
          <w:rFonts w:ascii="Times New Roman" w:eastAsia="MS Mincho" w:hAnsi="Times New Roman"/>
          <w:sz w:val="28"/>
          <w:szCs w:val="28"/>
          <w:lang w:val="es-CO" w:eastAsia="es-MX"/>
        </w:rPr>
        <w:t xml:space="preserve">En particular, </w:t>
      </w:r>
      <w:r w:rsidRPr="007F2045">
        <w:rPr>
          <w:rFonts w:ascii="Times New Roman" w:eastAsia="MS Mincho" w:hAnsi="Times New Roman"/>
          <w:iCs/>
          <w:sz w:val="28"/>
          <w:szCs w:val="28"/>
          <w:lang w:val="es-CO" w:eastAsia="es-MX"/>
        </w:rPr>
        <w:t xml:space="preserve">(i) </w:t>
      </w:r>
      <w:r w:rsidRPr="007F2045">
        <w:rPr>
          <w:rFonts w:ascii="Times New Roman" w:eastAsia="MS Mincho" w:hAnsi="Times New Roman"/>
          <w:sz w:val="28"/>
          <w:szCs w:val="28"/>
          <w:lang w:val="es-CO" w:eastAsia="es-MX"/>
        </w:rPr>
        <w:t xml:space="preserve">existen serias dudas sobre el cumplimiento de los requisitos previstos en el artículo 215 de la Constitución para la declaración del estado de emergencia económica y social; </w:t>
      </w:r>
      <w:r w:rsidRPr="007F2045">
        <w:rPr>
          <w:rFonts w:ascii="Times New Roman" w:eastAsia="MS Mincho" w:hAnsi="Times New Roman"/>
          <w:iCs/>
          <w:sz w:val="28"/>
          <w:szCs w:val="28"/>
          <w:lang w:val="es-CO" w:eastAsia="es-MX"/>
        </w:rPr>
        <w:t>(</w:t>
      </w:r>
      <w:proofErr w:type="spellStart"/>
      <w:r w:rsidRPr="007F2045">
        <w:rPr>
          <w:rFonts w:ascii="Times New Roman" w:eastAsia="MS Mincho" w:hAnsi="Times New Roman"/>
          <w:iCs/>
          <w:sz w:val="28"/>
          <w:szCs w:val="28"/>
          <w:lang w:val="es-CO" w:eastAsia="es-MX"/>
        </w:rPr>
        <w:t>ii</w:t>
      </w:r>
      <w:proofErr w:type="spellEnd"/>
      <w:r w:rsidRPr="007F2045">
        <w:rPr>
          <w:rFonts w:ascii="Times New Roman" w:eastAsia="MS Mincho" w:hAnsi="Times New Roman"/>
          <w:iCs/>
          <w:sz w:val="28"/>
          <w:szCs w:val="28"/>
          <w:lang w:val="es-CO" w:eastAsia="es-MX"/>
        </w:rPr>
        <w:t>)</w:t>
      </w:r>
      <w:r w:rsidRPr="007F2045">
        <w:rPr>
          <w:rFonts w:ascii="Times New Roman" w:eastAsia="MS Mincho" w:hAnsi="Times New Roman"/>
          <w:sz w:val="28"/>
          <w:szCs w:val="28"/>
          <w:lang w:val="es-CO" w:eastAsia="es-MX"/>
        </w:rPr>
        <w:t xml:space="preserve"> dicha declaración genera afectaciones serias e irremediables al principio democrático y a la separación de poderes; y </w:t>
      </w:r>
      <w:r w:rsidRPr="007F2045">
        <w:rPr>
          <w:rFonts w:ascii="Times New Roman" w:eastAsia="MS Mincho" w:hAnsi="Times New Roman"/>
          <w:iCs/>
          <w:sz w:val="28"/>
          <w:szCs w:val="28"/>
          <w:lang w:val="es-CO" w:eastAsia="es-MX"/>
        </w:rPr>
        <w:t>(</w:t>
      </w:r>
      <w:proofErr w:type="spellStart"/>
      <w:r w:rsidRPr="007F2045">
        <w:rPr>
          <w:rFonts w:ascii="Times New Roman" w:eastAsia="MS Mincho" w:hAnsi="Times New Roman"/>
          <w:iCs/>
          <w:sz w:val="28"/>
          <w:szCs w:val="28"/>
          <w:lang w:val="es-CO" w:eastAsia="es-MX"/>
        </w:rPr>
        <w:t>iii</w:t>
      </w:r>
      <w:proofErr w:type="spellEnd"/>
      <w:r w:rsidRPr="007F2045">
        <w:rPr>
          <w:rFonts w:ascii="Times New Roman" w:eastAsia="MS Mincho" w:hAnsi="Times New Roman"/>
          <w:iCs/>
          <w:sz w:val="28"/>
          <w:szCs w:val="28"/>
          <w:lang w:val="es-CO" w:eastAsia="es-MX"/>
        </w:rPr>
        <w:t xml:space="preserve">) </w:t>
      </w:r>
      <w:r w:rsidRPr="007F2045">
        <w:rPr>
          <w:rFonts w:ascii="Times New Roman" w:eastAsia="MS Mincho" w:hAnsi="Times New Roman"/>
          <w:sz w:val="28"/>
          <w:szCs w:val="28"/>
          <w:lang w:val="es-CO" w:eastAsia="es-MX"/>
        </w:rPr>
        <w:t xml:space="preserve">la suspensión provisional constituye una medida necesaria para proteger la supremacía de la Carta. En este contexto, los beneficios derivados de su adopción superan la afectación de la presunción de constitucionalidad que, en </w:t>
      </w:r>
      <w:r w:rsidRPr="007F2045">
        <w:rPr>
          <w:rFonts w:ascii="Times New Roman" w:eastAsia="MS Mincho" w:hAnsi="Times New Roman"/>
          <w:sz w:val="28"/>
          <w:szCs w:val="28"/>
          <w:lang w:val="es-CO" w:eastAsia="es-MX"/>
        </w:rPr>
        <w:lastRenderedPageBreak/>
        <w:t xml:space="preserve">principio, acompaña las decisiones del presidente de la República.                </w:t>
      </w:r>
    </w:p>
    <w:p w14:paraId="6B2328EF" w14:textId="77777777" w:rsidR="003D2F4D" w:rsidRPr="007F2045" w:rsidRDefault="003D2F4D" w:rsidP="001B5728">
      <w:pPr>
        <w:pStyle w:val="Prrafodelista"/>
        <w:widowControl w:val="0"/>
        <w:tabs>
          <w:tab w:val="left" w:pos="284"/>
          <w:tab w:val="left" w:pos="426"/>
        </w:tabs>
        <w:autoSpaceDE w:val="0"/>
        <w:autoSpaceDN w:val="0"/>
        <w:adjustRightInd w:val="0"/>
        <w:spacing w:after="0" w:line="240" w:lineRule="auto"/>
        <w:ind w:left="320"/>
        <w:rPr>
          <w:rFonts w:ascii="Times New Roman" w:hAnsi="Times New Roman"/>
          <w:b/>
          <w:sz w:val="28"/>
          <w:szCs w:val="28"/>
          <w:lang w:val="es-CO"/>
        </w:rPr>
      </w:pPr>
    </w:p>
    <w:p w14:paraId="3EE65475" w14:textId="77777777" w:rsidR="002F66C9" w:rsidRPr="007F2045" w:rsidRDefault="003D2F4D" w:rsidP="001B5728">
      <w:pPr>
        <w:widowControl w:val="0"/>
        <w:numPr>
          <w:ilvl w:val="0"/>
          <w:numId w:val="2"/>
        </w:numPr>
        <w:tabs>
          <w:tab w:val="left" w:pos="284"/>
          <w:tab w:val="left" w:pos="426"/>
        </w:tabs>
        <w:autoSpaceDE w:val="0"/>
        <w:autoSpaceDN w:val="0"/>
        <w:adjustRightInd w:val="0"/>
        <w:spacing w:after="0" w:line="240" w:lineRule="auto"/>
        <w:ind w:left="0" w:firstLine="0"/>
        <w:rPr>
          <w:rFonts w:ascii="Times New Roman" w:eastAsia="MS Mincho" w:hAnsi="Times New Roman"/>
          <w:sz w:val="28"/>
          <w:szCs w:val="28"/>
          <w:lang w:val="es-CO" w:eastAsia="es-MX"/>
        </w:rPr>
      </w:pPr>
      <w:r w:rsidRPr="007F2045">
        <w:rPr>
          <w:rFonts w:ascii="Times New Roman" w:eastAsia="MS Mincho" w:hAnsi="Times New Roman"/>
          <w:sz w:val="28"/>
          <w:szCs w:val="28"/>
          <w:lang w:val="es-CO" w:eastAsia="es-MX"/>
        </w:rPr>
        <w:t>Para</w:t>
      </w:r>
      <w:r w:rsidR="00967B65" w:rsidRPr="007F2045">
        <w:rPr>
          <w:rFonts w:ascii="Times New Roman" w:eastAsia="MS Mincho" w:hAnsi="Times New Roman"/>
          <w:sz w:val="28"/>
          <w:szCs w:val="28"/>
          <w:lang w:val="es-CO" w:eastAsia="es-MX"/>
        </w:rPr>
        <w:t xml:space="preserve"> fundamentar esta conclusión</w:t>
      </w:r>
      <w:r w:rsidRPr="007F2045">
        <w:rPr>
          <w:rFonts w:ascii="Times New Roman" w:eastAsia="MS Mincho" w:hAnsi="Times New Roman"/>
          <w:sz w:val="28"/>
          <w:szCs w:val="28"/>
          <w:lang w:val="es-CO" w:eastAsia="es-MX"/>
        </w:rPr>
        <w:t>,</w:t>
      </w:r>
      <w:r w:rsidR="00967B65" w:rsidRPr="007F2045">
        <w:rPr>
          <w:rFonts w:ascii="Times New Roman" w:eastAsia="MS Mincho" w:hAnsi="Times New Roman"/>
          <w:sz w:val="28"/>
          <w:szCs w:val="28"/>
          <w:lang w:val="es-CO" w:eastAsia="es-MX"/>
        </w:rPr>
        <w:t xml:space="preserve"> la Corte</w:t>
      </w:r>
      <w:r w:rsidR="00684A8D" w:rsidRPr="007F2045">
        <w:rPr>
          <w:rFonts w:ascii="Times New Roman" w:eastAsia="MS Mincho" w:hAnsi="Times New Roman"/>
          <w:sz w:val="28"/>
          <w:szCs w:val="28"/>
          <w:lang w:val="es-CO" w:eastAsia="es-MX"/>
        </w:rPr>
        <w:t xml:space="preserve"> seguirá el siguiente orden. </w:t>
      </w:r>
      <w:r w:rsidR="007B11D8" w:rsidRPr="007F2045">
        <w:rPr>
          <w:rFonts w:ascii="Times New Roman" w:eastAsia="MS Mincho" w:hAnsi="Times New Roman"/>
          <w:sz w:val="28"/>
          <w:szCs w:val="28"/>
          <w:lang w:val="es-CO" w:eastAsia="es-MX"/>
        </w:rPr>
        <w:t>Primero</w:t>
      </w:r>
      <w:r w:rsidR="00B47646" w:rsidRPr="007F2045">
        <w:rPr>
          <w:rFonts w:ascii="Times New Roman" w:eastAsia="MS Mincho" w:hAnsi="Times New Roman"/>
          <w:sz w:val="28"/>
          <w:szCs w:val="28"/>
          <w:lang w:val="es-CO" w:eastAsia="es-MX"/>
        </w:rPr>
        <w:t>,</w:t>
      </w:r>
      <w:r w:rsidR="00684A8D" w:rsidRPr="007F2045">
        <w:rPr>
          <w:rFonts w:ascii="Times New Roman" w:eastAsia="MS Mincho" w:hAnsi="Times New Roman"/>
          <w:sz w:val="28"/>
          <w:szCs w:val="28"/>
          <w:lang w:val="es-CO" w:eastAsia="es-MX"/>
        </w:rPr>
        <w:t xml:space="preserve"> se </w:t>
      </w:r>
      <w:r w:rsidR="00B47646" w:rsidRPr="007F2045">
        <w:rPr>
          <w:rFonts w:ascii="Times New Roman" w:eastAsia="MS Mincho" w:hAnsi="Times New Roman"/>
          <w:sz w:val="28"/>
          <w:szCs w:val="28"/>
          <w:lang w:val="es-CO" w:eastAsia="es-MX"/>
        </w:rPr>
        <w:t xml:space="preserve">referirá a la discusión sobre </w:t>
      </w:r>
      <w:r w:rsidRPr="007F2045">
        <w:rPr>
          <w:rFonts w:ascii="Times New Roman" w:eastAsia="MS Mincho" w:hAnsi="Times New Roman"/>
          <w:sz w:val="28"/>
          <w:szCs w:val="28"/>
          <w:lang w:val="es-CO" w:eastAsia="es-MX"/>
        </w:rPr>
        <w:t>el alcance de</w:t>
      </w:r>
      <w:r w:rsidR="00B47646" w:rsidRPr="007F2045">
        <w:rPr>
          <w:rFonts w:ascii="Times New Roman" w:eastAsia="MS Mincho" w:hAnsi="Times New Roman"/>
          <w:sz w:val="28"/>
          <w:szCs w:val="28"/>
          <w:lang w:val="es-CO" w:eastAsia="es-MX"/>
        </w:rPr>
        <w:t xml:space="preserve"> la suspensión provisional </w:t>
      </w:r>
      <w:r w:rsidR="658B1AF6" w:rsidRPr="007F2045">
        <w:rPr>
          <w:rFonts w:ascii="Times New Roman" w:eastAsia="MS Mincho" w:hAnsi="Times New Roman"/>
          <w:sz w:val="28"/>
          <w:szCs w:val="28"/>
          <w:lang w:val="es-CO" w:eastAsia="es-MX"/>
        </w:rPr>
        <w:t xml:space="preserve">de normas en el control abstracto de constitucionalidad, </w:t>
      </w:r>
      <w:r w:rsidRPr="007F2045">
        <w:rPr>
          <w:rFonts w:ascii="Times New Roman" w:eastAsia="MS Mincho" w:hAnsi="Times New Roman"/>
          <w:sz w:val="28"/>
          <w:szCs w:val="28"/>
          <w:lang w:val="es-CO" w:eastAsia="es-MX"/>
        </w:rPr>
        <w:t>así como a la</w:t>
      </w:r>
      <w:r w:rsidR="658B1AF6" w:rsidRPr="007F2045">
        <w:rPr>
          <w:rFonts w:ascii="Times New Roman" w:eastAsia="MS Mincho" w:hAnsi="Times New Roman"/>
          <w:sz w:val="28"/>
          <w:szCs w:val="28"/>
          <w:lang w:val="es-CO" w:eastAsia="es-MX"/>
        </w:rPr>
        <w:t xml:space="preserve"> evolución de la jurisprudenci</w:t>
      </w:r>
      <w:r w:rsidR="4C766757" w:rsidRPr="007F2045">
        <w:rPr>
          <w:rFonts w:ascii="Times New Roman" w:eastAsia="MS Mincho" w:hAnsi="Times New Roman"/>
          <w:sz w:val="28"/>
          <w:szCs w:val="28"/>
          <w:lang w:val="es-CO" w:eastAsia="es-MX"/>
        </w:rPr>
        <w:t xml:space="preserve">a constitucional sobre esta materia </w:t>
      </w:r>
      <w:r w:rsidR="00B47646" w:rsidRPr="007F2045">
        <w:rPr>
          <w:rFonts w:ascii="Times New Roman" w:eastAsia="MS Mincho" w:hAnsi="Times New Roman"/>
          <w:sz w:val="28"/>
          <w:szCs w:val="28"/>
          <w:lang w:val="es-CO" w:eastAsia="es-MX"/>
        </w:rPr>
        <w:t>(</w:t>
      </w:r>
      <w:r w:rsidR="00B47646" w:rsidRPr="007F2045">
        <w:rPr>
          <w:rFonts w:ascii="Times New Roman" w:eastAsia="MS Mincho" w:hAnsi="Times New Roman"/>
          <w:b/>
          <w:sz w:val="28"/>
          <w:szCs w:val="28"/>
          <w:lang w:val="es-CO" w:eastAsia="es-MX"/>
        </w:rPr>
        <w:t>sección 3</w:t>
      </w:r>
      <w:r w:rsidR="00B47646" w:rsidRPr="007F2045">
        <w:rPr>
          <w:rFonts w:ascii="Times New Roman" w:eastAsia="MS Mincho" w:hAnsi="Times New Roman"/>
          <w:sz w:val="28"/>
          <w:szCs w:val="28"/>
          <w:lang w:val="es-CO" w:eastAsia="es-MX"/>
        </w:rPr>
        <w:t xml:space="preserve">). </w:t>
      </w:r>
      <w:r w:rsidR="007B11D8" w:rsidRPr="007F2045">
        <w:rPr>
          <w:rFonts w:ascii="Times New Roman" w:eastAsia="MS Mincho" w:hAnsi="Times New Roman"/>
          <w:sz w:val="28"/>
          <w:szCs w:val="28"/>
          <w:lang w:val="es-CO" w:eastAsia="es-MX"/>
        </w:rPr>
        <w:t>Segundo</w:t>
      </w:r>
      <w:r w:rsidR="00B47646" w:rsidRPr="007F2045">
        <w:rPr>
          <w:rFonts w:ascii="Times New Roman" w:eastAsia="MS Mincho" w:hAnsi="Times New Roman"/>
          <w:sz w:val="28"/>
          <w:szCs w:val="28"/>
          <w:lang w:val="es-CO" w:eastAsia="es-MX"/>
        </w:rPr>
        <w:t xml:space="preserve">, </w:t>
      </w:r>
      <w:r w:rsidR="007B11D8" w:rsidRPr="007F2045">
        <w:rPr>
          <w:rFonts w:ascii="Times New Roman" w:eastAsia="MS Mincho" w:hAnsi="Times New Roman"/>
          <w:sz w:val="28"/>
          <w:szCs w:val="28"/>
          <w:lang w:val="es-CO" w:eastAsia="es-MX"/>
        </w:rPr>
        <w:t xml:space="preserve">explicará por qué, </w:t>
      </w:r>
      <w:r w:rsidR="00684A8D" w:rsidRPr="007F2045">
        <w:rPr>
          <w:rFonts w:ascii="Times New Roman" w:eastAsia="MS Mincho" w:hAnsi="Times New Roman"/>
          <w:sz w:val="28"/>
          <w:szCs w:val="28"/>
          <w:lang w:val="es-CO" w:eastAsia="es-MX"/>
        </w:rPr>
        <w:t>de conformidad con el ordenamiento constitucional vigente</w:t>
      </w:r>
      <w:r w:rsidRPr="007F2045">
        <w:rPr>
          <w:rFonts w:ascii="Times New Roman" w:eastAsia="MS Mincho" w:hAnsi="Times New Roman"/>
          <w:sz w:val="28"/>
          <w:szCs w:val="28"/>
          <w:lang w:val="es-CO" w:eastAsia="es-MX"/>
        </w:rPr>
        <w:t>,</w:t>
      </w:r>
      <w:r w:rsidR="00684A8D" w:rsidRPr="007F2045">
        <w:rPr>
          <w:rFonts w:ascii="Times New Roman" w:eastAsia="MS Mincho" w:hAnsi="Times New Roman"/>
          <w:sz w:val="28"/>
          <w:szCs w:val="28"/>
          <w:lang w:val="es-CO" w:eastAsia="es-MX"/>
        </w:rPr>
        <w:t xml:space="preserve"> </w:t>
      </w:r>
      <w:r w:rsidR="002F66C9" w:rsidRPr="007F2045">
        <w:rPr>
          <w:rFonts w:ascii="Times New Roman" w:eastAsia="MS Mincho" w:hAnsi="Times New Roman"/>
          <w:sz w:val="28"/>
          <w:szCs w:val="28"/>
          <w:lang w:val="es-CO" w:eastAsia="es-MX"/>
        </w:rPr>
        <w:t xml:space="preserve">procede </w:t>
      </w:r>
      <w:r w:rsidR="00684A8D" w:rsidRPr="007F2045">
        <w:rPr>
          <w:rFonts w:ascii="Times New Roman" w:eastAsia="MS Mincho" w:hAnsi="Times New Roman"/>
          <w:sz w:val="28"/>
          <w:szCs w:val="28"/>
          <w:lang w:val="es-CO" w:eastAsia="es-MX"/>
        </w:rPr>
        <w:t xml:space="preserve">la </w:t>
      </w:r>
      <w:r w:rsidR="002F66C9" w:rsidRPr="007F2045">
        <w:rPr>
          <w:rFonts w:ascii="Times New Roman" w:eastAsia="MS Mincho" w:hAnsi="Times New Roman"/>
          <w:sz w:val="28"/>
          <w:szCs w:val="28"/>
          <w:lang w:val="es-CO" w:eastAsia="es-MX"/>
        </w:rPr>
        <w:t xml:space="preserve">figura de </w:t>
      </w:r>
      <w:r w:rsidR="00FC20AB" w:rsidRPr="007F2045">
        <w:rPr>
          <w:rFonts w:ascii="Times New Roman" w:eastAsia="MS Mincho" w:hAnsi="Times New Roman"/>
          <w:sz w:val="28"/>
          <w:szCs w:val="28"/>
          <w:lang w:val="es-CO" w:eastAsia="es-MX"/>
        </w:rPr>
        <w:t xml:space="preserve">la </w:t>
      </w:r>
      <w:r w:rsidR="00684A8D" w:rsidRPr="007F2045">
        <w:rPr>
          <w:rFonts w:ascii="Times New Roman" w:eastAsia="MS Mincho" w:hAnsi="Times New Roman"/>
          <w:sz w:val="28"/>
          <w:szCs w:val="28"/>
          <w:lang w:val="es-CO" w:eastAsia="es-MX"/>
        </w:rPr>
        <w:t>suspensión provisional de los</w:t>
      </w:r>
      <w:r w:rsidR="00FC20AB" w:rsidRPr="007F2045">
        <w:rPr>
          <w:rFonts w:ascii="Times New Roman" w:eastAsia="MS Mincho" w:hAnsi="Times New Roman"/>
          <w:sz w:val="28"/>
          <w:szCs w:val="28"/>
          <w:lang w:val="es-CO" w:eastAsia="es-MX"/>
        </w:rPr>
        <w:t xml:space="preserve"> efectos de los</w:t>
      </w:r>
      <w:r w:rsidR="00684A8D" w:rsidRPr="007F2045">
        <w:rPr>
          <w:rFonts w:ascii="Times New Roman" w:eastAsia="MS Mincho" w:hAnsi="Times New Roman"/>
          <w:sz w:val="28"/>
          <w:szCs w:val="28"/>
          <w:lang w:val="es-CO" w:eastAsia="es-MX"/>
        </w:rPr>
        <w:t xml:space="preserve"> decretos</w:t>
      </w:r>
      <w:r w:rsidR="00AC79A2" w:rsidRPr="007F2045">
        <w:rPr>
          <w:rFonts w:ascii="Times New Roman" w:eastAsia="MS Mincho" w:hAnsi="Times New Roman"/>
          <w:sz w:val="28"/>
          <w:szCs w:val="28"/>
          <w:lang w:val="es-CO" w:eastAsia="es-MX"/>
        </w:rPr>
        <w:t xml:space="preserve"> que se expiden </w:t>
      </w:r>
      <w:r w:rsidR="00684A8D" w:rsidRPr="007F2045">
        <w:rPr>
          <w:rFonts w:ascii="Times New Roman" w:eastAsia="MS Mincho" w:hAnsi="Times New Roman"/>
          <w:sz w:val="28"/>
          <w:szCs w:val="28"/>
          <w:lang w:val="es-CO" w:eastAsia="es-MX"/>
        </w:rPr>
        <w:t xml:space="preserve">al amparo de lo </w:t>
      </w:r>
      <w:r w:rsidR="00AC79A2" w:rsidRPr="007F2045">
        <w:rPr>
          <w:rFonts w:ascii="Times New Roman" w:eastAsia="MS Mincho" w:hAnsi="Times New Roman"/>
          <w:sz w:val="28"/>
          <w:szCs w:val="28"/>
          <w:lang w:val="es-CO" w:eastAsia="es-MX"/>
        </w:rPr>
        <w:t xml:space="preserve">dispuesto </w:t>
      </w:r>
      <w:r w:rsidR="00684A8D" w:rsidRPr="007F2045">
        <w:rPr>
          <w:rFonts w:ascii="Times New Roman" w:eastAsia="MS Mincho" w:hAnsi="Times New Roman"/>
          <w:sz w:val="28"/>
          <w:szCs w:val="28"/>
          <w:lang w:val="es-CO" w:eastAsia="es-MX"/>
        </w:rPr>
        <w:t>en el artículo 215 de la Constitución</w:t>
      </w:r>
      <w:r w:rsidRPr="007F2045">
        <w:rPr>
          <w:rFonts w:ascii="Times New Roman" w:eastAsia="MS Mincho" w:hAnsi="Times New Roman"/>
          <w:sz w:val="28"/>
          <w:szCs w:val="28"/>
          <w:lang w:val="es-CO" w:eastAsia="es-MX"/>
        </w:rPr>
        <w:t xml:space="preserve"> </w:t>
      </w:r>
      <w:r w:rsidR="00575070" w:rsidRPr="007F2045">
        <w:rPr>
          <w:rFonts w:ascii="Times New Roman" w:eastAsia="MS Mincho" w:hAnsi="Times New Roman"/>
          <w:sz w:val="28"/>
          <w:szCs w:val="28"/>
          <w:lang w:val="es-CO" w:eastAsia="es-MX"/>
        </w:rPr>
        <w:t>–</w:t>
      </w:r>
      <w:r w:rsidR="007B11D8" w:rsidRPr="007F2045">
        <w:rPr>
          <w:rFonts w:ascii="Times New Roman" w:eastAsia="MS Mincho" w:hAnsi="Times New Roman"/>
          <w:sz w:val="28"/>
          <w:szCs w:val="28"/>
          <w:lang w:val="es-CO" w:eastAsia="es-MX"/>
        </w:rPr>
        <w:t xml:space="preserve">esto es, </w:t>
      </w:r>
      <w:r w:rsidRPr="007F2045">
        <w:rPr>
          <w:rFonts w:ascii="Times New Roman" w:eastAsia="MS Mincho" w:hAnsi="Times New Roman"/>
          <w:sz w:val="28"/>
          <w:szCs w:val="28"/>
          <w:lang w:val="es-CO" w:eastAsia="es-MX"/>
        </w:rPr>
        <w:t xml:space="preserve">tanto </w:t>
      </w:r>
      <w:r w:rsidR="007B11D8" w:rsidRPr="007F2045">
        <w:rPr>
          <w:rFonts w:ascii="Times New Roman" w:eastAsia="MS Mincho" w:hAnsi="Times New Roman"/>
          <w:sz w:val="28"/>
          <w:szCs w:val="28"/>
          <w:lang w:val="es-CO" w:eastAsia="es-MX"/>
        </w:rPr>
        <w:t>el</w:t>
      </w:r>
      <w:r w:rsidR="00AC79A2" w:rsidRPr="007F2045">
        <w:rPr>
          <w:rFonts w:ascii="Times New Roman" w:eastAsia="MS Mincho" w:hAnsi="Times New Roman"/>
          <w:sz w:val="28"/>
          <w:szCs w:val="28"/>
          <w:lang w:val="es-CO" w:eastAsia="es-MX"/>
        </w:rPr>
        <w:t xml:space="preserve"> decreto de declaratori</w:t>
      </w:r>
      <w:r w:rsidR="007B11D8" w:rsidRPr="007F2045">
        <w:rPr>
          <w:rFonts w:ascii="Times New Roman" w:eastAsia="MS Mincho" w:hAnsi="Times New Roman"/>
          <w:sz w:val="28"/>
          <w:szCs w:val="28"/>
          <w:lang w:val="es-CO" w:eastAsia="es-MX"/>
        </w:rPr>
        <w:t>o</w:t>
      </w:r>
      <w:r w:rsidRPr="007F2045">
        <w:rPr>
          <w:rFonts w:ascii="Times New Roman" w:eastAsia="MS Mincho" w:hAnsi="Times New Roman"/>
          <w:sz w:val="28"/>
          <w:szCs w:val="28"/>
          <w:lang w:val="es-CO" w:eastAsia="es-MX"/>
        </w:rPr>
        <w:t xml:space="preserve"> como</w:t>
      </w:r>
      <w:r w:rsidR="00AC79A2" w:rsidRPr="007F2045">
        <w:rPr>
          <w:rFonts w:ascii="Times New Roman" w:eastAsia="MS Mincho" w:hAnsi="Times New Roman"/>
          <w:sz w:val="28"/>
          <w:szCs w:val="28"/>
          <w:lang w:val="es-CO" w:eastAsia="es-MX"/>
        </w:rPr>
        <w:t xml:space="preserve"> </w:t>
      </w:r>
      <w:r w:rsidR="007B11D8" w:rsidRPr="007F2045">
        <w:rPr>
          <w:rFonts w:ascii="Times New Roman" w:eastAsia="MS Mincho" w:hAnsi="Times New Roman"/>
          <w:sz w:val="28"/>
          <w:szCs w:val="28"/>
          <w:lang w:val="es-CO" w:eastAsia="es-MX"/>
        </w:rPr>
        <w:t xml:space="preserve">los </w:t>
      </w:r>
      <w:r w:rsidR="00AC79A2" w:rsidRPr="007F2045">
        <w:rPr>
          <w:rFonts w:ascii="Times New Roman" w:eastAsia="MS Mincho" w:hAnsi="Times New Roman"/>
          <w:sz w:val="28"/>
          <w:szCs w:val="28"/>
          <w:lang w:val="es-CO" w:eastAsia="es-MX"/>
        </w:rPr>
        <w:t>decretos de desarrollo</w:t>
      </w:r>
      <w:r w:rsidR="00575070" w:rsidRPr="007F2045">
        <w:rPr>
          <w:rFonts w:ascii="Times New Roman" w:eastAsia="MS Mincho" w:hAnsi="Times New Roman"/>
          <w:sz w:val="28"/>
          <w:szCs w:val="28"/>
          <w:lang w:val="es-CO" w:eastAsia="es-MX"/>
        </w:rPr>
        <w:t>–</w:t>
      </w:r>
      <w:r w:rsidR="006D1B12" w:rsidRPr="007F2045">
        <w:rPr>
          <w:rFonts w:ascii="Times New Roman" w:eastAsia="MS Mincho" w:hAnsi="Times New Roman"/>
          <w:sz w:val="28"/>
          <w:szCs w:val="28"/>
          <w:lang w:val="es-CO" w:eastAsia="es-MX"/>
        </w:rPr>
        <w:t>, teniendo en cuenta las consideraciones fijadas en el auto 272 de 2023</w:t>
      </w:r>
      <w:r w:rsidR="00684A8D" w:rsidRPr="007F2045">
        <w:rPr>
          <w:rFonts w:ascii="Times New Roman" w:eastAsia="MS Mincho" w:hAnsi="Times New Roman"/>
          <w:sz w:val="28"/>
          <w:szCs w:val="28"/>
          <w:lang w:val="es-CO" w:eastAsia="es-MX"/>
        </w:rPr>
        <w:t xml:space="preserve"> </w:t>
      </w:r>
      <w:r w:rsidR="00684A8D" w:rsidRPr="007F2045">
        <w:rPr>
          <w:rFonts w:ascii="Times New Roman" w:eastAsia="MS Mincho" w:hAnsi="Times New Roman"/>
          <w:b/>
          <w:sz w:val="28"/>
          <w:szCs w:val="28"/>
          <w:lang w:val="es-CO" w:eastAsia="es-MX"/>
        </w:rPr>
        <w:t xml:space="preserve">(sección </w:t>
      </w:r>
      <w:r w:rsidR="00B47646" w:rsidRPr="007F2045">
        <w:rPr>
          <w:rFonts w:ascii="Times New Roman" w:eastAsia="MS Mincho" w:hAnsi="Times New Roman"/>
          <w:b/>
          <w:sz w:val="28"/>
          <w:szCs w:val="28"/>
          <w:lang w:val="es-CO" w:eastAsia="es-MX"/>
        </w:rPr>
        <w:t>4</w:t>
      </w:r>
      <w:r w:rsidR="00684A8D" w:rsidRPr="007F2045">
        <w:rPr>
          <w:rFonts w:ascii="Times New Roman" w:eastAsia="MS Mincho" w:hAnsi="Times New Roman"/>
          <w:b/>
          <w:sz w:val="28"/>
          <w:szCs w:val="28"/>
          <w:lang w:val="es-CO" w:eastAsia="es-MX"/>
        </w:rPr>
        <w:t>)</w:t>
      </w:r>
      <w:r w:rsidR="00684A8D" w:rsidRPr="007F2045">
        <w:rPr>
          <w:rFonts w:ascii="Times New Roman" w:eastAsia="MS Mincho" w:hAnsi="Times New Roman"/>
          <w:sz w:val="28"/>
          <w:szCs w:val="28"/>
          <w:lang w:val="es-CO" w:eastAsia="es-MX"/>
        </w:rPr>
        <w:t xml:space="preserve">. </w:t>
      </w:r>
      <w:r w:rsidR="007B11D8" w:rsidRPr="007F2045">
        <w:rPr>
          <w:rFonts w:ascii="Times New Roman" w:eastAsia="MS Mincho" w:hAnsi="Times New Roman"/>
          <w:sz w:val="28"/>
          <w:szCs w:val="28"/>
          <w:lang w:val="es-CO" w:eastAsia="es-MX"/>
        </w:rPr>
        <w:t xml:space="preserve">Tercero, </w:t>
      </w:r>
      <w:r w:rsidR="006D1B12" w:rsidRPr="007F2045">
        <w:rPr>
          <w:rFonts w:ascii="Times New Roman" w:eastAsia="MS Mincho" w:hAnsi="Times New Roman"/>
          <w:sz w:val="28"/>
          <w:szCs w:val="28"/>
          <w:lang w:val="es-CO" w:eastAsia="es-MX"/>
        </w:rPr>
        <w:t>la Corte valorará el cumplimiento de las condiciones para disponer la suspensión provisional del Decreto 1390, declaratorio de un estado de excepción de emergencia económica</w:t>
      </w:r>
      <w:r w:rsidRPr="007F2045">
        <w:rPr>
          <w:rFonts w:ascii="Times New Roman" w:eastAsia="MS Mincho" w:hAnsi="Times New Roman"/>
          <w:sz w:val="28"/>
          <w:szCs w:val="28"/>
          <w:lang w:val="es-CO" w:eastAsia="es-MX"/>
        </w:rPr>
        <w:t xml:space="preserve"> y social</w:t>
      </w:r>
      <w:r w:rsidR="006D1B12" w:rsidRPr="007F2045">
        <w:rPr>
          <w:rFonts w:ascii="Times New Roman" w:eastAsia="MS Mincho" w:hAnsi="Times New Roman"/>
          <w:sz w:val="28"/>
          <w:szCs w:val="28"/>
          <w:lang w:val="es-CO" w:eastAsia="es-MX"/>
        </w:rPr>
        <w:t xml:space="preserve">, y </w:t>
      </w:r>
      <w:r w:rsidR="007B11D8" w:rsidRPr="007F2045">
        <w:rPr>
          <w:rFonts w:ascii="Times New Roman" w:eastAsia="MS Mincho" w:hAnsi="Times New Roman"/>
          <w:sz w:val="28"/>
          <w:szCs w:val="28"/>
          <w:lang w:val="es-CO" w:eastAsia="es-MX"/>
        </w:rPr>
        <w:t>explicará por qué, en este caso</w:t>
      </w:r>
      <w:r w:rsidRPr="007F2045">
        <w:rPr>
          <w:rFonts w:ascii="Times New Roman" w:eastAsia="MS Mincho" w:hAnsi="Times New Roman"/>
          <w:sz w:val="28"/>
          <w:szCs w:val="28"/>
          <w:lang w:val="es-CO" w:eastAsia="es-MX"/>
        </w:rPr>
        <w:t>,</w:t>
      </w:r>
      <w:r w:rsidR="007B11D8" w:rsidRPr="007F2045">
        <w:rPr>
          <w:rFonts w:ascii="Times New Roman" w:eastAsia="MS Mincho" w:hAnsi="Times New Roman"/>
          <w:sz w:val="28"/>
          <w:szCs w:val="28"/>
          <w:lang w:val="es-CO" w:eastAsia="es-MX"/>
        </w:rPr>
        <w:t xml:space="preserve"> </w:t>
      </w:r>
      <w:r w:rsidRPr="007F2045">
        <w:rPr>
          <w:rFonts w:ascii="Times New Roman" w:eastAsia="MS Mincho" w:hAnsi="Times New Roman"/>
          <w:sz w:val="28"/>
          <w:szCs w:val="28"/>
          <w:lang w:val="es-CO" w:eastAsia="es-MX"/>
        </w:rPr>
        <w:t>resulta</w:t>
      </w:r>
      <w:r w:rsidR="007B11D8" w:rsidRPr="007F2045">
        <w:rPr>
          <w:rFonts w:ascii="Times New Roman" w:eastAsia="MS Mincho" w:hAnsi="Times New Roman"/>
          <w:sz w:val="28"/>
          <w:szCs w:val="28"/>
          <w:lang w:val="es-CO" w:eastAsia="es-MX"/>
        </w:rPr>
        <w:t xml:space="preserve"> procedente </w:t>
      </w:r>
      <w:r w:rsidR="006D1B12" w:rsidRPr="007F2045">
        <w:rPr>
          <w:rFonts w:ascii="Times New Roman" w:eastAsia="MS Mincho" w:hAnsi="Times New Roman"/>
          <w:sz w:val="28"/>
          <w:szCs w:val="28"/>
          <w:lang w:val="es-CO" w:eastAsia="es-MX"/>
        </w:rPr>
        <w:t xml:space="preserve">dicha </w:t>
      </w:r>
      <w:r w:rsidRPr="007F2045">
        <w:rPr>
          <w:rFonts w:ascii="Times New Roman" w:eastAsia="MS Mincho" w:hAnsi="Times New Roman"/>
          <w:sz w:val="28"/>
          <w:szCs w:val="28"/>
          <w:lang w:val="es-CO" w:eastAsia="es-MX"/>
        </w:rPr>
        <w:t>medida</w:t>
      </w:r>
      <w:r w:rsidR="006D1B12" w:rsidRPr="007F2045">
        <w:rPr>
          <w:rFonts w:ascii="Times New Roman" w:eastAsia="MS Mincho" w:hAnsi="Times New Roman"/>
          <w:sz w:val="28"/>
          <w:szCs w:val="28"/>
          <w:lang w:val="es-CO" w:eastAsia="es-MX"/>
        </w:rPr>
        <w:t xml:space="preserve"> </w:t>
      </w:r>
      <w:r w:rsidR="00684A8D" w:rsidRPr="007F2045">
        <w:rPr>
          <w:rFonts w:ascii="Times New Roman" w:eastAsia="MS Mincho" w:hAnsi="Times New Roman"/>
          <w:b/>
          <w:sz w:val="28"/>
          <w:szCs w:val="28"/>
          <w:lang w:val="es-CO" w:eastAsia="es-MX"/>
        </w:rPr>
        <w:t>(secci</w:t>
      </w:r>
      <w:r w:rsidR="001F7DDA" w:rsidRPr="007F2045">
        <w:rPr>
          <w:rFonts w:ascii="Times New Roman" w:eastAsia="MS Mincho" w:hAnsi="Times New Roman"/>
          <w:b/>
          <w:sz w:val="28"/>
          <w:szCs w:val="28"/>
          <w:lang w:val="es-CO" w:eastAsia="es-MX"/>
        </w:rPr>
        <w:t>ón</w:t>
      </w:r>
      <w:r w:rsidR="00684A8D" w:rsidRPr="007F2045">
        <w:rPr>
          <w:rFonts w:ascii="Times New Roman" w:eastAsia="MS Mincho" w:hAnsi="Times New Roman"/>
          <w:b/>
          <w:sz w:val="28"/>
          <w:szCs w:val="28"/>
          <w:lang w:val="es-CO" w:eastAsia="es-MX"/>
        </w:rPr>
        <w:t xml:space="preserve"> </w:t>
      </w:r>
      <w:r w:rsidR="00500A49" w:rsidRPr="007F2045">
        <w:rPr>
          <w:rFonts w:ascii="Times New Roman" w:eastAsia="MS Mincho" w:hAnsi="Times New Roman"/>
          <w:b/>
          <w:sz w:val="28"/>
          <w:szCs w:val="28"/>
          <w:lang w:val="es-CO" w:eastAsia="es-MX"/>
        </w:rPr>
        <w:t>5</w:t>
      </w:r>
      <w:r w:rsidR="00684A8D" w:rsidRPr="007F2045">
        <w:rPr>
          <w:rFonts w:ascii="Times New Roman" w:eastAsia="MS Mincho" w:hAnsi="Times New Roman"/>
          <w:b/>
          <w:sz w:val="28"/>
          <w:szCs w:val="28"/>
          <w:lang w:val="es-CO" w:eastAsia="es-MX"/>
        </w:rPr>
        <w:t>)</w:t>
      </w:r>
      <w:r w:rsidR="007B11D8" w:rsidRPr="007F2045">
        <w:rPr>
          <w:rFonts w:ascii="Times New Roman" w:eastAsia="MS Mincho" w:hAnsi="Times New Roman"/>
          <w:sz w:val="28"/>
          <w:szCs w:val="28"/>
          <w:lang w:val="es-CO" w:eastAsia="es-MX"/>
        </w:rPr>
        <w:t>.</w:t>
      </w:r>
    </w:p>
    <w:p w14:paraId="2542DB41" w14:textId="77777777" w:rsidR="002F66C9" w:rsidRPr="007F2045" w:rsidRDefault="002F66C9" w:rsidP="001B5728">
      <w:pPr>
        <w:spacing w:after="0" w:line="240" w:lineRule="auto"/>
        <w:rPr>
          <w:rFonts w:ascii="Times New Roman" w:eastAsia="MS Mincho" w:hAnsi="Times New Roman"/>
          <w:sz w:val="28"/>
          <w:szCs w:val="28"/>
          <w:lang w:val="es-CO" w:eastAsia="es-MX"/>
        </w:rPr>
      </w:pPr>
    </w:p>
    <w:p w14:paraId="10E222C9" w14:textId="77777777" w:rsidR="002C10DA" w:rsidRPr="007F2045" w:rsidRDefault="003D2F4D" w:rsidP="001B5728">
      <w:pPr>
        <w:widowControl w:val="0"/>
        <w:numPr>
          <w:ilvl w:val="0"/>
          <w:numId w:val="2"/>
        </w:numPr>
        <w:tabs>
          <w:tab w:val="left" w:pos="284"/>
          <w:tab w:val="left" w:pos="426"/>
        </w:tabs>
        <w:autoSpaceDE w:val="0"/>
        <w:autoSpaceDN w:val="0"/>
        <w:adjustRightInd w:val="0"/>
        <w:spacing w:after="0" w:line="240" w:lineRule="auto"/>
        <w:ind w:left="0" w:firstLine="0"/>
        <w:rPr>
          <w:rFonts w:ascii="Times New Roman" w:hAnsi="Times New Roman"/>
          <w:b/>
          <w:sz w:val="28"/>
          <w:szCs w:val="28"/>
          <w:lang w:val="es-CO"/>
        </w:rPr>
      </w:pPr>
      <w:r w:rsidRPr="007F2045">
        <w:rPr>
          <w:rFonts w:ascii="Times New Roman" w:eastAsia="MS Mincho" w:hAnsi="Times New Roman"/>
          <w:sz w:val="28"/>
          <w:szCs w:val="28"/>
          <w:lang w:val="es-CO" w:eastAsia="es-MX"/>
        </w:rPr>
        <w:t xml:space="preserve">Finalmente, </w:t>
      </w:r>
      <w:r w:rsidR="00AC79A2" w:rsidRPr="007F2045">
        <w:rPr>
          <w:rFonts w:ascii="Times New Roman" w:eastAsia="MS Mincho" w:hAnsi="Times New Roman"/>
          <w:sz w:val="28"/>
          <w:szCs w:val="28"/>
          <w:lang w:val="es-CO" w:eastAsia="es-MX"/>
        </w:rPr>
        <w:t xml:space="preserve">en términos de “jurisprudencia anunciada”, </w:t>
      </w:r>
      <w:r w:rsidR="003744A2" w:rsidRPr="007F2045">
        <w:rPr>
          <w:rFonts w:ascii="Times New Roman" w:eastAsia="MS Mincho" w:hAnsi="Times New Roman"/>
          <w:sz w:val="28"/>
          <w:szCs w:val="28"/>
          <w:lang w:val="es-CO" w:eastAsia="es-MX"/>
        </w:rPr>
        <w:t xml:space="preserve">la </w:t>
      </w:r>
      <w:r w:rsidR="00AC79A2" w:rsidRPr="007F2045">
        <w:rPr>
          <w:rFonts w:ascii="Times New Roman" w:eastAsia="MS Mincho" w:hAnsi="Times New Roman"/>
          <w:sz w:val="28"/>
          <w:szCs w:val="28"/>
          <w:lang w:val="es-CO" w:eastAsia="es-MX"/>
        </w:rPr>
        <w:t xml:space="preserve">Sala </w:t>
      </w:r>
      <w:r w:rsidR="003744A2" w:rsidRPr="007F2045">
        <w:rPr>
          <w:rFonts w:ascii="Times New Roman" w:eastAsia="MS Mincho" w:hAnsi="Times New Roman"/>
          <w:sz w:val="28"/>
          <w:szCs w:val="28"/>
          <w:lang w:val="es-CO" w:eastAsia="es-MX"/>
        </w:rPr>
        <w:t xml:space="preserve">precisará </w:t>
      </w:r>
      <w:r w:rsidR="00AC79A2" w:rsidRPr="007F2045">
        <w:rPr>
          <w:rFonts w:ascii="Times New Roman" w:eastAsia="MS Mincho" w:hAnsi="Times New Roman"/>
          <w:sz w:val="28"/>
          <w:szCs w:val="28"/>
          <w:lang w:val="es-CO" w:eastAsia="es-MX"/>
        </w:rPr>
        <w:t xml:space="preserve">las condiciones </w:t>
      </w:r>
      <w:r w:rsidR="003744A2" w:rsidRPr="007F2045">
        <w:rPr>
          <w:rFonts w:ascii="Times New Roman" w:eastAsia="MS Mincho" w:hAnsi="Times New Roman"/>
          <w:sz w:val="28"/>
          <w:szCs w:val="28"/>
          <w:lang w:val="es-CO" w:eastAsia="es-MX"/>
        </w:rPr>
        <w:t>que</w:t>
      </w:r>
      <w:r w:rsidR="006D1B12" w:rsidRPr="007F2045">
        <w:rPr>
          <w:rFonts w:ascii="Times New Roman" w:eastAsia="MS Mincho" w:hAnsi="Times New Roman"/>
          <w:sz w:val="28"/>
          <w:szCs w:val="28"/>
          <w:lang w:val="es-CO" w:eastAsia="es-MX"/>
        </w:rPr>
        <w:t>, con posterioridad a la notificación de esta providencia,</w:t>
      </w:r>
      <w:r w:rsidRPr="007F2045">
        <w:rPr>
          <w:rFonts w:ascii="Times New Roman" w:eastAsia="MS Mincho" w:hAnsi="Times New Roman"/>
          <w:sz w:val="28"/>
          <w:szCs w:val="28"/>
          <w:lang w:val="es-CO" w:eastAsia="es-MX"/>
        </w:rPr>
        <w:t xml:space="preserve"> </w:t>
      </w:r>
      <w:r w:rsidR="003744A2" w:rsidRPr="007F2045">
        <w:rPr>
          <w:rFonts w:ascii="Times New Roman" w:eastAsia="MS Mincho" w:hAnsi="Times New Roman"/>
          <w:sz w:val="28"/>
          <w:szCs w:val="28"/>
          <w:lang w:val="es-CO" w:eastAsia="es-MX"/>
        </w:rPr>
        <w:t xml:space="preserve">deberán </w:t>
      </w:r>
      <w:r w:rsidRPr="007F2045">
        <w:rPr>
          <w:rFonts w:ascii="Times New Roman" w:eastAsia="MS Mincho" w:hAnsi="Times New Roman"/>
          <w:sz w:val="28"/>
          <w:szCs w:val="28"/>
          <w:lang w:val="es-CO" w:eastAsia="es-MX"/>
        </w:rPr>
        <w:t>tenerse</w:t>
      </w:r>
      <w:r w:rsidR="006D1B12" w:rsidRPr="007F2045">
        <w:rPr>
          <w:rFonts w:ascii="Times New Roman" w:eastAsia="MS Mincho" w:hAnsi="Times New Roman"/>
          <w:sz w:val="28"/>
          <w:szCs w:val="28"/>
          <w:lang w:val="es-CO" w:eastAsia="es-MX"/>
        </w:rPr>
        <w:t xml:space="preserve"> en cuenta </w:t>
      </w:r>
      <w:r w:rsidR="003744A2" w:rsidRPr="007F2045">
        <w:rPr>
          <w:rFonts w:ascii="Times New Roman" w:eastAsia="MS Mincho" w:hAnsi="Times New Roman"/>
          <w:sz w:val="28"/>
          <w:szCs w:val="28"/>
          <w:lang w:val="es-CO" w:eastAsia="es-MX"/>
        </w:rPr>
        <w:t xml:space="preserve">para </w:t>
      </w:r>
      <w:r w:rsidR="00AC79A2" w:rsidRPr="007F2045">
        <w:rPr>
          <w:rFonts w:ascii="Times New Roman" w:eastAsia="MS Mincho" w:hAnsi="Times New Roman"/>
          <w:sz w:val="28"/>
          <w:szCs w:val="28"/>
          <w:lang w:val="es-CO" w:eastAsia="es-MX"/>
        </w:rPr>
        <w:t xml:space="preserve">valorar </w:t>
      </w:r>
      <w:r w:rsidR="003744A2" w:rsidRPr="007F2045">
        <w:rPr>
          <w:rFonts w:ascii="Times New Roman" w:eastAsia="MS Mincho" w:hAnsi="Times New Roman"/>
          <w:sz w:val="28"/>
          <w:szCs w:val="28"/>
          <w:lang w:val="es-CO" w:eastAsia="es-MX"/>
        </w:rPr>
        <w:t>la suspensión provisional de los decretos declaratorios y de desarrollo</w:t>
      </w:r>
      <w:r w:rsidR="00CD679C" w:rsidRPr="007F2045">
        <w:rPr>
          <w:rFonts w:ascii="Times New Roman" w:eastAsia="MS Mincho" w:hAnsi="Times New Roman"/>
          <w:sz w:val="28"/>
          <w:szCs w:val="28"/>
          <w:lang w:val="es-CO" w:eastAsia="es-MX"/>
        </w:rPr>
        <w:t xml:space="preserve"> </w:t>
      </w:r>
      <w:r w:rsidR="003744A2" w:rsidRPr="007F2045">
        <w:rPr>
          <w:rFonts w:ascii="Times New Roman" w:eastAsia="MS Mincho" w:hAnsi="Times New Roman"/>
          <w:b/>
          <w:sz w:val="28"/>
          <w:szCs w:val="28"/>
          <w:lang w:val="es-CO" w:eastAsia="es-MX"/>
        </w:rPr>
        <w:t xml:space="preserve">(sección </w:t>
      </w:r>
      <w:r w:rsidR="00BF0BD1" w:rsidRPr="007F2045">
        <w:rPr>
          <w:rFonts w:ascii="Times New Roman" w:eastAsia="MS Mincho" w:hAnsi="Times New Roman"/>
          <w:b/>
          <w:sz w:val="28"/>
          <w:szCs w:val="28"/>
          <w:lang w:val="es-CO" w:eastAsia="es-MX"/>
        </w:rPr>
        <w:t>6</w:t>
      </w:r>
      <w:r w:rsidR="003744A2" w:rsidRPr="007F2045">
        <w:rPr>
          <w:rFonts w:ascii="Times New Roman" w:eastAsia="MS Mincho" w:hAnsi="Times New Roman"/>
          <w:b/>
          <w:sz w:val="28"/>
          <w:szCs w:val="28"/>
          <w:lang w:val="es-CO" w:eastAsia="es-MX"/>
        </w:rPr>
        <w:t>)</w:t>
      </w:r>
      <w:r w:rsidRPr="007F2045">
        <w:rPr>
          <w:rFonts w:ascii="Times New Roman" w:eastAsia="MS Mincho" w:hAnsi="Times New Roman"/>
          <w:sz w:val="28"/>
          <w:szCs w:val="28"/>
          <w:lang w:val="es-CO" w:eastAsia="es-MX"/>
        </w:rPr>
        <w:t>, y definirá</w:t>
      </w:r>
      <w:r w:rsidR="003744A2" w:rsidRPr="007F2045">
        <w:rPr>
          <w:rFonts w:ascii="Times New Roman" w:eastAsia="MS Mincho" w:hAnsi="Times New Roman"/>
          <w:sz w:val="28"/>
          <w:szCs w:val="28"/>
          <w:lang w:val="es-CO" w:eastAsia="es-MX"/>
        </w:rPr>
        <w:t xml:space="preserve"> el alcance </w:t>
      </w:r>
      <w:r w:rsidR="00AC79A2" w:rsidRPr="007F2045">
        <w:rPr>
          <w:rFonts w:ascii="Times New Roman" w:eastAsia="MS Mincho" w:hAnsi="Times New Roman"/>
          <w:sz w:val="28"/>
          <w:szCs w:val="28"/>
          <w:lang w:val="es-CO" w:eastAsia="es-MX"/>
        </w:rPr>
        <w:t xml:space="preserve">y efectos </w:t>
      </w:r>
      <w:r w:rsidR="003744A2" w:rsidRPr="007F2045">
        <w:rPr>
          <w:rFonts w:ascii="Times New Roman" w:eastAsia="MS Mincho" w:hAnsi="Times New Roman"/>
          <w:sz w:val="28"/>
          <w:szCs w:val="28"/>
          <w:lang w:val="es-CO" w:eastAsia="es-MX"/>
        </w:rPr>
        <w:t xml:space="preserve">de esta decisión </w:t>
      </w:r>
      <w:r w:rsidR="003744A2" w:rsidRPr="007F2045">
        <w:rPr>
          <w:rFonts w:ascii="Times New Roman" w:eastAsia="MS Mincho" w:hAnsi="Times New Roman"/>
          <w:b/>
          <w:sz w:val="28"/>
          <w:szCs w:val="28"/>
          <w:lang w:val="es-CO" w:eastAsia="es-MX"/>
        </w:rPr>
        <w:t xml:space="preserve">(sección </w:t>
      </w:r>
      <w:r w:rsidR="00BF0BD1" w:rsidRPr="007F2045">
        <w:rPr>
          <w:rFonts w:ascii="Times New Roman" w:eastAsia="MS Mincho" w:hAnsi="Times New Roman"/>
          <w:b/>
          <w:sz w:val="28"/>
          <w:szCs w:val="28"/>
          <w:lang w:val="es-CO" w:eastAsia="es-MX"/>
        </w:rPr>
        <w:t>7</w:t>
      </w:r>
      <w:r w:rsidR="003744A2" w:rsidRPr="007F2045">
        <w:rPr>
          <w:rFonts w:ascii="Times New Roman" w:eastAsia="MS Mincho" w:hAnsi="Times New Roman"/>
          <w:b/>
          <w:sz w:val="28"/>
          <w:szCs w:val="28"/>
          <w:lang w:val="es-CO" w:eastAsia="es-MX"/>
        </w:rPr>
        <w:t>)</w:t>
      </w:r>
      <w:r w:rsidR="003744A2" w:rsidRPr="007F2045">
        <w:rPr>
          <w:rFonts w:ascii="Times New Roman" w:eastAsia="MS Mincho" w:hAnsi="Times New Roman"/>
          <w:sz w:val="28"/>
          <w:szCs w:val="28"/>
          <w:lang w:val="es-CO" w:eastAsia="es-MX"/>
        </w:rPr>
        <w:t>.</w:t>
      </w:r>
    </w:p>
    <w:p w14:paraId="4E5D2826" w14:textId="77777777" w:rsidR="00684A8D" w:rsidRPr="007F2045" w:rsidRDefault="00684A8D" w:rsidP="001B5728">
      <w:pPr>
        <w:spacing w:after="0" w:line="240" w:lineRule="auto"/>
        <w:rPr>
          <w:rFonts w:ascii="Times New Roman" w:hAnsi="Times New Roman"/>
          <w:b/>
          <w:sz w:val="28"/>
          <w:szCs w:val="28"/>
          <w:lang w:val="es-CO"/>
        </w:rPr>
      </w:pPr>
    </w:p>
    <w:p w14:paraId="66DA1D4F" w14:textId="77777777" w:rsidR="00B47646" w:rsidRPr="007F2045" w:rsidRDefault="00353B0F" w:rsidP="001B5728">
      <w:pPr>
        <w:pStyle w:val="Ttulo2"/>
        <w:rPr>
          <w:lang w:val="es-CO"/>
        </w:rPr>
      </w:pPr>
      <w:r w:rsidRPr="007F2045">
        <w:rPr>
          <w:lang w:val="es-CO"/>
        </w:rPr>
        <w:t xml:space="preserve">La </w:t>
      </w:r>
      <w:r w:rsidR="00B47646" w:rsidRPr="007F2045">
        <w:rPr>
          <w:lang w:val="es-CO"/>
        </w:rPr>
        <w:t>suspensión provisional</w:t>
      </w:r>
      <w:r w:rsidR="005978F0" w:rsidRPr="007F2045">
        <w:rPr>
          <w:lang w:val="es-CO"/>
        </w:rPr>
        <w:t xml:space="preserve"> en el marco de los estados de excepción</w:t>
      </w:r>
      <w:r w:rsidRPr="007F2045">
        <w:rPr>
          <w:lang w:val="es-CO"/>
        </w:rPr>
        <w:t xml:space="preserve">. </w:t>
      </w:r>
      <w:r w:rsidR="00CD679C" w:rsidRPr="007F2045">
        <w:rPr>
          <w:lang w:val="es-CO"/>
        </w:rPr>
        <w:t>Marco teórico</w:t>
      </w:r>
      <w:r w:rsidR="00B47646" w:rsidRPr="007F2045">
        <w:rPr>
          <w:lang w:val="es-CO"/>
        </w:rPr>
        <w:t xml:space="preserve"> </w:t>
      </w:r>
    </w:p>
    <w:p w14:paraId="58A341EE" w14:textId="77777777" w:rsidR="00B10E6B" w:rsidRPr="007F2045" w:rsidRDefault="00B10E6B" w:rsidP="001B5728">
      <w:pPr>
        <w:widowControl w:val="0"/>
        <w:tabs>
          <w:tab w:val="left" w:pos="284"/>
          <w:tab w:val="left" w:pos="426"/>
        </w:tabs>
        <w:autoSpaceDE w:val="0"/>
        <w:autoSpaceDN w:val="0"/>
        <w:adjustRightInd w:val="0"/>
        <w:spacing w:after="0" w:line="240" w:lineRule="auto"/>
        <w:rPr>
          <w:rFonts w:ascii="Times New Roman" w:eastAsia="MS Mincho" w:hAnsi="Times New Roman"/>
          <w:sz w:val="28"/>
          <w:szCs w:val="28"/>
          <w:lang w:val="es-CO" w:eastAsia="es-MX"/>
        </w:rPr>
      </w:pPr>
    </w:p>
    <w:p w14:paraId="0A252653" w14:textId="77777777" w:rsidR="00D65EF6" w:rsidRPr="007F2045" w:rsidRDefault="00181899" w:rsidP="001B5728">
      <w:pPr>
        <w:widowControl w:val="0"/>
        <w:numPr>
          <w:ilvl w:val="0"/>
          <w:numId w:val="2"/>
        </w:numPr>
        <w:tabs>
          <w:tab w:val="left" w:pos="284"/>
          <w:tab w:val="left" w:pos="426"/>
        </w:tabs>
        <w:autoSpaceDE w:val="0"/>
        <w:autoSpaceDN w:val="0"/>
        <w:adjustRightInd w:val="0"/>
        <w:spacing w:after="0" w:line="240" w:lineRule="auto"/>
        <w:ind w:left="0" w:firstLine="0"/>
        <w:rPr>
          <w:rFonts w:ascii="Times New Roman" w:eastAsia="MS Mincho" w:hAnsi="Times New Roman"/>
          <w:sz w:val="28"/>
          <w:szCs w:val="28"/>
          <w:lang w:val="es-CO" w:eastAsia="es-MX"/>
        </w:rPr>
      </w:pPr>
      <w:r w:rsidRPr="007F2045">
        <w:rPr>
          <w:rFonts w:ascii="Times New Roman" w:eastAsia="MS Mincho" w:hAnsi="Times New Roman"/>
          <w:sz w:val="28"/>
          <w:szCs w:val="28"/>
          <w:lang w:val="es-CO" w:eastAsia="es-MX"/>
        </w:rPr>
        <w:t>En este caso, p</w:t>
      </w:r>
      <w:r w:rsidR="00B064A5" w:rsidRPr="007F2045">
        <w:rPr>
          <w:rFonts w:ascii="Times New Roman" w:eastAsia="MS Mincho" w:hAnsi="Times New Roman"/>
          <w:sz w:val="28"/>
          <w:szCs w:val="28"/>
          <w:lang w:val="es-CO" w:eastAsia="es-MX"/>
        </w:rPr>
        <w:t>ara la Corte es clara la existencia de un asunto de</w:t>
      </w:r>
      <w:r w:rsidR="00FC20AB" w:rsidRPr="007F2045">
        <w:rPr>
          <w:rFonts w:ascii="Times New Roman" w:eastAsia="MS Mincho" w:hAnsi="Times New Roman"/>
          <w:sz w:val="28"/>
          <w:szCs w:val="28"/>
          <w:lang w:val="es-CO" w:eastAsia="es-MX"/>
        </w:rPr>
        <w:t xml:space="preserve"> especial</w:t>
      </w:r>
      <w:r w:rsidR="00B064A5" w:rsidRPr="007F2045">
        <w:rPr>
          <w:rFonts w:ascii="Times New Roman" w:eastAsia="MS Mincho" w:hAnsi="Times New Roman"/>
          <w:sz w:val="28"/>
          <w:szCs w:val="28"/>
          <w:lang w:val="es-CO" w:eastAsia="es-MX"/>
        </w:rPr>
        <w:t xml:space="preserve"> re</w:t>
      </w:r>
      <w:r w:rsidR="006B3A34" w:rsidRPr="007F2045">
        <w:rPr>
          <w:rFonts w:ascii="Times New Roman" w:eastAsia="MS Mincho" w:hAnsi="Times New Roman"/>
          <w:sz w:val="28"/>
          <w:szCs w:val="28"/>
          <w:lang w:val="es-CO" w:eastAsia="es-MX"/>
        </w:rPr>
        <w:t>levancia constitucional</w:t>
      </w:r>
      <w:r w:rsidR="35D93EF0" w:rsidRPr="007F2045">
        <w:rPr>
          <w:rFonts w:ascii="Times New Roman" w:eastAsia="MS Mincho" w:hAnsi="Times New Roman"/>
          <w:sz w:val="28"/>
          <w:szCs w:val="28"/>
          <w:lang w:val="es-CO" w:eastAsia="es-MX"/>
        </w:rPr>
        <w:t xml:space="preserve"> </w:t>
      </w:r>
      <w:r w:rsidR="00CD679C" w:rsidRPr="007F2045">
        <w:rPr>
          <w:rFonts w:ascii="Times New Roman" w:eastAsia="MS Mincho" w:hAnsi="Times New Roman"/>
          <w:sz w:val="28"/>
          <w:szCs w:val="28"/>
          <w:lang w:val="es-CO" w:eastAsia="es-MX"/>
        </w:rPr>
        <w:t>sobre el</w:t>
      </w:r>
      <w:r w:rsidR="08CF4034" w:rsidRPr="007F2045">
        <w:rPr>
          <w:rFonts w:ascii="Times New Roman" w:eastAsia="MS Mincho" w:hAnsi="Times New Roman"/>
          <w:sz w:val="28"/>
          <w:szCs w:val="28"/>
          <w:lang w:val="es-CO" w:eastAsia="es-MX"/>
        </w:rPr>
        <w:t xml:space="preserve"> significado de la </w:t>
      </w:r>
      <w:r w:rsidR="35D93EF0" w:rsidRPr="007F2045">
        <w:rPr>
          <w:rFonts w:ascii="Times New Roman" w:eastAsia="MS Mincho" w:hAnsi="Times New Roman"/>
          <w:sz w:val="28"/>
          <w:szCs w:val="28"/>
          <w:lang w:val="es-CO" w:eastAsia="es-MX"/>
        </w:rPr>
        <w:t>suspensión provisional en el marco de los estados de excepción</w:t>
      </w:r>
      <w:r w:rsidR="3EB597FD" w:rsidRPr="007F2045">
        <w:rPr>
          <w:rFonts w:ascii="Times New Roman" w:eastAsia="MS Mincho" w:hAnsi="Times New Roman"/>
          <w:sz w:val="28"/>
          <w:szCs w:val="28"/>
          <w:lang w:val="es-CO" w:eastAsia="es-MX"/>
        </w:rPr>
        <w:t xml:space="preserve"> y </w:t>
      </w:r>
      <w:r w:rsidR="08CF4034" w:rsidRPr="007F2045">
        <w:rPr>
          <w:rFonts w:ascii="Times New Roman" w:eastAsia="MS Mincho" w:hAnsi="Times New Roman"/>
          <w:sz w:val="28"/>
          <w:szCs w:val="28"/>
          <w:lang w:val="es-CO" w:eastAsia="es-MX"/>
        </w:rPr>
        <w:t>la forma en la que esa figura podría</w:t>
      </w:r>
      <w:r w:rsidR="3EB597FD" w:rsidRPr="007F2045">
        <w:rPr>
          <w:rFonts w:ascii="Times New Roman" w:eastAsia="MS Mincho" w:hAnsi="Times New Roman"/>
          <w:sz w:val="28"/>
          <w:szCs w:val="28"/>
          <w:lang w:val="es-CO" w:eastAsia="es-MX"/>
        </w:rPr>
        <w:t xml:space="preserve"> </w:t>
      </w:r>
      <w:r w:rsidR="08CF4034" w:rsidRPr="007F2045">
        <w:rPr>
          <w:rFonts w:ascii="Times New Roman" w:eastAsia="MS Mincho" w:hAnsi="Times New Roman"/>
          <w:sz w:val="28"/>
          <w:szCs w:val="28"/>
          <w:lang w:val="es-CO" w:eastAsia="es-MX"/>
        </w:rPr>
        <w:t xml:space="preserve">articularse </w:t>
      </w:r>
      <w:r w:rsidR="4A9FDF9B" w:rsidRPr="007F2045">
        <w:rPr>
          <w:rFonts w:ascii="Times New Roman" w:eastAsia="MS Mincho" w:hAnsi="Times New Roman"/>
          <w:sz w:val="28"/>
          <w:szCs w:val="28"/>
          <w:lang w:val="es-CO" w:eastAsia="es-MX"/>
        </w:rPr>
        <w:t xml:space="preserve">con la naturaleza de </w:t>
      </w:r>
      <w:r w:rsidR="3EB597FD" w:rsidRPr="007F2045">
        <w:rPr>
          <w:rFonts w:ascii="Times New Roman" w:eastAsia="MS Mincho" w:hAnsi="Times New Roman"/>
          <w:sz w:val="28"/>
          <w:szCs w:val="28"/>
          <w:lang w:val="es-CO" w:eastAsia="es-MX"/>
        </w:rPr>
        <w:t>los decretos expedidos al</w:t>
      </w:r>
      <w:r w:rsidR="09F3C18A" w:rsidRPr="007F2045">
        <w:rPr>
          <w:rFonts w:ascii="Times New Roman" w:eastAsia="MS Mincho" w:hAnsi="Times New Roman"/>
          <w:sz w:val="28"/>
          <w:szCs w:val="28"/>
          <w:lang w:val="es-CO" w:eastAsia="es-MX"/>
        </w:rPr>
        <w:t xml:space="preserve"> amparo de los artículos 212 a 215 de</w:t>
      </w:r>
      <w:r w:rsidR="4141B4ED" w:rsidRPr="007F2045">
        <w:rPr>
          <w:rFonts w:ascii="Times New Roman" w:eastAsia="MS Mincho" w:hAnsi="Times New Roman"/>
          <w:sz w:val="28"/>
          <w:szCs w:val="28"/>
          <w:lang w:val="es-CO" w:eastAsia="es-MX"/>
        </w:rPr>
        <w:t>l Texto Superior</w:t>
      </w:r>
      <w:r w:rsidR="4A9FDF9B" w:rsidRPr="007F2045">
        <w:rPr>
          <w:rFonts w:ascii="Times New Roman" w:eastAsia="MS Mincho" w:hAnsi="Times New Roman"/>
          <w:sz w:val="28"/>
          <w:szCs w:val="28"/>
          <w:lang w:val="es-CO" w:eastAsia="es-MX"/>
        </w:rPr>
        <w:t xml:space="preserve"> y del control de constitucionalidad que sobre ellos </w:t>
      </w:r>
      <w:r w:rsidR="00EC14E0" w:rsidRPr="007F2045">
        <w:rPr>
          <w:rFonts w:ascii="Times New Roman" w:eastAsia="MS Mincho" w:hAnsi="Times New Roman"/>
          <w:sz w:val="28"/>
          <w:szCs w:val="28"/>
          <w:lang w:val="es-CO" w:eastAsia="es-MX"/>
        </w:rPr>
        <w:t>debe ejercer</w:t>
      </w:r>
      <w:r w:rsidR="09F3C18A" w:rsidRPr="007F2045">
        <w:rPr>
          <w:rFonts w:ascii="Times New Roman" w:eastAsia="MS Mincho" w:hAnsi="Times New Roman"/>
          <w:sz w:val="28"/>
          <w:szCs w:val="28"/>
          <w:lang w:val="es-CO" w:eastAsia="es-MX"/>
        </w:rPr>
        <w:t xml:space="preserve">. </w:t>
      </w:r>
      <w:r w:rsidR="3B204F14" w:rsidRPr="007F2045">
        <w:rPr>
          <w:rFonts w:ascii="Times New Roman" w:eastAsia="MS Mincho" w:hAnsi="Times New Roman"/>
          <w:sz w:val="28"/>
          <w:szCs w:val="28"/>
          <w:lang w:val="es-CO" w:eastAsia="es-MX"/>
        </w:rPr>
        <w:t>Por es</w:t>
      </w:r>
      <w:r w:rsidR="00CD679C" w:rsidRPr="007F2045">
        <w:rPr>
          <w:rFonts w:ascii="Times New Roman" w:eastAsia="MS Mincho" w:hAnsi="Times New Roman"/>
          <w:sz w:val="28"/>
          <w:szCs w:val="28"/>
          <w:lang w:val="es-CO" w:eastAsia="es-MX"/>
        </w:rPr>
        <w:t>t</w:t>
      </w:r>
      <w:r w:rsidR="3B204F14" w:rsidRPr="007F2045">
        <w:rPr>
          <w:rFonts w:ascii="Times New Roman" w:eastAsia="MS Mincho" w:hAnsi="Times New Roman"/>
          <w:sz w:val="28"/>
          <w:szCs w:val="28"/>
          <w:lang w:val="es-CO" w:eastAsia="es-MX"/>
        </w:rPr>
        <w:t xml:space="preserve">a razón, a continuación, la Corte </w:t>
      </w:r>
      <w:r w:rsidR="46E4475B" w:rsidRPr="007F2045">
        <w:rPr>
          <w:rFonts w:ascii="Times New Roman" w:eastAsia="MS Mincho" w:hAnsi="Times New Roman"/>
          <w:sz w:val="28"/>
          <w:szCs w:val="28"/>
          <w:lang w:val="es-CO" w:eastAsia="es-MX"/>
        </w:rPr>
        <w:t xml:space="preserve">se referirá al </w:t>
      </w:r>
      <w:r w:rsidR="76CD3629" w:rsidRPr="007F2045">
        <w:rPr>
          <w:rFonts w:ascii="Times New Roman" w:eastAsia="MS Mincho" w:hAnsi="Times New Roman"/>
          <w:sz w:val="28"/>
          <w:szCs w:val="28"/>
          <w:lang w:val="es-CO" w:eastAsia="es-MX"/>
        </w:rPr>
        <w:t>concepto de</w:t>
      </w:r>
      <w:r w:rsidR="00CD679C" w:rsidRPr="007F2045">
        <w:rPr>
          <w:rFonts w:ascii="Times New Roman" w:eastAsia="MS Mincho" w:hAnsi="Times New Roman"/>
          <w:sz w:val="28"/>
          <w:szCs w:val="28"/>
          <w:lang w:val="es-CO" w:eastAsia="es-MX"/>
        </w:rPr>
        <w:t xml:space="preserve"> la</w:t>
      </w:r>
      <w:r w:rsidR="76CD3629" w:rsidRPr="007F2045">
        <w:rPr>
          <w:rFonts w:ascii="Times New Roman" w:eastAsia="MS Mincho" w:hAnsi="Times New Roman"/>
          <w:sz w:val="28"/>
          <w:szCs w:val="28"/>
          <w:lang w:val="es-CO" w:eastAsia="es-MX"/>
        </w:rPr>
        <w:t xml:space="preserve"> suspensión provisional</w:t>
      </w:r>
      <w:r w:rsidR="4A9FDF9B" w:rsidRPr="007F2045">
        <w:rPr>
          <w:rFonts w:ascii="Times New Roman" w:eastAsia="MS Mincho" w:hAnsi="Times New Roman"/>
          <w:sz w:val="28"/>
          <w:szCs w:val="28"/>
          <w:lang w:val="es-CO" w:eastAsia="es-MX"/>
        </w:rPr>
        <w:t xml:space="preserve"> en el ámbito del control abstrac</w:t>
      </w:r>
      <w:r w:rsidR="006D540D" w:rsidRPr="007F2045">
        <w:rPr>
          <w:rFonts w:ascii="Times New Roman" w:eastAsia="MS Mincho" w:hAnsi="Times New Roman"/>
          <w:sz w:val="28"/>
          <w:szCs w:val="28"/>
          <w:lang w:val="es-CO" w:eastAsia="es-MX"/>
        </w:rPr>
        <w:t>to</w:t>
      </w:r>
      <w:r w:rsidR="00EC14E0" w:rsidRPr="007F2045">
        <w:rPr>
          <w:rFonts w:ascii="Times New Roman" w:eastAsia="MS Mincho" w:hAnsi="Times New Roman"/>
          <w:sz w:val="28"/>
          <w:szCs w:val="28"/>
          <w:lang w:val="es-CO" w:eastAsia="es-MX"/>
        </w:rPr>
        <w:t xml:space="preserve">, y </w:t>
      </w:r>
      <w:r w:rsidR="76CD3629" w:rsidRPr="007F2045">
        <w:rPr>
          <w:rFonts w:ascii="Times New Roman" w:eastAsia="MS Mincho" w:hAnsi="Times New Roman"/>
          <w:sz w:val="28"/>
          <w:szCs w:val="28"/>
          <w:lang w:val="es-CO" w:eastAsia="es-MX"/>
        </w:rPr>
        <w:t>al reconocimiento</w:t>
      </w:r>
      <w:r w:rsidR="63A6047F" w:rsidRPr="007F2045">
        <w:rPr>
          <w:rFonts w:ascii="Times New Roman" w:eastAsia="MS Mincho" w:hAnsi="Times New Roman"/>
          <w:sz w:val="28"/>
          <w:szCs w:val="28"/>
          <w:lang w:val="es-CO" w:eastAsia="es-MX"/>
        </w:rPr>
        <w:t xml:space="preserve"> que </w:t>
      </w:r>
      <w:r w:rsidR="00CD679C" w:rsidRPr="007F2045">
        <w:rPr>
          <w:rFonts w:ascii="Times New Roman" w:eastAsia="MS Mincho" w:hAnsi="Times New Roman"/>
          <w:sz w:val="28"/>
          <w:szCs w:val="28"/>
          <w:lang w:val="es-CO" w:eastAsia="es-MX"/>
        </w:rPr>
        <w:t xml:space="preserve">dicha </w:t>
      </w:r>
      <w:r w:rsidR="63A6047F" w:rsidRPr="007F2045">
        <w:rPr>
          <w:rFonts w:ascii="Times New Roman" w:eastAsia="MS Mincho" w:hAnsi="Times New Roman"/>
          <w:sz w:val="28"/>
          <w:szCs w:val="28"/>
          <w:lang w:val="es-CO" w:eastAsia="es-MX"/>
        </w:rPr>
        <w:t>figura ha tenido</w:t>
      </w:r>
      <w:r w:rsidR="76CD3629" w:rsidRPr="007F2045">
        <w:rPr>
          <w:rFonts w:ascii="Times New Roman" w:eastAsia="MS Mincho" w:hAnsi="Times New Roman"/>
          <w:sz w:val="28"/>
          <w:szCs w:val="28"/>
          <w:lang w:val="es-CO" w:eastAsia="es-MX"/>
        </w:rPr>
        <w:t xml:space="preserve"> </w:t>
      </w:r>
      <w:r w:rsidR="00EC14E0" w:rsidRPr="007F2045">
        <w:rPr>
          <w:rFonts w:ascii="Times New Roman" w:eastAsia="MS Mincho" w:hAnsi="Times New Roman"/>
          <w:sz w:val="28"/>
          <w:szCs w:val="28"/>
          <w:lang w:val="es-CO" w:eastAsia="es-MX"/>
        </w:rPr>
        <w:t>tanto en Colombia como en otros países</w:t>
      </w:r>
      <w:r w:rsidR="46E4475B" w:rsidRPr="007F2045">
        <w:rPr>
          <w:rFonts w:ascii="Times New Roman" w:eastAsia="MS Mincho" w:hAnsi="Times New Roman"/>
          <w:sz w:val="28"/>
          <w:szCs w:val="28"/>
          <w:lang w:val="es-CO" w:eastAsia="es-MX"/>
        </w:rPr>
        <w:t xml:space="preserve">. </w:t>
      </w:r>
      <w:r w:rsidR="63A6047F" w:rsidRPr="007F2045">
        <w:rPr>
          <w:rFonts w:ascii="Times New Roman" w:eastAsia="MS Mincho" w:hAnsi="Times New Roman"/>
          <w:sz w:val="28"/>
          <w:szCs w:val="28"/>
          <w:lang w:val="es-CO" w:eastAsia="es-MX"/>
        </w:rPr>
        <w:t>F</w:t>
      </w:r>
      <w:r w:rsidR="526267D5" w:rsidRPr="007F2045">
        <w:rPr>
          <w:rFonts w:ascii="Times New Roman" w:eastAsia="MS Mincho" w:hAnsi="Times New Roman"/>
          <w:sz w:val="28"/>
          <w:szCs w:val="28"/>
          <w:lang w:val="es-CO" w:eastAsia="es-MX"/>
        </w:rPr>
        <w:t>inalmente</w:t>
      </w:r>
      <w:r w:rsidR="63A6047F" w:rsidRPr="007F2045">
        <w:rPr>
          <w:rFonts w:ascii="Times New Roman" w:eastAsia="MS Mincho" w:hAnsi="Times New Roman"/>
          <w:sz w:val="28"/>
          <w:szCs w:val="28"/>
          <w:lang w:val="es-CO" w:eastAsia="es-MX"/>
        </w:rPr>
        <w:t>,</w:t>
      </w:r>
      <w:r w:rsidR="526267D5" w:rsidRPr="007F2045">
        <w:rPr>
          <w:rFonts w:ascii="Times New Roman" w:eastAsia="MS Mincho" w:hAnsi="Times New Roman"/>
          <w:sz w:val="28"/>
          <w:szCs w:val="28"/>
          <w:lang w:val="es-CO" w:eastAsia="es-MX"/>
        </w:rPr>
        <w:t xml:space="preserve"> </w:t>
      </w:r>
      <w:r w:rsidR="6DE11104" w:rsidRPr="007F2045">
        <w:rPr>
          <w:rFonts w:ascii="Times New Roman" w:eastAsia="MS Mincho" w:hAnsi="Times New Roman"/>
          <w:sz w:val="28"/>
          <w:szCs w:val="28"/>
          <w:lang w:val="es-CO" w:eastAsia="es-MX"/>
        </w:rPr>
        <w:t>plantear</w:t>
      </w:r>
      <w:r w:rsidR="63A6047F" w:rsidRPr="007F2045">
        <w:rPr>
          <w:rFonts w:ascii="Times New Roman" w:eastAsia="MS Mincho" w:hAnsi="Times New Roman"/>
          <w:sz w:val="28"/>
          <w:szCs w:val="28"/>
          <w:lang w:val="es-CO" w:eastAsia="es-MX"/>
        </w:rPr>
        <w:t>á</w:t>
      </w:r>
      <w:r w:rsidR="6DE11104" w:rsidRPr="007F2045">
        <w:rPr>
          <w:rFonts w:ascii="Times New Roman" w:eastAsia="MS Mincho" w:hAnsi="Times New Roman"/>
          <w:sz w:val="28"/>
          <w:szCs w:val="28"/>
          <w:lang w:val="es-CO" w:eastAsia="es-MX"/>
        </w:rPr>
        <w:t xml:space="preserve"> </w:t>
      </w:r>
      <w:r w:rsidR="63A6047F" w:rsidRPr="007F2045">
        <w:rPr>
          <w:rFonts w:ascii="Times New Roman" w:eastAsia="MS Mincho" w:hAnsi="Times New Roman"/>
          <w:sz w:val="28"/>
          <w:szCs w:val="28"/>
          <w:lang w:val="es-CO" w:eastAsia="es-MX"/>
        </w:rPr>
        <w:t xml:space="preserve">una respuesta </w:t>
      </w:r>
      <w:r w:rsidR="02FAA1DC" w:rsidRPr="007F2045">
        <w:rPr>
          <w:rFonts w:ascii="Times New Roman" w:eastAsia="MS Mincho" w:hAnsi="Times New Roman"/>
          <w:sz w:val="28"/>
          <w:szCs w:val="28"/>
          <w:lang w:val="es-CO" w:eastAsia="es-MX"/>
        </w:rPr>
        <w:t xml:space="preserve">a las tensiones constitucionales </w:t>
      </w:r>
      <w:r w:rsidR="00CD679C" w:rsidRPr="007F2045">
        <w:rPr>
          <w:rFonts w:ascii="Times New Roman" w:eastAsia="MS Mincho" w:hAnsi="Times New Roman"/>
          <w:sz w:val="28"/>
          <w:szCs w:val="28"/>
          <w:lang w:val="es-CO" w:eastAsia="es-MX"/>
        </w:rPr>
        <w:t>vinculadas con el</w:t>
      </w:r>
      <w:r w:rsidR="526267D5" w:rsidRPr="007F2045">
        <w:rPr>
          <w:rFonts w:ascii="Times New Roman" w:eastAsia="MS Mincho" w:hAnsi="Times New Roman"/>
          <w:sz w:val="28"/>
          <w:szCs w:val="28"/>
          <w:lang w:val="es-CO" w:eastAsia="es-MX"/>
        </w:rPr>
        <w:t xml:space="preserve"> uso de</w:t>
      </w:r>
      <w:r w:rsidR="63A6047F" w:rsidRPr="007F2045">
        <w:rPr>
          <w:rFonts w:ascii="Times New Roman" w:eastAsia="MS Mincho" w:hAnsi="Times New Roman"/>
          <w:sz w:val="28"/>
          <w:szCs w:val="28"/>
          <w:lang w:val="es-CO" w:eastAsia="es-MX"/>
        </w:rPr>
        <w:t xml:space="preserve"> una figura </w:t>
      </w:r>
      <w:r w:rsidR="73C276C7" w:rsidRPr="007F2045">
        <w:rPr>
          <w:rFonts w:ascii="Times New Roman" w:eastAsia="MS Mincho" w:hAnsi="Times New Roman"/>
          <w:sz w:val="28"/>
          <w:szCs w:val="28"/>
          <w:lang w:val="es-CO" w:eastAsia="es-MX"/>
        </w:rPr>
        <w:t xml:space="preserve">orientada a que </w:t>
      </w:r>
      <w:r w:rsidR="71127BEE" w:rsidRPr="007F2045">
        <w:rPr>
          <w:rFonts w:ascii="Times New Roman" w:eastAsia="MS Mincho" w:hAnsi="Times New Roman"/>
          <w:sz w:val="28"/>
          <w:szCs w:val="28"/>
          <w:lang w:val="es-CO" w:eastAsia="es-MX"/>
        </w:rPr>
        <w:t xml:space="preserve">la </w:t>
      </w:r>
      <w:r w:rsidR="71127BEE" w:rsidRPr="007F2045">
        <w:rPr>
          <w:rFonts w:ascii="Times New Roman" w:eastAsia="MS Mincho" w:hAnsi="Times New Roman"/>
          <w:i/>
          <w:sz w:val="28"/>
          <w:szCs w:val="28"/>
          <w:lang w:val="es-CO" w:eastAsia="es-MX"/>
        </w:rPr>
        <w:t>justicia no llegue tarde</w:t>
      </w:r>
      <w:r w:rsidR="4A22E172" w:rsidRPr="007F2045">
        <w:rPr>
          <w:rFonts w:ascii="Times New Roman" w:eastAsia="MS Mincho" w:hAnsi="Times New Roman"/>
          <w:sz w:val="28"/>
          <w:szCs w:val="28"/>
          <w:shd w:val="clear" w:color="auto" w:fill="FFFFFF" w:themeFill="background1"/>
          <w:lang w:val="es-CO" w:eastAsia="es-MX"/>
        </w:rPr>
        <w:t xml:space="preserve">, </w:t>
      </w:r>
      <w:r w:rsidR="31A83DA4" w:rsidRPr="007F2045">
        <w:rPr>
          <w:rFonts w:ascii="Times New Roman" w:eastAsia="MS Mincho" w:hAnsi="Times New Roman"/>
          <w:sz w:val="28"/>
          <w:szCs w:val="28"/>
          <w:shd w:val="clear" w:color="auto" w:fill="FFFFFF" w:themeFill="background1"/>
          <w:lang w:val="es-CO" w:eastAsia="es-MX"/>
        </w:rPr>
        <w:t xml:space="preserve">pero </w:t>
      </w:r>
      <w:r w:rsidR="00B064A5" w:rsidRPr="007F2045">
        <w:rPr>
          <w:rFonts w:ascii="Times New Roman" w:hAnsi="Times New Roman"/>
          <w:sz w:val="28"/>
          <w:szCs w:val="28"/>
          <w:shd w:val="clear" w:color="auto" w:fill="FFFFFF" w:themeFill="background1"/>
        </w:rPr>
        <w:t>que, en los estados de excepción, de no ser evaluada con cautela, puede también implicar que la respuesta del ejecutivo sea tardía frente a una situación excepcional de crisis</w:t>
      </w:r>
      <w:r w:rsidR="491833BF" w:rsidRPr="007F2045">
        <w:rPr>
          <w:rFonts w:ascii="Times New Roman" w:eastAsia="MS Mincho" w:hAnsi="Times New Roman"/>
          <w:sz w:val="28"/>
          <w:szCs w:val="28"/>
          <w:shd w:val="clear" w:color="auto" w:fill="FFFFFF" w:themeFill="background1"/>
          <w:lang w:val="es-CO" w:eastAsia="es-MX"/>
        </w:rPr>
        <w:t>.</w:t>
      </w:r>
      <w:r w:rsidR="491833BF" w:rsidRPr="007F2045">
        <w:rPr>
          <w:rFonts w:ascii="Times New Roman" w:eastAsia="MS Mincho" w:hAnsi="Times New Roman"/>
          <w:sz w:val="28"/>
          <w:szCs w:val="28"/>
          <w:lang w:val="es-CO" w:eastAsia="es-MX"/>
        </w:rPr>
        <w:t xml:space="preserve"> </w:t>
      </w:r>
      <w:r w:rsidR="2215891A" w:rsidRPr="007F2045">
        <w:rPr>
          <w:rFonts w:ascii="Times New Roman" w:eastAsia="MS Mincho" w:hAnsi="Times New Roman"/>
          <w:sz w:val="28"/>
          <w:szCs w:val="28"/>
          <w:lang w:val="es-CO" w:eastAsia="es-MX"/>
        </w:rPr>
        <w:t xml:space="preserve"> </w:t>
      </w:r>
    </w:p>
    <w:p w14:paraId="4E3BEFFB" w14:textId="77777777" w:rsidR="006A13A0" w:rsidRPr="007F2045" w:rsidRDefault="006A13A0" w:rsidP="001B5728">
      <w:pPr>
        <w:spacing w:after="0" w:line="240" w:lineRule="auto"/>
        <w:rPr>
          <w:rFonts w:ascii="Times New Roman" w:hAnsi="Times New Roman"/>
          <w:sz w:val="28"/>
          <w:szCs w:val="28"/>
          <w:lang w:val="es-CO"/>
        </w:rPr>
      </w:pPr>
    </w:p>
    <w:p w14:paraId="6C724201" w14:textId="77777777" w:rsidR="006A13A0" w:rsidRPr="007F2045" w:rsidRDefault="006A13A0" w:rsidP="001B5728">
      <w:pPr>
        <w:pStyle w:val="Subttulo"/>
        <w:tabs>
          <w:tab w:val="left" w:pos="1276"/>
        </w:tabs>
        <w:ind w:left="1276" w:hanging="567"/>
        <w:rPr>
          <w:lang w:val="es-CO"/>
        </w:rPr>
      </w:pPr>
      <w:r w:rsidRPr="007F2045">
        <w:rPr>
          <w:lang w:val="es-CO"/>
        </w:rPr>
        <w:t>Concepto, reconocimiento y tradición de la suspensión provisional en el control de consti</w:t>
      </w:r>
      <w:r w:rsidR="00C16AF8" w:rsidRPr="007F2045">
        <w:rPr>
          <w:lang w:val="es-CO"/>
        </w:rPr>
        <w:t>tu</w:t>
      </w:r>
      <w:r w:rsidRPr="007F2045">
        <w:rPr>
          <w:lang w:val="es-CO"/>
        </w:rPr>
        <w:t>cionalidad</w:t>
      </w:r>
    </w:p>
    <w:p w14:paraId="765B07B0" w14:textId="77777777" w:rsidR="000D18E7" w:rsidRPr="007F2045" w:rsidRDefault="000D18E7" w:rsidP="001B5728">
      <w:pPr>
        <w:widowControl w:val="0"/>
        <w:tabs>
          <w:tab w:val="left" w:pos="284"/>
          <w:tab w:val="left" w:pos="426"/>
        </w:tabs>
        <w:autoSpaceDE w:val="0"/>
        <w:autoSpaceDN w:val="0"/>
        <w:adjustRightInd w:val="0"/>
        <w:spacing w:after="0" w:line="240" w:lineRule="auto"/>
        <w:rPr>
          <w:rFonts w:ascii="Times New Roman" w:eastAsia="MS Mincho" w:hAnsi="Times New Roman"/>
          <w:sz w:val="28"/>
          <w:szCs w:val="28"/>
          <w:lang w:val="es-CO" w:eastAsia="es-MX"/>
        </w:rPr>
      </w:pPr>
    </w:p>
    <w:p w14:paraId="1D42D75C" w14:textId="77777777" w:rsidR="00774DD3" w:rsidRPr="007F2045" w:rsidRDefault="007146CF" w:rsidP="001B5728">
      <w:pPr>
        <w:widowControl w:val="0"/>
        <w:numPr>
          <w:ilvl w:val="0"/>
          <w:numId w:val="2"/>
        </w:numPr>
        <w:tabs>
          <w:tab w:val="left" w:pos="284"/>
          <w:tab w:val="left" w:pos="426"/>
        </w:tabs>
        <w:autoSpaceDE w:val="0"/>
        <w:autoSpaceDN w:val="0"/>
        <w:adjustRightInd w:val="0"/>
        <w:spacing w:after="0" w:line="240" w:lineRule="auto"/>
        <w:ind w:left="0" w:firstLine="0"/>
        <w:rPr>
          <w:rFonts w:ascii="Times New Roman" w:eastAsia="MS Mincho" w:hAnsi="Times New Roman"/>
          <w:sz w:val="28"/>
          <w:szCs w:val="28"/>
          <w:lang w:val="es-CO" w:eastAsia="es-MX"/>
        </w:rPr>
      </w:pPr>
      <w:r w:rsidRPr="007F2045">
        <w:rPr>
          <w:rFonts w:ascii="Times New Roman" w:eastAsia="MS Mincho" w:hAnsi="Times New Roman"/>
          <w:sz w:val="28"/>
          <w:szCs w:val="28"/>
          <w:lang w:val="es-CO" w:eastAsia="es-MX"/>
        </w:rPr>
        <w:t xml:space="preserve">El artículo 241 del Texto Superior le </w:t>
      </w:r>
      <w:r w:rsidR="003A5B18" w:rsidRPr="007F2045">
        <w:rPr>
          <w:rFonts w:ascii="Times New Roman" w:eastAsia="MS Mincho" w:hAnsi="Times New Roman"/>
          <w:sz w:val="28"/>
          <w:szCs w:val="28"/>
          <w:lang w:val="es-CO" w:eastAsia="es-MX"/>
        </w:rPr>
        <w:t xml:space="preserve">confió </w:t>
      </w:r>
      <w:r w:rsidRPr="007F2045">
        <w:rPr>
          <w:rFonts w:ascii="Times New Roman" w:eastAsia="MS Mincho" w:hAnsi="Times New Roman"/>
          <w:sz w:val="28"/>
          <w:szCs w:val="28"/>
          <w:lang w:val="es-CO" w:eastAsia="es-MX"/>
        </w:rPr>
        <w:t>a la Corte Constitucional la</w:t>
      </w:r>
      <w:r w:rsidR="003A5B18" w:rsidRPr="007F2045">
        <w:rPr>
          <w:rFonts w:ascii="Times New Roman" w:eastAsia="MS Mincho" w:hAnsi="Times New Roman"/>
          <w:sz w:val="28"/>
          <w:szCs w:val="28"/>
          <w:lang w:val="es-CO" w:eastAsia="es-MX"/>
        </w:rPr>
        <w:t xml:space="preserve"> guarda de la integridad y supremacía de la Constitución</w:t>
      </w:r>
      <w:r w:rsidR="000C29A6" w:rsidRPr="007F2045">
        <w:rPr>
          <w:rFonts w:ascii="Times New Roman" w:eastAsia="MS Mincho" w:hAnsi="Times New Roman"/>
          <w:sz w:val="28"/>
          <w:szCs w:val="28"/>
          <w:lang w:val="es-CO" w:eastAsia="es-MX"/>
        </w:rPr>
        <w:t xml:space="preserve"> y le atribuyó un conjunto de funciones, </w:t>
      </w:r>
      <w:r w:rsidR="005D1941" w:rsidRPr="007F2045">
        <w:rPr>
          <w:rFonts w:ascii="Times New Roman" w:eastAsia="MS Mincho" w:hAnsi="Times New Roman"/>
          <w:sz w:val="28"/>
          <w:szCs w:val="28"/>
          <w:lang w:val="es-CO" w:eastAsia="es-MX"/>
        </w:rPr>
        <w:t xml:space="preserve">varias de las cuales se refieren al control </w:t>
      </w:r>
      <w:r w:rsidR="008D29D8" w:rsidRPr="007F2045">
        <w:rPr>
          <w:rFonts w:ascii="Times New Roman" w:eastAsia="MS Mincho" w:hAnsi="Times New Roman"/>
          <w:sz w:val="28"/>
          <w:szCs w:val="28"/>
          <w:lang w:val="es-CO" w:eastAsia="es-MX"/>
        </w:rPr>
        <w:t>abstracto de constit</w:t>
      </w:r>
      <w:r w:rsidR="00E71F8E" w:rsidRPr="007F2045">
        <w:rPr>
          <w:rFonts w:ascii="Times New Roman" w:eastAsia="MS Mincho" w:hAnsi="Times New Roman"/>
          <w:sz w:val="28"/>
          <w:szCs w:val="28"/>
          <w:lang w:val="es-CO" w:eastAsia="es-MX"/>
        </w:rPr>
        <w:t xml:space="preserve">ucionalidad. </w:t>
      </w:r>
      <w:r w:rsidR="00F70826" w:rsidRPr="007F2045">
        <w:rPr>
          <w:rFonts w:ascii="Times New Roman" w:eastAsia="MS Mincho" w:hAnsi="Times New Roman"/>
          <w:sz w:val="28"/>
          <w:szCs w:val="28"/>
          <w:lang w:val="es-CO" w:eastAsia="es-MX"/>
        </w:rPr>
        <w:t>En un contexto global</w:t>
      </w:r>
      <w:r w:rsidR="006B3A34" w:rsidRPr="007F2045">
        <w:rPr>
          <w:rFonts w:ascii="Times New Roman" w:eastAsia="MS Mincho" w:hAnsi="Times New Roman"/>
          <w:sz w:val="28"/>
          <w:szCs w:val="28"/>
          <w:lang w:val="es-CO" w:eastAsia="es-MX"/>
        </w:rPr>
        <w:t>,</w:t>
      </w:r>
      <w:r w:rsidR="00F70826" w:rsidRPr="007F2045">
        <w:rPr>
          <w:rFonts w:ascii="Times New Roman" w:eastAsia="MS Mincho" w:hAnsi="Times New Roman"/>
          <w:sz w:val="28"/>
          <w:szCs w:val="28"/>
          <w:lang w:val="es-CO" w:eastAsia="es-MX"/>
        </w:rPr>
        <w:t xml:space="preserve"> en el que </w:t>
      </w:r>
      <w:r w:rsidR="000127FE" w:rsidRPr="007F2045">
        <w:rPr>
          <w:rFonts w:ascii="Times New Roman" w:eastAsia="MS Mincho" w:hAnsi="Times New Roman"/>
          <w:sz w:val="28"/>
          <w:szCs w:val="28"/>
          <w:lang w:val="es-CO" w:eastAsia="es-MX"/>
        </w:rPr>
        <w:t xml:space="preserve">existen varios tribunales constitucionales </w:t>
      </w:r>
      <w:r w:rsidR="001C7737" w:rsidRPr="007F2045">
        <w:rPr>
          <w:rFonts w:ascii="Times New Roman" w:eastAsia="MS Mincho" w:hAnsi="Times New Roman"/>
          <w:sz w:val="28"/>
          <w:szCs w:val="28"/>
          <w:lang w:val="es-CO" w:eastAsia="es-MX"/>
        </w:rPr>
        <w:t xml:space="preserve">con </w:t>
      </w:r>
      <w:r w:rsidR="0027110B" w:rsidRPr="007F2045">
        <w:rPr>
          <w:rFonts w:ascii="Times New Roman" w:eastAsia="MS Mincho" w:hAnsi="Times New Roman"/>
          <w:sz w:val="28"/>
          <w:szCs w:val="28"/>
          <w:lang w:val="es-CO" w:eastAsia="es-MX"/>
        </w:rPr>
        <w:t>funciones</w:t>
      </w:r>
      <w:r w:rsidR="00DD4563" w:rsidRPr="007F2045">
        <w:rPr>
          <w:rFonts w:ascii="Times New Roman" w:eastAsia="MS Mincho" w:hAnsi="Times New Roman"/>
          <w:sz w:val="28"/>
          <w:szCs w:val="28"/>
          <w:lang w:val="es-CO" w:eastAsia="es-MX"/>
        </w:rPr>
        <w:t xml:space="preserve"> similares</w:t>
      </w:r>
      <w:r w:rsidR="004D64E3" w:rsidRPr="007F2045">
        <w:rPr>
          <w:rFonts w:ascii="Times New Roman" w:eastAsia="MS Mincho" w:hAnsi="Times New Roman"/>
          <w:sz w:val="28"/>
          <w:szCs w:val="28"/>
          <w:lang w:val="es-CO" w:eastAsia="es-MX"/>
        </w:rPr>
        <w:t>,</w:t>
      </w:r>
      <w:r w:rsidR="006A4050" w:rsidRPr="007F2045">
        <w:rPr>
          <w:rFonts w:ascii="Times New Roman" w:eastAsia="MS Mincho" w:hAnsi="Times New Roman"/>
          <w:sz w:val="28"/>
          <w:szCs w:val="28"/>
          <w:lang w:val="es-CO" w:eastAsia="es-MX"/>
        </w:rPr>
        <w:t xml:space="preserve"> </w:t>
      </w:r>
      <w:r w:rsidR="001C7737" w:rsidRPr="007F2045">
        <w:rPr>
          <w:rFonts w:ascii="Times New Roman" w:eastAsia="MS Mincho" w:hAnsi="Times New Roman"/>
          <w:sz w:val="28"/>
          <w:szCs w:val="28"/>
          <w:lang w:val="es-CO" w:eastAsia="es-MX"/>
        </w:rPr>
        <w:t>las medidas cautelare</w:t>
      </w:r>
      <w:r w:rsidR="00CD17AD" w:rsidRPr="007F2045">
        <w:rPr>
          <w:rFonts w:ascii="Times New Roman" w:eastAsia="MS Mincho" w:hAnsi="Times New Roman"/>
          <w:sz w:val="28"/>
          <w:szCs w:val="28"/>
          <w:lang w:val="es-CO" w:eastAsia="es-MX"/>
        </w:rPr>
        <w:t xml:space="preserve">s en </w:t>
      </w:r>
      <w:r w:rsidR="0027110B" w:rsidRPr="007F2045">
        <w:rPr>
          <w:rFonts w:ascii="Times New Roman" w:eastAsia="MS Mincho" w:hAnsi="Times New Roman"/>
          <w:sz w:val="28"/>
          <w:szCs w:val="28"/>
          <w:lang w:val="es-CO" w:eastAsia="es-MX"/>
        </w:rPr>
        <w:t xml:space="preserve">el ámbito de </w:t>
      </w:r>
      <w:r w:rsidR="00BF61EC" w:rsidRPr="007F2045">
        <w:rPr>
          <w:rFonts w:ascii="Times New Roman" w:eastAsia="MS Mincho" w:hAnsi="Times New Roman"/>
          <w:sz w:val="28"/>
          <w:szCs w:val="28"/>
          <w:lang w:val="es-CO" w:eastAsia="es-MX"/>
        </w:rPr>
        <w:t>ese tipo de</w:t>
      </w:r>
      <w:r w:rsidR="00F8122E" w:rsidRPr="007F2045">
        <w:rPr>
          <w:rFonts w:ascii="Times New Roman" w:eastAsia="MS Mincho" w:hAnsi="Times New Roman"/>
          <w:sz w:val="28"/>
          <w:szCs w:val="28"/>
          <w:lang w:val="es-CO" w:eastAsia="es-MX"/>
        </w:rPr>
        <w:t xml:space="preserve"> procesos</w:t>
      </w:r>
      <w:r w:rsidR="008378D0" w:rsidRPr="007F2045">
        <w:rPr>
          <w:rFonts w:ascii="Times New Roman" w:eastAsia="MS Mincho" w:hAnsi="Times New Roman"/>
          <w:sz w:val="28"/>
          <w:szCs w:val="28"/>
          <w:lang w:val="es-CO" w:eastAsia="es-MX"/>
        </w:rPr>
        <w:t xml:space="preserve"> de control abstracto</w:t>
      </w:r>
      <w:r w:rsidR="00F8122E" w:rsidRPr="007F2045">
        <w:rPr>
          <w:rFonts w:ascii="Times New Roman" w:eastAsia="MS Mincho" w:hAnsi="Times New Roman"/>
          <w:sz w:val="28"/>
          <w:szCs w:val="28"/>
          <w:lang w:val="es-CO" w:eastAsia="es-MX"/>
        </w:rPr>
        <w:t xml:space="preserve"> </w:t>
      </w:r>
      <w:r w:rsidR="006A4050" w:rsidRPr="007F2045">
        <w:rPr>
          <w:rFonts w:ascii="Times New Roman" w:eastAsia="MS Mincho" w:hAnsi="Times New Roman"/>
          <w:sz w:val="28"/>
          <w:szCs w:val="28"/>
          <w:lang w:val="es-CO" w:eastAsia="es-MX"/>
        </w:rPr>
        <w:t>ha</w:t>
      </w:r>
      <w:r w:rsidR="00B108E6" w:rsidRPr="007F2045">
        <w:rPr>
          <w:rFonts w:ascii="Times New Roman" w:eastAsia="MS Mincho" w:hAnsi="Times New Roman"/>
          <w:sz w:val="28"/>
          <w:szCs w:val="28"/>
          <w:lang w:val="es-CO" w:eastAsia="es-MX"/>
        </w:rPr>
        <w:t>n</w:t>
      </w:r>
      <w:r w:rsidR="00581FBB" w:rsidRPr="007F2045">
        <w:rPr>
          <w:rFonts w:ascii="Times New Roman" w:eastAsia="MS Mincho" w:hAnsi="Times New Roman"/>
          <w:sz w:val="28"/>
          <w:szCs w:val="28"/>
          <w:lang w:val="es-CO" w:eastAsia="es-MX"/>
        </w:rPr>
        <w:t xml:space="preserve"> </w:t>
      </w:r>
      <w:r w:rsidR="00982D98" w:rsidRPr="007F2045">
        <w:rPr>
          <w:rFonts w:ascii="Times New Roman" w:eastAsia="MS Mincho" w:hAnsi="Times New Roman"/>
          <w:sz w:val="28"/>
          <w:szCs w:val="28"/>
          <w:lang w:val="es-CO" w:eastAsia="es-MX"/>
        </w:rPr>
        <w:t>generado una creciente atención</w:t>
      </w:r>
      <w:r w:rsidR="005462C5" w:rsidRPr="007F2045">
        <w:rPr>
          <w:rFonts w:ascii="Times New Roman" w:eastAsia="MS Mincho" w:hAnsi="Times New Roman"/>
          <w:sz w:val="28"/>
          <w:szCs w:val="28"/>
          <w:lang w:val="es-CO" w:eastAsia="es-MX"/>
        </w:rPr>
        <w:t xml:space="preserve">, </w:t>
      </w:r>
      <w:r w:rsidR="006A4050" w:rsidRPr="007F2045">
        <w:rPr>
          <w:rFonts w:ascii="Times New Roman" w:eastAsia="MS Mincho" w:hAnsi="Times New Roman"/>
          <w:sz w:val="28"/>
          <w:szCs w:val="28"/>
          <w:lang w:val="es-CO" w:eastAsia="es-MX"/>
        </w:rPr>
        <w:t xml:space="preserve">especialmente en </w:t>
      </w:r>
      <w:r w:rsidR="004263D2" w:rsidRPr="007F2045">
        <w:rPr>
          <w:rFonts w:ascii="Times New Roman" w:eastAsia="MS Mincho" w:hAnsi="Times New Roman"/>
          <w:sz w:val="28"/>
          <w:szCs w:val="28"/>
          <w:lang w:val="es-CO" w:eastAsia="es-MX"/>
        </w:rPr>
        <w:t>América Latina</w:t>
      </w:r>
      <w:r w:rsidR="005462C5" w:rsidRPr="007F2045">
        <w:rPr>
          <w:rFonts w:ascii="Times New Roman" w:eastAsia="MS Mincho" w:hAnsi="Times New Roman"/>
          <w:szCs w:val="28"/>
          <w:vertAlign w:val="superscript"/>
          <w:lang w:val="es-CO" w:eastAsia="es-MX"/>
        </w:rPr>
        <w:footnoteReference w:id="5"/>
      </w:r>
      <w:r w:rsidR="00925716" w:rsidRPr="007F2045">
        <w:rPr>
          <w:rFonts w:ascii="Times New Roman" w:eastAsia="MS Mincho" w:hAnsi="Times New Roman"/>
          <w:sz w:val="28"/>
          <w:szCs w:val="28"/>
          <w:lang w:val="es-CO" w:eastAsia="es-MX"/>
        </w:rPr>
        <w:t>.</w:t>
      </w:r>
    </w:p>
    <w:p w14:paraId="284CB7F8" w14:textId="77777777" w:rsidR="0058654E" w:rsidRPr="007F2045" w:rsidRDefault="0058654E" w:rsidP="001B5728">
      <w:pPr>
        <w:widowControl w:val="0"/>
        <w:tabs>
          <w:tab w:val="left" w:pos="284"/>
          <w:tab w:val="left" w:pos="426"/>
        </w:tabs>
        <w:autoSpaceDE w:val="0"/>
        <w:autoSpaceDN w:val="0"/>
        <w:adjustRightInd w:val="0"/>
        <w:spacing w:after="0" w:line="240" w:lineRule="auto"/>
        <w:rPr>
          <w:rFonts w:ascii="Times New Roman" w:eastAsia="MS Mincho" w:hAnsi="Times New Roman"/>
          <w:sz w:val="28"/>
          <w:szCs w:val="28"/>
          <w:lang w:val="es-CO" w:eastAsia="es-MX"/>
        </w:rPr>
      </w:pPr>
    </w:p>
    <w:p w14:paraId="223A6CE1" w14:textId="77777777" w:rsidR="00BF61EC" w:rsidRPr="007F2045" w:rsidRDefault="00C737F2" w:rsidP="001B5728">
      <w:pPr>
        <w:widowControl w:val="0"/>
        <w:numPr>
          <w:ilvl w:val="0"/>
          <w:numId w:val="2"/>
        </w:numPr>
        <w:tabs>
          <w:tab w:val="left" w:pos="284"/>
          <w:tab w:val="left" w:pos="426"/>
        </w:tabs>
        <w:autoSpaceDE w:val="0"/>
        <w:autoSpaceDN w:val="0"/>
        <w:adjustRightInd w:val="0"/>
        <w:spacing w:after="0" w:line="240" w:lineRule="auto"/>
        <w:ind w:left="0" w:firstLine="0"/>
        <w:rPr>
          <w:rFonts w:ascii="Times New Roman" w:eastAsia="MS Mincho" w:hAnsi="Times New Roman"/>
          <w:sz w:val="28"/>
          <w:szCs w:val="28"/>
          <w:lang w:val="es-CO" w:eastAsia="es-MX"/>
        </w:rPr>
      </w:pPr>
      <w:r w:rsidRPr="007F2045">
        <w:rPr>
          <w:rFonts w:ascii="Times New Roman" w:eastAsia="MS Mincho" w:hAnsi="Times New Roman"/>
          <w:sz w:val="28"/>
          <w:szCs w:val="28"/>
          <w:lang w:val="es-CO" w:eastAsia="es-MX"/>
        </w:rPr>
        <w:t xml:space="preserve"> </w:t>
      </w:r>
      <w:r w:rsidR="00925716" w:rsidRPr="007F2045">
        <w:rPr>
          <w:rFonts w:ascii="Times New Roman" w:eastAsia="MS Mincho" w:hAnsi="Times New Roman"/>
          <w:sz w:val="28"/>
          <w:szCs w:val="28"/>
          <w:lang w:val="es-CO" w:eastAsia="es-MX"/>
        </w:rPr>
        <w:t>L</w:t>
      </w:r>
      <w:r w:rsidR="00AD5FE0" w:rsidRPr="007F2045">
        <w:rPr>
          <w:rFonts w:ascii="Times New Roman" w:eastAsia="MS Mincho" w:hAnsi="Times New Roman"/>
          <w:sz w:val="28"/>
          <w:szCs w:val="28"/>
          <w:lang w:val="es-CO" w:eastAsia="es-MX"/>
        </w:rPr>
        <w:t xml:space="preserve">as medidas cautelares </w:t>
      </w:r>
      <w:r w:rsidR="00DB7330" w:rsidRPr="007F2045">
        <w:rPr>
          <w:rFonts w:ascii="Times New Roman" w:eastAsia="MS Mincho" w:hAnsi="Times New Roman"/>
          <w:sz w:val="28"/>
          <w:szCs w:val="28"/>
          <w:lang w:val="es-CO" w:eastAsia="es-MX"/>
        </w:rPr>
        <w:t xml:space="preserve">en materia constitucional </w:t>
      </w:r>
      <w:r w:rsidR="00AD5FE0" w:rsidRPr="007F2045">
        <w:rPr>
          <w:rFonts w:ascii="Times New Roman" w:eastAsia="MS Mincho" w:hAnsi="Times New Roman"/>
          <w:sz w:val="28"/>
          <w:szCs w:val="28"/>
          <w:lang w:val="es-CO" w:eastAsia="es-MX"/>
        </w:rPr>
        <w:t xml:space="preserve">son </w:t>
      </w:r>
      <w:r w:rsidR="005D671F" w:rsidRPr="007F2045">
        <w:rPr>
          <w:rFonts w:ascii="Times New Roman" w:eastAsia="MS Mincho" w:hAnsi="Times New Roman"/>
          <w:sz w:val="28"/>
          <w:szCs w:val="28"/>
          <w:lang w:val="es-CO" w:eastAsia="es-MX"/>
        </w:rPr>
        <w:t xml:space="preserve">herramientas </w:t>
      </w:r>
      <w:r w:rsidR="00E73223" w:rsidRPr="007F2045">
        <w:rPr>
          <w:rFonts w:ascii="Times New Roman" w:eastAsia="MS Mincho" w:hAnsi="Times New Roman"/>
          <w:sz w:val="28"/>
          <w:szCs w:val="28"/>
          <w:lang w:val="es-CO" w:eastAsia="es-MX"/>
        </w:rPr>
        <w:t>procesales</w:t>
      </w:r>
      <w:r w:rsidR="00934BC9" w:rsidRPr="007F2045">
        <w:rPr>
          <w:rFonts w:ascii="Times New Roman" w:eastAsia="MS Mincho" w:hAnsi="Times New Roman"/>
          <w:sz w:val="28"/>
          <w:szCs w:val="28"/>
          <w:lang w:val="es-CO" w:eastAsia="es-MX"/>
        </w:rPr>
        <w:t xml:space="preserve"> cuya finalidad es </w:t>
      </w:r>
      <w:r w:rsidR="005D671F" w:rsidRPr="007F2045">
        <w:rPr>
          <w:rFonts w:ascii="Times New Roman" w:eastAsia="MS Mincho" w:hAnsi="Times New Roman"/>
          <w:sz w:val="28"/>
          <w:szCs w:val="28"/>
          <w:lang w:val="es-CO" w:eastAsia="es-MX"/>
        </w:rPr>
        <w:t>evitar l</w:t>
      </w:r>
      <w:r w:rsidR="00094C79" w:rsidRPr="007F2045">
        <w:rPr>
          <w:rFonts w:ascii="Times New Roman" w:eastAsia="MS Mincho" w:hAnsi="Times New Roman"/>
          <w:sz w:val="28"/>
          <w:szCs w:val="28"/>
          <w:lang w:val="es-CO" w:eastAsia="es-MX"/>
        </w:rPr>
        <w:t>a ocurrencia de perjuicios</w:t>
      </w:r>
      <w:r w:rsidR="00A977A3" w:rsidRPr="007F2045">
        <w:rPr>
          <w:rFonts w:ascii="Times New Roman" w:eastAsia="MS Mincho" w:hAnsi="Times New Roman"/>
          <w:sz w:val="28"/>
          <w:szCs w:val="28"/>
          <w:lang w:val="es-CO" w:eastAsia="es-MX"/>
        </w:rPr>
        <w:t xml:space="preserve"> por</w:t>
      </w:r>
      <w:r w:rsidR="005D671F" w:rsidRPr="007F2045">
        <w:rPr>
          <w:rFonts w:ascii="Times New Roman" w:eastAsia="MS Mincho" w:hAnsi="Times New Roman"/>
          <w:sz w:val="28"/>
          <w:szCs w:val="28"/>
          <w:lang w:val="es-CO" w:eastAsia="es-MX"/>
        </w:rPr>
        <w:t xml:space="preserve"> la duración de los procesos. El poder cautelar, por lo tanto, </w:t>
      </w:r>
      <w:r w:rsidR="005404BC" w:rsidRPr="007F2045">
        <w:rPr>
          <w:rFonts w:ascii="Times New Roman" w:eastAsia="MS Mincho" w:hAnsi="Times New Roman"/>
          <w:sz w:val="28"/>
          <w:szCs w:val="28"/>
          <w:lang w:val="es-CO" w:eastAsia="es-MX"/>
        </w:rPr>
        <w:t>no es un asunto meramente formal</w:t>
      </w:r>
      <w:r w:rsidR="009B1117" w:rsidRPr="007F2045">
        <w:rPr>
          <w:rFonts w:ascii="Times New Roman" w:eastAsia="MS Mincho" w:hAnsi="Times New Roman"/>
          <w:sz w:val="28"/>
          <w:szCs w:val="28"/>
          <w:lang w:val="es-CO" w:eastAsia="es-MX"/>
        </w:rPr>
        <w:t>, sino que tiene amplias implicaciones sustanciales</w:t>
      </w:r>
      <w:r w:rsidR="0047240B" w:rsidRPr="007F2045">
        <w:rPr>
          <w:rFonts w:ascii="Times New Roman" w:eastAsia="MS Mincho" w:hAnsi="Times New Roman"/>
          <w:sz w:val="28"/>
          <w:szCs w:val="28"/>
          <w:lang w:val="es-CO" w:eastAsia="es-MX"/>
        </w:rPr>
        <w:t>: s</w:t>
      </w:r>
      <w:r w:rsidR="005404BC" w:rsidRPr="007F2045">
        <w:rPr>
          <w:rFonts w:ascii="Times New Roman" w:eastAsia="MS Mincho" w:hAnsi="Times New Roman"/>
          <w:sz w:val="28"/>
          <w:szCs w:val="28"/>
          <w:lang w:val="es-CO" w:eastAsia="es-MX"/>
        </w:rPr>
        <w:t xml:space="preserve">u ejercicio </w:t>
      </w:r>
      <w:r w:rsidR="00FC20AB" w:rsidRPr="007F2045">
        <w:rPr>
          <w:rFonts w:ascii="Times New Roman" w:eastAsia="MS Mincho" w:hAnsi="Times New Roman"/>
          <w:sz w:val="28"/>
          <w:szCs w:val="28"/>
          <w:lang w:val="es-CO" w:eastAsia="es-MX"/>
        </w:rPr>
        <w:t xml:space="preserve">pretende </w:t>
      </w:r>
      <w:r w:rsidR="00554D40" w:rsidRPr="007F2045">
        <w:rPr>
          <w:rFonts w:ascii="Times New Roman" w:eastAsia="MS Mincho" w:hAnsi="Times New Roman"/>
          <w:sz w:val="28"/>
          <w:szCs w:val="28"/>
          <w:lang w:val="es-CO" w:eastAsia="es-MX"/>
        </w:rPr>
        <w:t xml:space="preserve">preservar la eficacia del proceso </w:t>
      </w:r>
      <w:r w:rsidR="00FD5547" w:rsidRPr="007F2045">
        <w:rPr>
          <w:rFonts w:ascii="Times New Roman" w:eastAsia="MS Mincho" w:hAnsi="Times New Roman"/>
          <w:sz w:val="28"/>
          <w:szCs w:val="28"/>
          <w:lang w:val="es-CO" w:eastAsia="es-MX"/>
        </w:rPr>
        <w:t xml:space="preserve">constitucional </w:t>
      </w:r>
      <w:r w:rsidR="00554D40" w:rsidRPr="007F2045">
        <w:rPr>
          <w:rFonts w:ascii="Times New Roman" w:eastAsia="MS Mincho" w:hAnsi="Times New Roman"/>
          <w:sz w:val="28"/>
          <w:szCs w:val="28"/>
          <w:lang w:val="es-CO" w:eastAsia="es-MX"/>
        </w:rPr>
        <w:t>y de sus resultados</w:t>
      </w:r>
      <w:r w:rsidR="00F05FCB" w:rsidRPr="007F2045">
        <w:rPr>
          <w:rFonts w:ascii="Times New Roman" w:eastAsia="MS Mincho" w:hAnsi="Times New Roman"/>
          <w:sz w:val="28"/>
          <w:szCs w:val="28"/>
          <w:lang w:val="es-CO" w:eastAsia="es-MX"/>
        </w:rPr>
        <w:t>, en un cont</w:t>
      </w:r>
      <w:r w:rsidR="00774DD3" w:rsidRPr="007F2045">
        <w:rPr>
          <w:rFonts w:ascii="Times New Roman" w:eastAsia="MS Mincho" w:hAnsi="Times New Roman"/>
          <w:sz w:val="28"/>
          <w:szCs w:val="28"/>
          <w:lang w:val="es-CO" w:eastAsia="es-MX"/>
        </w:rPr>
        <w:t>exto en el que fallar de fondo, por la misma esencia de esa actividad, toma tiempo</w:t>
      </w:r>
      <w:r w:rsidR="00FD5547" w:rsidRPr="007F2045">
        <w:rPr>
          <w:rFonts w:ascii="Times New Roman" w:eastAsia="MS Mincho" w:hAnsi="Times New Roman"/>
          <w:sz w:val="28"/>
          <w:szCs w:val="28"/>
          <w:lang w:val="es-CO" w:eastAsia="es-MX"/>
        </w:rPr>
        <w:t>,</w:t>
      </w:r>
      <w:r w:rsidR="00471E89" w:rsidRPr="007F2045">
        <w:rPr>
          <w:rFonts w:ascii="Times New Roman" w:eastAsia="MS Mincho" w:hAnsi="Times New Roman"/>
          <w:sz w:val="28"/>
          <w:szCs w:val="28"/>
          <w:lang w:val="es-CO" w:eastAsia="es-MX"/>
        </w:rPr>
        <w:t xml:space="preserve"> y ello </w:t>
      </w:r>
      <w:r w:rsidR="00194D16" w:rsidRPr="007F2045">
        <w:rPr>
          <w:rFonts w:ascii="Times New Roman" w:eastAsia="MS Mincho" w:hAnsi="Times New Roman"/>
          <w:sz w:val="28"/>
          <w:szCs w:val="28"/>
          <w:lang w:val="es-CO" w:eastAsia="es-MX"/>
        </w:rPr>
        <w:t>puede</w:t>
      </w:r>
      <w:r w:rsidR="00EE605B" w:rsidRPr="007F2045">
        <w:rPr>
          <w:rFonts w:ascii="Times New Roman" w:eastAsia="MS Mincho" w:hAnsi="Times New Roman"/>
          <w:sz w:val="28"/>
          <w:szCs w:val="28"/>
          <w:lang w:val="es-CO" w:eastAsia="es-MX"/>
        </w:rPr>
        <w:t xml:space="preserve"> ocasionar</w:t>
      </w:r>
      <w:r w:rsidR="00191FA8" w:rsidRPr="007F2045">
        <w:rPr>
          <w:rFonts w:ascii="Times New Roman" w:eastAsia="MS Mincho" w:hAnsi="Times New Roman"/>
          <w:sz w:val="28"/>
          <w:szCs w:val="28"/>
          <w:lang w:val="es-CO" w:eastAsia="es-MX"/>
        </w:rPr>
        <w:t xml:space="preserve"> </w:t>
      </w:r>
      <w:r w:rsidR="00EE605B" w:rsidRPr="007F2045">
        <w:rPr>
          <w:rFonts w:ascii="Times New Roman" w:eastAsia="MS Mincho" w:hAnsi="Times New Roman"/>
          <w:sz w:val="28"/>
          <w:szCs w:val="28"/>
          <w:lang w:val="es-CO" w:eastAsia="es-MX"/>
        </w:rPr>
        <w:t>violaciones de derechos fundamentales</w:t>
      </w:r>
      <w:r w:rsidR="00F324E7" w:rsidRPr="007F2045">
        <w:rPr>
          <w:rFonts w:ascii="Times New Roman" w:eastAsia="MS Mincho" w:hAnsi="Times New Roman"/>
          <w:sz w:val="28"/>
          <w:szCs w:val="28"/>
          <w:lang w:val="es-CO" w:eastAsia="es-MX"/>
        </w:rPr>
        <w:t>, interferencias en el ejercicio de competencias institucionales</w:t>
      </w:r>
      <w:r w:rsidR="00EE605B" w:rsidRPr="007F2045">
        <w:rPr>
          <w:rFonts w:ascii="Times New Roman" w:eastAsia="MS Mincho" w:hAnsi="Times New Roman"/>
          <w:sz w:val="28"/>
          <w:szCs w:val="28"/>
          <w:lang w:val="es-CO" w:eastAsia="es-MX"/>
        </w:rPr>
        <w:t xml:space="preserve"> o </w:t>
      </w:r>
      <w:r w:rsidR="00430BC8" w:rsidRPr="007F2045">
        <w:rPr>
          <w:rFonts w:ascii="Times New Roman" w:eastAsia="MS Mincho" w:hAnsi="Times New Roman"/>
          <w:sz w:val="28"/>
          <w:szCs w:val="28"/>
          <w:lang w:val="es-CO" w:eastAsia="es-MX"/>
        </w:rPr>
        <w:t xml:space="preserve">alteraciones </w:t>
      </w:r>
      <w:r w:rsidR="00592887" w:rsidRPr="007F2045">
        <w:rPr>
          <w:rFonts w:ascii="Times New Roman" w:eastAsia="MS Mincho" w:hAnsi="Times New Roman"/>
          <w:sz w:val="28"/>
          <w:szCs w:val="28"/>
          <w:lang w:val="es-CO" w:eastAsia="es-MX"/>
        </w:rPr>
        <w:t xml:space="preserve">graves e irreparables </w:t>
      </w:r>
      <w:r w:rsidR="00430BC8" w:rsidRPr="007F2045">
        <w:rPr>
          <w:rFonts w:ascii="Times New Roman" w:eastAsia="MS Mincho" w:hAnsi="Times New Roman"/>
          <w:sz w:val="28"/>
          <w:szCs w:val="28"/>
          <w:lang w:val="es-CO" w:eastAsia="es-MX"/>
        </w:rPr>
        <w:t>en</w:t>
      </w:r>
      <w:r w:rsidR="00012CBC" w:rsidRPr="007F2045">
        <w:rPr>
          <w:rFonts w:ascii="Times New Roman" w:eastAsia="MS Mincho" w:hAnsi="Times New Roman"/>
          <w:sz w:val="28"/>
          <w:szCs w:val="28"/>
          <w:lang w:val="es-CO" w:eastAsia="es-MX"/>
        </w:rPr>
        <w:t xml:space="preserve"> la estructura jerárquica del ordenamiento jurídico</w:t>
      </w:r>
      <w:r w:rsidR="00B62058" w:rsidRPr="007F2045">
        <w:rPr>
          <w:rFonts w:ascii="Times New Roman" w:eastAsia="MS Mincho" w:hAnsi="Times New Roman"/>
          <w:sz w:val="28"/>
          <w:szCs w:val="28"/>
          <w:lang w:val="es-CO" w:eastAsia="es-MX"/>
        </w:rPr>
        <w:t>, por nombrar algunos ejemplos</w:t>
      </w:r>
      <w:r w:rsidR="00BE29ED" w:rsidRPr="007F2045">
        <w:rPr>
          <w:rFonts w:ascii="Times New Roman" w:eastAsia="MS Mincho" w:hAnsi="Times New Roman"/>
          <w:szCs w:val="28"/>
          <w:vertAlign w:val="superscript"/>
          <w:lang w:val="es-CO" w:eastAsia="es-MX"/>
        </w:rPr>
        <w:footnoteReference w:id="6"/>
      </w:r>
      <w:r w:rsidR="00774DD3" w:rsidRPr="007F2045">
        <w:rPr>
          <w:rFonts w:ascii="Times New Roman" w:eastAsia="MS Mincho" w:hAnsi="Times New Roman"/>
          <w:sz w:val="28"/>
          <w:szCs w:val="28"/>
          <w:lang w:val="es-CO" w:eastAsia="es-MX"/>
        </w:rPr>
        <w:t xml:space="preserve">. </w:t>
      </w:r>
    </w:p>
    <w:p w14:paraId="366FA7AA" w14:textId="77777777" w:rsidR="00430BC8" w:rsidRPr="007F2045" w:rsidRDefault="00430BC8" w:rsidP="001B5728">
      <w:pPr>
        <w:widowControl w:val="0"/>
        <w:tabs>
          <w:tab w:val="left" w:pos="284"/>
          <w:tab w:val="left" w:pos="426"/>
        </w:tabs>
        <w:autoSpaceDE w:val="0"/>
        <w:autoSpaceDN w:val="0"/>
        <w:adjustRightInd w:val="0"/>
        <w:spacing w:after="0" w:line="240" w:lineRule="auto"/>
        <w:rPr>
          <w:rFonts w:ascii="Times New Roman" w:eastAsia="MS Mincho" w:hAnsi="Times New Roman"/>
          <w:sz w:val="28"/>
          <w:szCs w:val="28"/>
          <w:lang w:val="es-CO" w:eastAsia="es-MX"/>
        </w:rPr>
      </w:pPr>
    </w:p>
    <w:p w14:paraId="747FF9E0" w14:textId="77777777" w:rsidR="00FB6D50" w:rsidRPr="007F2045" w:rsidRDefault="00BF61EC" w:rsidP="001B5728">
      <w:pPr>
        <w:widowControl w:val="0"/>
        <w:numPr>
          <w:ilvl w:val="0"/>
          <w:numId w:val="2"/>
        </w:numPr>
        <w:tabs>
          <w:tab w:val="left" w:pos="284"/>
          <w:tab w:val="left" w:pos="426"/>
          <w:tab w:val="left" w:pos="567"/>
        </w:tabs>
        <w:autoSpaceDE w:val="0"/>
        <w:autoSpaceDN w:val="0"/>
        <w:adjustRightInd w:val="0"/>
        <w:spacing w:after="0" w:line="240" w:lineRule="auto"/>
        <w:ind w:left="0" w:firstLine="0"/>
        <w:rPr>
          <w:rFonts w:ascii="Times New Roman" w:hAnsi="Times New Roman"/>
          <w:sz w:val="28"/>
          <w:szCs w:val="28"/>
          <w:lang w:val="es-CO"/>
        </w:rPr>
      </w:pPr>
      <w:r w:rsidRPr="007F2045">
        <w:rPr>
          <w:rFonts w:ascii="Times New Roman" w:eastAsia="MS Mincho" w:hAnsi="Times New Roman"/>
          <w:sz w:val="28"/>
          <w:szCs w:val="28"/>
          <w:lang w:val="es-CO" w:eastAsia="es-MX"/>
        </w:rPr>
        <w:t>U</w:t>
      </w:r>
      <w:r w:rsidR="00C41FA7" w:rsidRPr="007F2045">
        <w:rPr>
          <w:rFonts w:ascii="Times New Roman" w:eastAsia="MS Mincho" w:hAnsi="Times New Roman"/>
          <w:sz w:val="28"/>
          <w:szCs w:val="28"/>
          <w:lang w:val="es-CO" w:eastAsia="es-MX"/>
        </w:rPr>
        <w:t>na de las forma</w:t>
      </w:r>
      <w:r w:rsidRPr="007F2045">
        <w:rPr>
          <w:rFonts w:ascii="Times New Roman" w:eastAsia="MS Mincho" w:hAnsi="Times New Roman"/>
          <w:sz w:val="28"/>
          <w:szCs w:val="28"/>
          <w:lang w:val="es-CO" w:eastAsia="es-MX"/>
        </w:rPr>
        <w:t>s</w:t>
      </w:r>
      <w:r w:rsidR="00C41FA7" w:rsidRPr="007F2045">
        <w:rPr>
          <w:rFonts w:ascii="Times New Roman" w:eastAsia="MS Mincho" w:hAnsi="Times New Roman"/>
          <w:sz w:val="28"/>
          <w:szCs w:val="28"/>
          <w:lang w:val="es-CO" w:eastAsia="es-MX"/>
        </w:rPr>
        <w:t xml:space="preserve"> </w:t>
      </w:r>
      <w:r w:rsidR="0047240B" w:rsidRPr="007F2045">
        <w:rPr>
          <w:rFonts w:ascii="Times New Roman" w:eastAsia="MS Mincho" w:hAnsi="Times New Roman"/>
          <w:sz w:val="28"/>
          <w:szCs w:val="28"/>
          <w:lang w:val="es-CO" w:eastAsia="es-MX"/>
        </w:rPr>
        <w:t>que toma</w:t>
      </w:r>
      <w:r w:rsidR="00A977A3" w:rsidRPr="007F2045">
        <w:rPr>
          <w:rFonts w:ascii="Times New Roman" w:eastAsia="MS Mincho" w:hAnsi="Times New Roman"/>
          <w:sz w:val="28"/>
          <w:szCs w:val="28"/>
          <w:lang w:val="es-CO" w:eastAsia="es-MX"/>
        </w:rPr>
        <w:t xml:space="preserve"> </w:t>
      </w:r>
      <w:r w:rsidR="00471E89" w:rsidRPr="007F2045">
        <w:rPr>
          <w:rFonts w:ascii="Times New Roman" w:eastAsia="MS Mincho" w:hAnsi="Times New Roman"/>
          <w:sz w:val="28"/>
          <w:szCs w:val="28"/>
          <w:lang w:val="es-CO" w:eastAsia="es-MX"/>
        </w:rPr>
        <w:t>el</w:t>
      </w:r>
      <w:r w:rsidR="00C41FA7" w:rsidRPr="007F2045">
        <w:rPr>
          <w:rFonts w:ascii="Times New Roman" w:eastAsia="MS Mincho" w:hAnsi="Times New Roman"/>
          <w:sz w:val="28"/>
          <w:szCs w:val="28"/>
          <w:lang w:val="es-CO" w:eastAsia="es-MX"/>
        </w:rPr>
        <w:t xml:space="preserve"> poder </w:t>
      </w:r>
      <w:r w:rsidRPr="007F2045">
        <w:rPr>
          <w:rFonts w:ascii="Times New Roman" w:eastAsia="MS Mincho" w:hAnsi="Times New Roman"/>
          <w:sz w:val="28"/>
          <w:szCs w:val="28"/>
          <w:lang w:val="es-CO" w:eastAsia="es-MX"/>
        </w:rPr>
        <w:t xml:space="preserve">cautelar </w:t>
      </w:r>
      <w:r w:rsidR="00EE605B" w:rsidRPr="007F2045">
        <w:rPr>
          <w:rFonts w:ascii="Times New Roman" w:eastAsia="MS Mincho" w:hAnsi="Times New Roman"/>
          <w:sz w:val="28"/>
          <w:szCs w:val="28"/>
          <w:lang w:val="es-CO" w:eastAsia="es-MX"/>
        </w:rPr>
        <w:t xml:space="preserve">es </w:t>
      </w:r>
      <w:r w:rsidR="00C41FA7" w:rsidRPr="007F2045">
        <w:rPr>
          <w:rFonts w:ascii="Times New Roman" w:eastAsia="MS Mincho" w:hAnsi="Times New Roman"/>
          <w:sz w:val="28"/>
          <w:szCs w:val="28"/>
          <w:lang w:val="es-CO" w:eastAsia="es-MX"/>
        </w:rPr>
        <w:t>la suspensión provisional</w:t>
      </w:r>
      <w:r w:rsidR="00C12B5A" w:rsidRPr="007F2045">
        <w:rPr>
          <w:rFonts w:ascii="Times New Roman" w:eastAsia="MS Mincho" w:hAnsi="Times New Roman"/>
          <w:sz w:val="28"/>
          <w:szCs w:val="28"/>
          <w:lang w:val="es-CO" w:eastAsia="es-MX"/>
        </w:rPr>
        <w:t xml:space="preserve">, en virtud de la cual algunos tribunales </w:t>
      </w:r>
      <w:r w:rsidR="00592887" w:rsidRPr="007F2045">
        <w:rPr>
          <w:rFonts w:ascii="Times New Roman" w:eastAsia="MS Mincho" w:hAnsi="Times New Roman"/>
          <w:sz w:val="28"/>
          <w:szCs w:val="28"/>
          <w:lang w:val="es-CO" w:eastAsia="es-MX"/>
        </w:rPr>
        <w:t xml:space="preserve">pueden </w:t>
      </w:r>
      <w:r w:rsidR="00A81E6D" w:rsidRPr="007F2045">
        <w:rPr>
          <w:rFonts w:ascii="Times New Roman" w:eastAsia="MS Mincho" w:hAnsi="Times New Roman"/>
          <w:sz w:val="28"/>
          <w:szCs w:val="28"/>
          <w:lang w:val="es-CO" w:eastAsia="es-MX"/>
        </w:rPr>
        <w:t>ordenar que</w:t>
      </w:r>
      <w:r w:rsidR="00987D96" w:rsidRPr="007F2045">
        <w:rPr>
          <w:rFonts w:ascii="Times New Roman" w:eastAsia="MS Mincho" w:hAnsi="Times New Roman"/>
          <w:sz w:val="28"/>
          <w:szCs w:val="28"/>
          <w:lang w:val="es-CO" w:eastAsia="es-MX"/>
        </w:rPr>
        <w:t xml:space="preserve"> las normas con fuerza o rango de ley sometidas a control abstracto de constitucionalidad dejen </w:t>
      </w:r>
      <w:r w:rsidR="00A830E0" w:rsidRPr="007F2045">
        <w:rPr>
          <w:rFonts w:ascii="Times New Roman" w:eastAsia="MS Mincho" w:hAnsi="Times New Roman"/>
          <w:sz w:val="28"/>
          <w:szCs w:val="28"/>
          <w:lang w:val="es-CO" w:eastAsia="es-MX"/>
        </w:rPr>
        <w:t xml:space="preserve">de aplicarse </w:t>
      </w:r>
      <w:r w:rsidR="00592887" w:rsidRPr="007F2045">
        <w:rPr>
          <w:rFonts w:ascii="Times New Roman" w:eastAsia="MS Mincho" w:hAnsi="Times New Roman"/>
          <w:sz w:val="28"/>
          <w:szCs w:val="28"/>
          <w:lang w:val="es-CO" w:eastAsia="es-MX"/>
        </w:rPr>
        <w:t xml:space="preserve">en general </w:t>
      </w:r>
      <w:r w:rsidR="00754AB9" w:rsidRPr="007F2045">
        <w:rPr>
          <w:rFonts w:ascii="Times New Roman" w:eastAsia="MS Mincho" w:hAnsi="Times New Roman"/>
          <w:sz w:val="28"/>
          <w:szCs w:val="28"/>
          <w:lang w:val="es-CO" w:eastAsia="es-MX"/>
        </w:rPr>
        <w:t xml:space="preserve">y </w:t>
      </w:r>
      <w:r w:rsidR="00987D96" w:rsidRPr="007F2045">
        <w:rPr>
          <w:rFonts w:ascii="Times New Roman" w:eastAsia="MS Mincho" w:hAnsi="Times New Roman"/>
          <w:sz w:val="28"/>
          <w:szCs w:val="28"/>
          <w:lang w:val="es-CO" w:eastAsia="es-MX"/>
        </w:rPr>
        <w:t xml:space="preserve">de forma temporal, mientras </w:t>
      </w:r>
      <w:r w:rsidR="009939AF" w:rsidRPr="007F2045">
        <w:rPr>
          <w:rFonts w:ascii="Times New Roman" w:eastAsia="MS Mincho" w:hAnsi="Times New Roman"/>
          <w:sz w:val="28"/>
          <w:szCs w:val="28"/>
          <w:lang w:val="es-CO" w:eastAsia="es-MX"/>
        </w:rPr>
        <w:t>toma</w:t>
      </w:r>
      <w:r w:rsidR="00C12B5A" w:rsidRPr="007F2045">
        <w:rPr>
          <w:rFonts w:ascii="Times New Roman" w:eastAsia="MS Mincho" w:hAnsi="Times New Roman"/>
          <w:sz w:val="28"/>
          <w:szCs w:val="28"/>
          <w:lang w:val="es-CO" w:eastAsia="es-MX"/>
        </w:rPr>
        <w:t>n</w:t>
      </w:r>
      <w:r w:rsidR="009939AF" w:rsidRPr="007F2045">
        <w:rPr>
          <w:rFonts w:ascii="Times New Roman" w:eastAsia="MS Mincho" w:hAnsi="Times New Roman"/>
          <w:sz w:val="28"/>
          <w:szCs w:val="28"/>
          <w:lang w:val="es-CO" w:eastAsia="es-MX"/>
        </w:rPr>
        <w:t xml:space="preserve"> la decisión definitiva. </w:t>
      </w:r>
      <w:r w:rsidR="00FB6D50" w:rsidRPr="007F2045">
        <w:rPr>
          <w:rFonts w:ascii="Times New Roman" w:hAnsi="Times New Roman"/>
          <w:sz w:val="28"/>
          <w:szCs w:val="28"/>
          <w:lang w:val="es-CO"/>
        </w:rPr>
        <w:t xml:space="preserve">Se trata, </w:t>
      </w:r>
      <w:r w:rsidR="00B064A5" w:rsidRPr="007F2045">
        <w:rPr>
          <w:rFonts w:ascii="Times New Roman" w:hAnsi="Times New Roman"/>
          <w:sz w:val="28"/>
          <w:szCs w:val="28"/>
          <w:lang w:val="es-CO"/>
        </w:rPr>
        <w:t>entonces</w:t>
      </w:r>
      <w:r w:rsidR="00FB6D50" w:rsidRPr="007F2045">
        <w:rPr>
          <w:rFonts w:ascii="Times New Roman" w:hAnsi="Times New Roman"/>
          <w:sz w:val="28"/>
          <w:szCs w:val="28"/>
          <w:lang w:val="es-CO"/>
        </w:rPr>
        <w:t>, de un instrumento excepcionalísimo orientado a preservar la efectividad de la justicia y a evitar la consolidación de situaciones límite contrarias al orden constitucional y democrático</w:t>
      </w:r>
      <w:r w:rsidR="00FB6D50" w:rsidRPr="007F2045">
        <w:rPr>
          <w:rFonts w:ascii="Times New Roman" w:hAnsi="Times New Roman"/>
          <w:szCs w:val="28"/>
          <w:vertAlign w:val="superscript"/>
          <w:lang w:val="es-CO"/>
        </w:rPr>
        <w:footnoteReference w:id="7"/>
      </w:r>
      <w:r w:rsidR="00FB6D50" w:rsidRPr="007F2045">
        <w:rPr>
          <w:rFonts w:ascii="Times New Roman" w:hAnsi="Times New Roman"/>
          <w:sz w:val="28"/>
          <w:szCs w:val="28"/>
          <w:lang w:val="es-CO"/>
        </w:rPr>
        <w:t>.</w:t>
      </w:r>
    </w:p>
    <w:p w14:paraId="6CA1ED66" w14:textId="77777777" w:rsidR="00B631AC" w:rsidRPr="007F2045" w:rsidRDefault="00B631AC" w:rsidP="001B5728">
      <w:pPr>
        <w:widowControl w:val="0"/>
        <w:tabs>
          <w:tab w:val="left" w:pos="284"/>
          <w:tab w:val="left" w:pos="426"/>
          <w:tab w:val="left" w:pos="567"/>
        </w:tabs>
        <w:autoSpaceDE w:val="0"/>
        <w:autoSpaceDN w:val="0"/>
        <w:adjustRightInd w:val="0"/>
        <w:spacing w:after="0" w:line="240" w:lineRule="auto"/>
        <w:rPr>
          <w:rFonts w:ascii="Times New Roman" w:hAnsi="Times New Roman"/>
          <w:sz w:val="28"/>
          <w:szCs w:val="28"/>
          <w:lang w:val="es-CO"/>
        </w:rPr>
      </w:pPr>
    </w:p>
    <w:p w14:paraId="1B1D58F8" w14:textId="77777777" w:rsidR="009405B3" w:rsidRPr="007F2045" w:rsidRDefault="00113C0E" w:rsidP="001B5728">
      <w:pPr>
        <w:widowControl w:val="0"/>
        <w:numPr>
          <w:ilvl w:val="0"/>
          <w:numId w:val="2"/>
        </w:numPr>
        <w:tabs>
          <w:tab w:val="left" w:pos="284"/>
          <w:tab w:val="left" w:pos="426"/>
          <w:tab w:val="left" w:pos="567"/>
        </w:tabs>
        <w:autoSpaceDE w:val="0"/>
        <w:autoSpaceDN w:val="0"/>
        <w:adjustRightInd w:val="0"/>
        <w:spacing w:after="0" w:line="240" w:lineRule="auto"/>
        <w:ind w:left="0" w:firstLine="0"/>
        <w:rPr>
          <w:rFonts w:ascii="Times New Roman" w:hAnsi="Times New Roman"/>
          <w:sz w:val="28"/>
          <w:szCs w:val="28"/>
          <w:lang w:val="es-CO"/>
        </w:rPr>
      </w:pPr>
      <w:r w:rsidRPr="007F2045">
        <w:rPr>
          <w:rFonts w:ascii="Times New Roman" w:eastAsia="MS Mincho" w:hAnsi="Times New Roman"/>
          <w:sz w:val="28"/>
          <w:szCs w:val="28"/>
          <w:lang w:val="es-CO" w:eastAsia="es-MX"/>
        </w:rPr>
        <w:t>L</w:t>
      </w:r>
      <w:r w:rsidR="00B631AC" w:rsidRPr="007F2045">
        <w:rPr>
          <w:rFonts w:ascii="Times New Roman" w:eastAsia="MS Mincho" w:hAnsi="Times New Roman"/>
          <w:sz w:val="28"/>
          <w:szCs w:val="28"/>
          <w:lang w:val="es-CO" w:eastAsia="es-MX"/>
        </w:rPr>
        <w:t xml:space="preserve">a medida cautelar </w:t>
      </w:r>
      <w:r w:rsidR="00710B09" w:rsidRPr="007F2045">
        <w:rPr>
          <w:rFonts w:ascii="Times New Roman" w:eastAsia="MS Mincho" w:hAnsi="Times New Roman"/>
          <w:sz w:val="28"/>
          <w:szCs w:val="28"/>
          <w:lang w:val="es-CO" w:eastAsia="es-MX"/>
        </w:rPr>
        <w:t xml:space="preserve">de suspensión provisional </w:t>
      </w:r>
      <w:r w:rsidR="00BF61EC" w:rsidRPr="007F2045">
        <w:rPr>
          <w:rFonts w:ascii="Times New Roman" w:hAnsi="Times New Roman"/>
          <w:sz w:val="28"/>
          <w:szCs w:val="28"/>
          <w:lang w:val="es-CO"/>
        </w:rPr>
        <w:t xml:space="preserve">no es ajena al derecho extranjero, pues ha sido </w:t>
      </w:r>
      <w:r w:rsidR="00C9028A" w:rsidRPr="007F2045">
        <w:rPr>
          <w:rFonts w:ascii="Times New Roman" w:hAnsi="Times New Roman"/>
          <w:sz w:val="28"/>
          <w:szCs w:val="28"/>
          <w:lang w:val="es-CO"/>
        </w:rPr>
        <w:t xml:space="preserve">prevista </w:t>
      </w:r>
      <w:r w:rsidR="00BF61EC" w:rsidRPr="007F2045">
        <w:rPr>
          <w:rFonts w:ascii="Times New Roman" w:hAnsi="Times New Roman"/>
          <w:sz w:val="28"/>
          <w:szCs w:val="28"/>
          <w:lang w:val="es-CO"/>
        </w:rPr>
        <w:t xml:space="preserve">en otros </w:t>
      </w:r>
      <w:r w:rsidR="00B631AC" w:rsidRPr="007F2045">
        <w:rPr>
          <w:rFonts w:ascii="Times New Roman" w:hAnsi="Times New Roman"/>
          <w:sz w:val="28"/>
          <w:szCs w:val="28"/>
          <w:lang w:val="es-CO"/>
        </w:rPr>
        <w:t xml:space="preserve">sistemas </w:t>
      </w:r>
      <w:r w:rsidR="00BF61EC" w:rsidRPr="007F2045">
        <w:rPr>
          <w:rFonts w:ascii="Times New Roman" w:hAnsi="Times New Roman"/>
          <w:sz w:val="28"/>
          <w:szCs w:val="28"/>
          <w:lang w:val="es-CO"/>
        </w:rPr>
        <w:t>con control concentrado de constitucionalidad,</w:t>
      </w:r>
      <w:r w:rsidR="007E5A48" w:rsidRPr="007F2045">
        <w:rPr>
          <w:rFonts w:ascii="Times New Roman" w:hAnsi="Times New Roman"/>
          <w:sz w:val="28"/>
          <w:szCs w:val="28"/>
          <w:lang w:val="es-CO"/>
        </w:rPr>
        <w:t xml:space="preserve"> tales</w:t>
      </w:r>
      <w:r w:rsidR="00BF61EC" w:rsidRPr="007F2045">
        <w:rPr>
          <w:rFonts w:ascii="Times New Roman" w:hAnsi="Times New Roman"/>
          <w:sz w:val="28"/>
          <w:szCs w:val="28"/>
          <w:lang w:val="es-CO"/>
        </w:rPr>
        <w:t xml:space="preserve"> como en los modelos alemán, </w:t>
      </w:r>
      <w:r w:rsidR="00285EEE" w:rsidRPr="007F2045">
        <w:rPr>
          <w:rFonts w:ascii="Times New Roman" w:hAnsi="Times New Roman"/>
          <w:sz w:val="28"/>
          <w:szCs w:val="28"/>
          <w:lang w:val="es-CO"/>
        </w:rPr>
        <w:t>canadiense,</w:t>
      </w:r>
      <w:r w:rsidR="00BF61EC" w:rsidRPr="007F2045">
        <w:rPr>
          <w:rFonts w:ascii="Times New Roman" w:hAnsi="Times New Roman"/>
          <w:sz w:val="28"/>
          <w:szCs w:val="28"/>
          <w:lang w:val="es-CO"/>
        </w:rPr>
        <w:t xml:space="preserve"> mexicano, ecuatoriano y brasilero</w:t>
      </w:r>
      <w:r w:rsidR="00FB6D50" w:rsidRPr="007F2045">
        <w:rPr>
          <w:rFonts w:ascii="Times New Roman" w:hAnsi="Times New Roman"/>
          <w:szCs w:val="28"/>
          <w:vertAlign w:val="superscript"/>
          <w:lang w:val="es-CO"/>
        </w:rPr>
        <w:footnoteReference w:id="8"/>
      </w:r>
      <w:r w:rsidR="00BF61EC" w:rsidRPr="007F2045">
        <w:rPr>
          <w:rFonts w:ascii="Times New Roman" w:hAnsi="Times New Roman"/>
          <w:sz w:val="28"/>
          <w:szCs w:val="28"/>
          <w:lang w:val="es-CO"/>
        </w:rPr>
        <w:t>.</w:t>
      </w:r>
      <w:r w:rsidR="000720D1" w:rsidRPr="007F2045">
        <w:rPr>
          <w:rFonts w:ascii="Times New Roman" w:hAnsi="Times New Roman"/>
          <w:sz w:val="28"/>
          <w:szCs w:val="28"/>
          <w:lang w:val="es-CO"/>
        </w:rPr>
        <w:t xml:space="preserve"> En varios de ellos</w:t>
      </w:r>
      <w:r w:rsidR="004D64E3" w:rsidRPr="007F2045">
        <w:rPr>
          <w:rFonts w:ascii="Times New Roman" w:hAnsi="Times New Roman"/>
          <w:sz w:val="28"/>
          <w:szCs w:val="28"/>
          <w:lang w:val="es-CO"/>
        </w:rPr>
        <w:t>,</w:t>
      </w:r>
      <w:r w:rsidR="00DE5268" w:rsidRPr="007F2045">
        <w:rPr>
          <w:rFonts w:ascii="Times New Roman" w:hAnsi="Times New Roman"/>
          <w:sz w:val="28"/>
          <w:szCs w:val="28"/>
          <w:lang w:val="es-CO"/>
        </w:rPr>
        <w:t xml:space="preserve"> la posibilidad de suspender provisionalmente una norm</w:t>
      </w:r>
      <w:r w:rsidR="00FD4D66" w:rsidRPr="007F2045">
        <w:rPr>
          <w:rFonts w:ascii="Times New Roman" w:hAnsi="Times New Roman"/>
          <w:sz w:val="28"/>
          <w:szCs w:val="28"/>
          <w:lang w:val="es-CO"/>
        </w:rPr>
        <w:t>a</w:t>
      </w:r>
      <w:r w:rsidR="00DE5268" w:rsidRPr="007F2045">
        <w:rPr>
          <w:rFonts w:ascii="Times New Roman" w:hAnsi="Times New Roman"/>
          <w:sz w:val="28"/>
          <w:szCs w:val="28"/>
          <w:lang w:val="es-CO"/>
        </w:rPr>
        <w:t xml:space="preserve"> </w:t>
      </w:r>
      <w:r w:rsidR="004D64E3" w:rsidRPr="007F2045">
        <w:rPr>
          <w:rFonts w:ascii="Times New Roman" w:hAnsi="Times New Roman"/>
          <w:sz w:val="28"/>
          <w:szCs w:val="28"/>
          <w:lang w:val="es-CO"/>
        </w:rPr>
        <w:t xml:space="preserve">para que deje de aplicarse de manera general </w:t>
      </w:r>
      <w:r w:rsidR="00DE5268" w:rsidRPr="007F2045">
        <w:rPr>
          <w:rFonts w:ascii="Times New Roman" w:hAnsi="Times New Roman"/>
          <w:sz w:val="28"/>
          <w:szCs w:val="28"/>
          <w:lang w:val="es-CO"/>
        </w:rPr>
        <w:t xml:space="preserve">ha sido </w:t>
      </w:r>
      <w:r w:rsidR="00C9028A" w:rsidRPr="007F2045">
        <w:rPr>
          <w:rFonts w:ascii="Times New Roman" w:hAnsi="Times New Roman"/>
          <w:sz w:val="28"/>
          <w:szCs w:val="28"/>
          <w:lang w:val="es-CO"/>
        </w:rPr>
        <w:t xml:space="preserve">plasmada </w:t>
      </w:r>
      <w:r w:rsidR="00EA5EF6" w:rsidRPr="007F2045">
        <w:rPr>
          <w:rFonts w:ascii="Times New Roman" w:hAnsi="Times New Roman"/>
          <w:sz w:val="28"/>
          <w:szCs w:val="28"/>
          <w:lang w:val="es-CO"/>
        </w:rPr>
        <w:t>por la jurisprudencia</w:t>
      </w:r>
      <w:r w:rsidR="00DE5268" w:rsidRPr="007F2045">
        <w:rPr>
          <w:rFonts w:ascii="Times New Roman" w:hAnsi="Times New Roman"/>
          <w:sz w:val="28"/>
          <w:szCs w:val="28"/>
          <w:lang w:val="es-CO"/>
        </w:rPr>
        <w:t xml:space="preserve">, </w:t>
      </w:r>
      <w:r w:rsidR="004D64E3" w:rsidRPr="007F2045">
        <w:rPr>
          <w:rFonts w:ascii="Times New Roman" w:hAnsi="Times New Roman"/>
          <w:sz w:val="28"/>
          <w:szCs w:val="28"/>
          <w:lang w:val="es-CO"/>
        </w:rPr>
        <w:t>incluso en contextos en los que</w:t>
      </w:r>
      <w:r w:rsidR="00C9028A" w:rsidRPr="007F2045">
        <w:rPr>
          <w:rFonts w:ascii="Times New Roman" w:hAnsi="Times New Roman"/>
          <w:sz w:val="28"/>
          <w:szCs w:val="28"/>
          <w:lang w:val="es-CO"/>
        </w:rPr>
        <w:t>, textualmente,</w:t>
      </w:r>
      <w:r w:rsidR="004D64E3" w:rsidRPr="007F2045">
        <w:rPr>
          <w:rFonts w:ascii="Times New Roman" w:hAnsi="Times New Roman"/>
          <w:sz w:val="28"/>
          <w:szCs w:val="28"/>
          <w:lang w:val="es-CO"/>
        </w:rPr>
        <w:t xml:space="preserve"> </w:t>
      </w:r>
      <w:r w:rsidR="00E64446" w:rsidRPr="007F2045">
        <w:rPr>
          <w:rFonts w:ascii="Times New Roman" w:hAnsi="Times New Roman"/>
          <w:sz w:val="28"/>
          <w:szCs w:val="28"/>
          <w:lang w:val="es-CO"/>
        </w:rPr>
        <w:t>ni la</w:t>
      </w:r>
      <w:r w:rsidR="00DE5268" w:rsidRPr="007F2045">
        <w:rPr>
          <w:rFonts w:ascii="Times New Roman" w:hAnsi="Times New Roman"/>
          <w:sz w:val="28"/>
          <w:szCs w:val="28"/>
          <w:lang w:val="es-CO"/>
        </w:rPr>
        <w:t xml:space="preserve"> Constitución </w:t>
      </w:r>
      <w:r w:rsidR="00E64446" w:rsidRPr="007F2045">
        <w:rPr>
          <w:rFonts w:ascii="Times New Roman" w:hAnsi="Times New Roman"/>
          <w:sz w:val="28"/>
          <w:szCs w:val="28"/>
          <w:lang w:val="es-CO"/>
        </w:rPr>
        <w:t xml:space="preserve">ni la ley </w:t>
      </w:r>
      <w:r w:rsidR="00C9028A" w:rsidRPr="007F2045">
        <w:rPr>
          <w:rFonts w:ascii="Times New Roman" w:hAnsi="Times New Roman"/>
          <w:sz w:val="28"/>
          <w:szCs w:val="28"/>
          <w:lang w:val="es-CO"/>
        </w:rPr>
        <w:t xml:space="preserve">se han pronunciado sobre dicha facultad procesal a cargo del </w:t>
      </w:r>
      <w:r w:rsidR="00DE5268" w:rsidRPr="007F2045">
        <w:rPr>
          <w:rFonts w:ascii="Times New Roman" w:hAnsi="Times New Roman"/>
          <w:sz w:val="28"/>
          <w:szCs w:val="28"/>
          <w:lang w:val="es-CO"/>
        </w:rPr>
        <w:t>tribunal constitucional</w:t>
      </w:r>
      <w:r w:rsidR="00B2229B" w:rsidRPr="007F2045">
        <w:rPr>
          <w:rFonts w:ascii="Times New Roman" w:hAnsi="Times New Roman"/>
          <w:sz w:val="28"/>
          <w:szCs w:val="28"/>
          <w:lang w:val="es-CO"/>
        </w:rPr>
        <w:t xml:space="preserve">, </w:t>
      </w:r>
      <w:r w:rsidR="00B2229B" w:rsidRPr="007F2045">
        <w:rPr>
          <w:rFonts w:ascii="Times New Roman" w:hAnsi="Times New Roman"/>
          <w:sz w:val="28"/>
          <w:szCs w:val="28"/>
        </w:rPr>
        <w:t>precisamente con el fin de garantizar que mientras este decide no se corra el riesgo de perpetuar situaciones irremediables que atenten contra la supremacía constitucional</w:t>
      </w:r>
      <w:r w:rsidR="004D64E3" w:rsidRPr="007F2045">
        <w:rPr>
          <w:rFonts w:ascii="Times New Roman" w:hAnsi="Times New Roman"/>
          <w:szCs w:val="28"/>
          <w:vertAlign w:val="superscript"/>
          <w:lang w:val="es-CO"/>
        </w:rPr>
        <w:footnoteReference w:id="9"/>
      </w:r>
      <w:r w:rsidR="008031EF" w:rsidRPr="007F2045">
        <w:rPr>
          <w:rFonts w:ascii="Times New Roman" w:hAnsi="Times New Roman"/>
          <w:sz w:val="28"/>
          <w:szCs w:val="28"/>
          <w:lang w:val="es-CO"/>
        </w:rPr>
        <w:t xml:space="preserve">. </w:t>
      </w:r>
      <w:r w:rsidR="00B62058" w:rsidRPr="007F2045">
        <w:rPr>
          <w:rFonts w:ascii="Times New Roman" w:hAnsi="Times New Roman"/>
          <w:sz w:val="28"/>
          <w:szCs w:val="28"/>
          <w:lang w:val="es-CO"/>
        </w:rPr>
        <w:t xml:space="preserve"> </w:t>
      </w:r>
      <w:r w:rsidR="00E77AD3" w:rsidRPr="007F2045">
        <w:rPr>
          <w:rFonts w:ascii="Times New Roman" w:hAnsi="Times New Roman"/>
          <w:sz w:val="28"/>
          <w:szCs w:val="28"/>
          <w:lang w:val="es-CO"/>
        </w:rPr>
        <w:t xml:space="preserve">En otros casos, </w:t>
      </w:r>
      <w:r w:rsidR="007737AD" w:rsidRPr="007F2045">
        <w:rPr>
          <w:rFonts w:ascii="Times New Roman" w:hAnsi="Times New Roman"/>
          <w:sz w:val="28"/>
          <w:szCs w:val="28"/>
          <w:lang w:val="es-CO"/>
        </w:rPr>
        <w:lastRenderedPageBreak/>
        <w:t>esta facultad ha sido incorporada al ordenamiento a través de normas positivas de rango constitucional o legal.</w:t>
      </w:r>
      <w:r w:rsidR="00B62058" w:rsidRPr="007F2045">
        <w:rPr>
          <w:rFonts w:ascii="Times New Roman" w:eastAsia="MS Mincho" w:hAnsi="Times New Roman"/>
          <w:sz w:val="28"/>
          <w:szCs w:val="28"/>
          <w:lang w:val="es-CO" w:eastAsia="es-MX"/>
        </w:rPr>
        <w:t xml:space="preserve"> </w:t>
      </w:r>
    </w:p>
    <w:p w14:paraId="4FEADFC2" w14:textId="77777777" w:rsidR="000720D1" w:rsidRPr="007F2045" w:rsidRDefault="000720D1" w:rsidP="001B5728">
      <w:pPr>
        <w:widowControl w:val="0"/>
        <w:tabs>
          <w:tab w:val="left" w:pos="284"/>
          <w:tab w:val="left" w:pos="426"/>
          <w:tab w:val="left" w:pos="567"/>
        </w:tabs>
        <w:autoSpaceDE w:val="0"/>
        <w:autoSpaceDN w:val="0"/>
        <w:adjustRightInd w:val="0"/>
        <w:spacing w:after="0" w:line="240" w:lineRule="auto"/>
        <w:rPr>
          <w:rFonts w:ascii="Times New Roman" w:hAnsi="Times New Roman"/>
          <w:sz w:val="28"/>
          <w:szCs w:val="28"/>
          <w:lang w:val="es-CO"/>
        </w:rPr>
      </w:pPr>
    </w:p>
    <w:p w14:paraId="00970220" w14:textId="77777777" w:rsidR="009405B3" w:rsidRPr="007F2045" w:rsidRDefault="00DB7330" w:rsidP="001B5728">
      <w:pPr>
        <w:widowControl w:val="0"/>
        <w:numPr>
          <w:ilvl w:val="0"/>
          <w:numId w:val="2"/>
        </w:numPr>
        <w:tabs>
          <w:tab w:val="left" w:pos="284"/>
          <w:tab w:val="left" w:pos="426"/>
          <w:tab w:val="left" w:pos="567"/>
        </w:tabs>
        <w:autoSpaceDE w:val="0"/>
        <w:autoSpaceDN w:val="0"/>
        <w:adjustRightInd w:val="0"/>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E</w:t>
      </w:r>
      <w:r w:rsidR="00BF61EC" w:rsidRPr="007F2045">
        <w:rPr>
          <w:rFonts w:ascii="Times New Roman" w:hAnsi="Times New Roman"/>
          <w:sz w:val="28"/>
          <w:szCs w:val="28"/>
          <w:lang w:val="es-CO"/>
        </w:rPr>
        <w:t>n Colombia,</w:t>
      </w:r>
      <w:r w:rsidR="0091701F" w:rsidRPr="007F2045">
        <w:rPr>
          <w:rFonts w:ascii="Times New Roman" w:hAnsi="Times New Roman"/>
          <w:sz w:val="28"/>
          <w:szCs w:val="28"/>
          <w:lang w:val="es-CO"/>
        </w:rPr>
        <w:t xml:space="preserve"> </w:t>
      </w:r>
      <w:r w:rsidR="00BF61EC" w:rsidRPr="007F2045">
        <w:rPr>
          <w:rFonts w:ascii="Times New Roman" w:hAnsi="Times New Roman"/>
          <w:sz w:val="28"/>
          <w:szCs w:val="28"/>
          <w:lang w:val="es-CO"/>
        </w:rPr>
        <w:t>la suspensión provisional de normas con fuerza o rango de ley se inscribe en una tradición histórica amplia del derecho público nacional que se remonta al per</w:t>
      </w:r>
      <w:r w:rsidR="002002F1" w:rsidRPr="007F2045">
        <w:rPr>
          <w:rFonts w:ascii="Times New Roman" w:hAnsi="Times New Roman"/>
          <w:sz w:val="28"/>
          <w:szCs w:val="28"/>
          <w:lang w:val="es-CO"/>
        </w:rPr>
        <w:t>i</w:t>
      </w:r>
      <w:r w:rsidR="00BF61EC" w:rsidRPr="007F2045">
        <w:rPr>
          <w:rFonts w:ascii="Times New Roman" w:hAnsi="Times New Roman"/>
          <w:sz w:val="28"/>
          <w:szCs w:val="28"/>
          <w:lang w:val="es-CO"/>
        </w:rPr>
        <w:t xml:space="preserve">odo colonial y que tuvo un desarrollo </w:t>
      </w:r>
      <w:r w:rsidR="0091701F" w:rsidRPr="007F2045">
        <w:rPr>
          <w:rFonts w:ascii="Times New Roman" w:hAnsi="Times New Roman"/>
          <w:sz w:val="28"/>
          <w:szCs w:val="28"/>
          <w:lang w:val="es-CO"/>
        </w:rPr>
        <w:t xml:space="preserve">significativo </w:t>
      </w:r>
      <w:r w:rsidR="00BF61EC" w:rsidRPr="007F2045">
        <w:rPr>
          <w:rFonts w:ascii="Times New Roman" w:hAnsi="Times New Roman"/>
          <w:sz w:val="28"/>
          <w:szCs w:val="28"/>
          <w:lang w:val="es-CO"/>
        </w:rPr>
        <w:t>durante el siglo XIX</w:t>
      </w:r>
      <w:r w:rsidR="0091701F" w:rsidRPr="007F2045">
        <w:rPr>
          <w:rFonts w:ascii="Times New Roman" w:hAnsi="Times New Roman"/>
          <w:sz w:val="28"/>
          <w:szCs w:val="28"/>
          <w:lang w:val="es-CO"/>
        </w:rPr>
        <w:t xml:space="preserve"> a través </w:t>
      </w:r>
      <w:r w:rsidR="00C05E87" w:rsidRPr="007F2045">
        <w:rPr>
          <w:rFonts w:ascii="Times New Roman" w:hAnsi="Times New Roman"/>
          <w:sz w:val="28"/>
          <w:szCs w:val="28"/>
          <w:lang w:val="es-CO"/>
        </w:rPr>
        <w:t xml:space="preserve">de </w:t>
      </w:r>
      <w:r w:rsidR="00EA5EF6" w:rsidRPr="007F2045">
        <w:rPr>
          <w:rFonts w:ascii="Times New Roman" w:hAnsi="Times New Roman"/>
          <w:sz w:val="28"/>
          <w:szCs w:val="28"/>
          <w:lang w:val="es-CO"/>
        </w:rPr>
        <w:t xml:space="preserve">varias </w:t>
      </w:r>
      <w:r w:rsidR="0091701F" w:rsidRPr="007F2045">
        <w:rPr>
          <w:rFonts w:ascii="Times New Roman" w:hAnsi="Times New Roman"/>
          <w:sz w:val="28"/>
          <w:szCs w:val="28"/>
          <w:lang w:val="es-CO"/>
        </w:rPr>
        <w:t>normas positivas</w:t>
      </w:r>
      <w:r w:rsidR="003B0FC2" w:rsidRPr="007F2045">
        <w:rPr>
          <w:rFonts w:ascii="Times New Roman" w:hAnsi="Times New Roman"/>
          <w:sz w:val="28"/>
          <w:szCs w:val="28"/>
          <w:lang w:val="es-CO"/>
        </w:rPr>
        <w:t xml:space="preserve">. </w:t>
      </w:r>
      <w:r w:rsidR="0058654E" w:rsidRPr="007F2045">
        <w:rPr>
          <w:rFonts w:ascii="Times New Roman" w:hAnsi="Times New Roman"/>
          <w:sz w:val="28"/>
          <w:szCs w:val="28"/>
          <w:lang w:val="es-CO"/>
        </w:rPr>
        <w:t xml:space="preserve">En efecto, </w:t>
      </w:r>
      <w:r w:rsidR="00BF61EC" w:rsidRPr="007F2045">
        <w:rPr>
          <w:rFonts w:ascii="Times New Roman" w:hAnsi="Times New Roman"/>
          <w:sz w:val="28"/>
          <w:szCs w:val="28"/>
          <w:lang w:val="es-CO"/>
        </w:rPr>
        <w:t>bajo la vigencia de las Constituciones de 1858 y 1863, la Corte Suprema de Justicia</w:t>
      </w:r>
      <w:r w:rsidR="0058654E" w:rsidRPr="007F2045">
        <w:rPr>
          <w:rFonts w:ascii="Times New Roman" w:hAnsi="Times New Roman"/>
          <w:sz w:val="28"/>
          <w:szCs w:val="28"/>
          <w:lang w:val="es-CO"/>
        </w:rPr>
        <w:t xml:space="preserve"> p</w:t>
      </w:r>
      <w:r w:rsidR="000C020A" w:rsidRPr="007F2045">
        <w:rPr>
          <w:rFonts w:ascii="Times New Roman" w:hAnsi="Times New Roman"/>
          <w:sz w:val="28"/>
          <w:szCs w:val="28"/>
          <w:lang w:val="es-CO"/>
        </w:rPr>
        <w:t>udo</w:t>
      </w:r>
      <w:r w:rsidR="0058654E" w:rsidRPr="007F2045">
        <w:rPr>
          <w:rFonts w:ascii="Times New Roman" w:hAnsi="Times New Roman"/>
          <w:sz w:val="28"/>
          <w:szCs w:val="28"/>
          <w:lang w:val="es-CO"/>
        </w:rPr>
        <w:t xml:space="preserve"> usar esa figura</w:t>
      </w:r>
      <w:r w:rsidR="00BF61EC" w:rsidRPr="007F2045">
        <w:rPr>
          <w:rFonts w:ascii="Times New Roman" w:hAnsi="Times New Roman"/>
          <w:sz w:val="28"/>
          <w:szCs w:val="28"/>
          <w:lang w:val="es-CO"/>
        </w:rPr>
        <w:t xml:space="preserve"> </w:t>
      </w:r>
      <w:r w:rsidR="0058654E" w:rsidRPr="007F2045">
        <w:rPr>
          <w:rFonts w:ascii="Times New Roman" w:hAnsi="Times New Roman"/>
          <w:sz w:val="28"/>
          <w:szCs w:val="28"/>
          <w:lang w:val="es-CO"/>
        </w:rPr>
        <w:t xml:space="preserve">procesal </w:t>
      </w:r>
      <w:r w:rsidR="00BF61EC" w:rsidRPr="007F2045">
        <w:rPr>
          <w:rFonts w:ascii="Times New Roman" w:hAnsi="Times New Roman"/>
          <w:sz w:val="28"/>
          <w:szCs w:val="28"/>
          <w:lang w:val="es-CO"/>
        </w:rPr>
        <w:t xml:space="preserve">para impedir que disposiciones contrarias </w:t>
      </w:r>
      <w:r w:rsidR="00D62B1C" w:rsidRPr="007F2045">
        <w:rPr>
          <w:rFonts w:ascii="Times New Roman" w:hAnsi="Times New Roman"/>
          <w:sz w:val="28"/>
          <w:szCs w:val="28"/>
          <w:lang w:val="es-CO"/>
        </w:rPr>
        <w:t xml:space="preserve">al Texto Superior </w:t>
      </w:r>
      <w:r w:rsidR="00BF61EC" w:rsidRPr="007F2045">
        <w:rPr>
          <w:rFonts w:ascii="Times New Roman" w:hAnsi="Times New Roman"/>
          <w:sz w:val="28"/>
          <w:szCs w:val="28"/>
          <w:lang w:val="es-CO"/>
        </w:rPr>
        <w:t>generaran efectos jurídicos antes de</w:t>
      </w:r>
      <w:r w:rsidR="0058654E" w:rsidRPr="007F2045">
        <w:rPr>
          <w:rFonts w:ascii="Times New Roman" w:hAnsi="Times New Roman"/>
          <w:sz w:val="28"/>
          <w:szCs w:val="28"/>
          <w:lang w:val="es-CO"/>
        </w:rPr>
        <w:t>l</w:t>
      </w:r>
      <w:r w:rsidR="00BF61EC" w:rsidRPr="007F2045">
        <w:rPr>
          <w:rFonts w:ascii="Times New Roman" w:hAnsi="Times New Roman"/>
          <w:sz w:val="28"/>
          <w:szCs w:val="28"/>
          <w:lang w:val="es-CO"/>
        </w:rPr>
        <w:t xml:space="preserve"> fallo definitivo</w:t>
      </w:r>
      <w:r w:rsidR="00BF61EC" w:rsidRPr="007F2045">
        <w:rPr>
          <w:rFonts w:ascii="Times New Roman" w:hAnsi="Times New Roman"/>
          <w:szCs w:val="28"/>
          <w:vertAlign w:val="superscript"/>
          <w:lang w:val="es-CO"/>
        </w:rPr>
        <w:footnoteReference w:id="10"/>
      </w:r>
      <w:r w:rsidR="00BF61EC" w:rsidRPr="007F2045">
        <w:rPr>
          <w:rFonts w:ascii="Times New Roman" w:hAnsi="Times New Roman"/>
          <w:sz w:val="28"/>
          <w:szCs w:val="28"/>
          <w:lang w:val="es-CO"/>
        </w:rPr>
        <w:t>.</w:t>
      </w:r>
      <w:r w:rsidR="009405B3" w:rsidRPr="007F2045">
        <w:rPr>
          <w:rFonts w:ascii="Times New Roman" w:hAnsi="Times New Roman"/>
          <w:sz w:val="28"/>
          <w:szCs w:val="28"/>
          <w:lang w:val="es-CO"/>
        </w:rPr>
        <w:t xml:space="preserve"> Asimismo, en el marco del derecho administrativo, </w:t>
      </w:r>
      <w:r w:rsidR="009405B3" w:rsidRPr="007F2045">
        <w:rPr>
          <w:rFonts w:ascii="Times New Roman" w:eastAsia="MS Mincho" w:hAnsi="Times New Roman"/>
          <w:sz w:val="28"/>
          <w:szCs w:val="28"/>
          <w:lang w:val="es-CO" w:eastAsia="es-MX"/>
        </w:rPr>
        <w:t>la suspensión provisional encuentra un referente normativo relevante en el Acto Legislativo 3 de 1910, que explícitamente le otorgó al Consejo de Estado la competencia para suspender provisionalmente actos administrativos.</w:t>
      </w:r>
    </w:p>
    <w:p w14:paraId="3C3947A3" w14:textId="77777777" w:rsidR="009405B3" w:rsidRPr="007F2045" w:rsidRDefault="009405B3" w:rsidP="001B5728">
      <w:pPr>
        <w:widowControl w:val="0"/>
        <w:tabs>
          <w:tab w:val="left" w:pos="284"/>
          <w:tab w:val="left" w:pos="426"/>
          <w:tab w:val="left" w:pos="567"/>
        </w:tabs>
        <w:autoSpaceDE w:val="0"/>
        <w:autoSpaceDN w:val="0"/>
        <w:adjustRightInd w:val="0"/>
        <w:spacing w:after="0" w:line="240" w:lineRule="auto"/>
        <w:rPr>
          <w:rFonts w:ascii="Times New Roman" w:hAnsi="Times New Roman"/>
          <w:sz w:val="28"/>
          <w:szCs w:val="28"/>
          <w:lang w:val="es-CO"/>
        </w:rPr>
      </w:pPr>
    </w:p>
    <w:p w14:paraId="7C7E1307" w14:textId="77777777" w:rsidR="00FB6D50" w:rsidRPr="007F2045" w:rsidRDefault="1EBCF601" w:rsidP="001B5728">
      <w:pPr>
        <w:widowControl w:val="0"/>
        <w:numPr>
          <w:ilvl w:val="0"/>
          <w:numId w:val="2"/>
        </w:numPr>
        <w:tabs>
          <w:tab w:val="left" w:pos="284"/>
          <w:tab w:val="left" w:pos="426"/>
          <w:tab w:val="left" w:pos="567"/>
        </w:tabs>
        <w:autoSpaceDE w:val="0"/>
        <w:autoSpaceDN w:val="0"/>
        <w:adjustRightInd w:val="0"/>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Esta tradición fue retomada de manera expresa en el proceso de configuración legislativa del régimen constitucional de los estados de excepción, en la medida en</w:t>
      </w:r>
      <w:r w:rsidR="2A0AB091" w:rsidRPr="007F2045">
        <w:rPr>
          <w:rFonts w:ascii="Times New Roman" w:hAnsi="Times New Roman"/>
          <w:sz w:val="28"/>
          <w:szCs w:val="28"/>
          <w:lang w:val="es-CO"/>
        </w:rPr>
        <w:t xml:space="preserve"> </w:t>
      </w:r>
      <w:r w:rsidRPr="007F2045">
        <w:rPr>
          <w:rFonts w:ascii="Times New Roman" w:hAnsi="Times New Roman"/>
          <w:sz w:val="28"/>
          <w:szCs w:val="28"/>
          <w:lang w:val="es-CO"/>
        </w:rPr>
        <w:t>que el proyecto que posteriormente se convirtió en la Ley 137 de 1994</w:t>
      </w:r>
      <w:r w:rsidR="00966232" w:rsidRPr="007F2045">
        <w:rPr>
          <w:rFonts w:ascii="Times New Roman" w:hAnsi="Times New Roman"/>
          <w:sz w:val="28"/>
          <w:szCs w:val="28"/>
          <w:lang w:val="es-CO"/>
        </w:rPr>
        <w:t xml:space="preserve"> </w:t>
      </w:r>
      <w:r w:rsidRPr="007F2045">
        <w:rPr>
          <w:rFonts w:ascii="Times New Roman" w:hAnsi="Times New Roman"/>
          <w:sz w:val="28"/>
          <w:szCs w:val="28"/>
          <w:lang w:val="es-CO"/>
        </w:rPr>
        <w:t>atribuyó a la Corte Constitucional una facultad genérica para suspender los decretos legislativos de desarrollo. Aunque dicha atribución</w:t>
      </w:r>
      <w:r w:rsidR="2A0AB091" w:rsidRPr="007F2045">
        <w:rPr>
          <w:rFonts w:ascii="Times New Roman" w:hAnsi="Times New Roman"/>
          <w:sz w:val="28"/>
          <w:szCs w:val="28"/>
          <w:lang w:val="es-CO"/>
        </w:rPr>
        <w:t xml:space="preserve"> –e</w:t>
      </w:r>
      <w:r w:rsidRPr="007F2045">
        <w:rPr>
          <w:rFonts w:ascii="Times New Roman" w:hAnsi="Times New Roman"/>
          <w:sz w:val="28"/>
          <w:szCs w:val="28"/>
          <w:lang w:val="es-CO"/>
        </w:rPr>
        <w:t xml:space="preserve">n los específicos términos </w:t>
      </w:r>
      <w:r w:rsidR="2A0AB091" w:rsidRPr="007F2045">
        <w:rPr>
          <w:rFonts w:ascii="Times New Roman" w:hAnsi="Times New Roman"/>
          <w:sz w:val="28"/>
          <w:szCs w:val="28"/>
          <w:lang w:val="es-CO"/>
        </w:rPr>
        <w:t>que serán analizados más adelante en este auto–f</w:t>
      </w:r>
      <w:r w:rsidRPr="007F2045">
        <w:rPr>
          <w:rFonts w:ascii="Times New Roman" w:hAnsi="Times New Roman"/>
          <w:sz w:val="28"/>
          <w:szCs w:val="28"/>
          <w:lang w:val="es-CO"/>
        </w:rPr>
        <w:t xml:space="preserve">ue declarada inexequible en la sentencia C-179 de 1994, su sola formulación normativa pone de manifiesto que la idea de dotar al juez constitucional de instrumentos cautelares </w:t>
      </w:r>
      <w:r w:rsidR="66E98C7C" w:rsidRPr="007F2045">
        <w:rPr>
          <w:rFonts w:ascii="Times New Roman" w:hAnsi="Times New Roman"/>
          <w:sz w:val="28"/>
          <w:szCs w:val="28"/>
          <w:lang w:val="es-CO"/>
        </w:rPr>
        <w:t>en el control abstracto</w:t>
      </w:r>
      <w:r w:rsidR="46D97D9C" w:rsidRPr="007F2045">
        <w:rPr>
          <w:rFonts w:ascii="Times New Roman" w:hAnsi="Times New Roman"/>
          <w:sz w:val="28"/>
          <w:szCs w:val="28"/>
          <w:lang w:val="es-CO"/>
        </w:rPr>
        <w:t xml:space="preserve"> no es nueva</w:t>
      </w:r>
      <w:r w:rsidR="00710B09" w:rsidRPr="007F2045">
        <w:rPr>
          <w:rFonts w:ascii="Times New Roman" w:hAnsi="Times New Roman"/>
          <w:sz w:val="28"/>
          <w:szCs w:val="28"/>
          <w:lang w:val="es-CO"/>
        </w:rPr>
        <w:t xml:space="preserve">. De hecho, como se mostrará a continuación, existe una relevante evolución jurisprudencial </w:t>
      </w:r>
      <w:r w:rsidR="00E74822" w:rsidRPr="007F2045">
        <w:rPr>
          <w:rFonts w:ascii="Times New Roman" w:hAnsi="Times New Roman"/>
          <w:sz w:val="28"/>
          <w:szCs w:val="28"/>
          <w:lang w:val="es-CO"/>
        </w:rPr>
        <w:t xml:space="preserve">de esta </w:t>
      </w:r>
      <w:r w:rsidR="2AC16C12" w:rsidRPr="007F2045">
        <w:rPr>
          <w:rFonts w:ascii="Times New Roman" w:hAnsi="Times New Roman"/>
          <w:sz w:val="28"/>
          <w:szCs w:val="28"/>
          <w:lang w:val="es-CO"/>
        </w:rPr>
        <w:t xml:space="preserve">Corporación respecto de la </w:t>
      </w:r>
      <w:r w:rsidR="00E74822" w:rsidRPr="007F2045">
        <w:rPr>
          <w:rFonts w:ascii="Times New Roman" w:hAnsi="Times New Roman"/>
          <w:sz w:val="28"/>
          <w:szCs w:val="28"/>
          <w:lang w:val="es-CO"/>
        </w:rPr>
        <w:t xml:space="preserve">figura de la </w:t>
      </w:r>
      <w:r w:rsidR="2AC16C12" w:rsidRPr="007F2045">
        <w:rPr>
          <w:rFonts w:ascii="Times New Roman" w:hAnsi="Times New Roman"/>
          <w:sz w:val="28"/>
          <w:szCs w:val="28"/>
          <w:lang w:val="es-CO"/>
        </w:rPr>
        <w:t xml:space="preserve">suspensión provisional en </w:t>
      </w:r>
      <w:r w:rsidR="00E74822" w:rsidRPr="007F2045">
        <w:rPr>
          <w:rFonts w:ascii="Times New Roman" w:hAnsi="Times New Roman"/>
          <w:sz w:val="28"/>
          <w:szCs w:val="28"/>
          <w:lang w:val="es-CO"/>
        </w:rPr>
        <w:t>el ejercicio del control de constitucionalidad.</w:t>
      </w:r>
    </w:p>
    <w:p w14:paraId="0BACDE8B" w14:textId="77777777" w:rsidR="00207D24" w:rsidRPr="007F2045" w:rsidRDefault="00207D24" w:rsidP="001B5728">
      <w:pPr>
        <w:widowControl w:val="0"/>
        <w:tabs>
          <w:tab w:val="left" w:pos="284"/>
          <w:tab w:val="left" w:pos="426"/>
          <w:tab w:val="left" w:pos="567"/>
        </w:tabs>
        <w:autoSpaceDE w:val="0"/>
        <w:autoSpaceDN w:val="0"/>
        <w:adjustRightInd w:val="0"/>
        <w:spacing w:after="0" w:line="240" w:lineRule="auto"/>
        <w:rPr>
          <w:rFonts w:ascii="Times New Roman" w:hAnsi="Times New Roman"/>
          <w:sz w:val="28"/>
          <w:szCs w:val="28"/>
          <w:lang w:val="es-CO"/>
        </w:rPr>
      </w:pPr>
    </w:p>
    <w:p w14:paraId="01E23CA9" w14:textId="77777777" w:rsidR="005376C3" w:rsidRPr="007F2045" w:rsidRDefault="006B125D" w:rsidP="001B5728">
      <w:pPr>
        <w:pStyle w:val="Subttulo"/>
        <w:tabs>
          <w:tab w:val="left" w:pos="1276"/>
        </w:tabs>
        <w:ind w:left="1276" w:hanging="567"/>
        <w:rPr>
          <w:b w:val="0"/>
          <w:lang w:val="es-CO"/>
        </w:rPr>
      </w:pPr>
      <w:r w:rsidRPr="007F2045">
        <w:t>Evolución de la jurisprudencia constitucional en materia de suspensión provisional</w:t>
      </w:r>
    </w:p>
    <w:p w14:paraId="5F3DE1C8" w14:textId="77777777" w:rsidR="006B125D" w:rsidRPr="007F2045" w:rsidRDefault="006B125D" w:rsidP="001B5728">
      <w:pPr>
        <w:widowControl w:val="0"/>
        <w:tabs>
          <w:tab w:val="left" w:pos="284"/>
          <w:tab w:val="left" w:pos="426"/>
          <w:tab w:val="left" w:pos="567"/>
        </w:tabs>
        <w:autoSpaceDE w:val="0"/>
        <w:autoSpaceDN w:val="0"/>
        <w:adjustRightInd w:val="0"/>
        <w:spacing w:after="0" w:line="240" w:lineRule="auto"/>
        <w:rPr>
          <w:rFonts w:ascii="Times New Roman" w:hAnsi="Times New Roman"/>
          <w:b/>
          <w:sz w:val="28"/>
          <w:szCs w:val="28"/>
          <w:lang w:val="es-CO"/>
        </w:rPr>
      </w:pPr>
    </w:p>
    <w:p w14:paraId="640B8CF3" w14:textId="77777777" w:rsidR="2907E88D" w:rsidRPr="007F2045" w:rsidRDefault="231D0346" w:rsidP="001B5728">
      <w:pPr>
        <w:widowControl w:val="0"/>
        <w:numPr>
          <w:ilvl w:val="0"/>
          <w:numId w:val="2"/>
        </w:numPr>
        <w:tabs>
          <w:tab w:val="left" w:pos="284"/>
          <w:tab w:val="left" w:pos="426"/>
          <w:tab w:val="left" w:pos="567"/>
        </w:tabs>
        <w:autoSpaceDE w:val="0"/>
        <w:autoSpaceDN w:val="0"/>
        <w:adjustRightInd w:val="0"/>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A</w:t>
      </w:r>
      <w:r w:rsidR="2907E88D" w:rsidRPr="007F2045">
        <w:rPr>
          <w:rFonts w:ascii="Times New Roman" w:hAnsi="Times New Roman"/>
          <w:sz w:val="28"/>
          <w:szCs w:val="28"/>
          <w:lang w:val="es-CO"/>
        </w:rPr>
        <w:t xml:space="preserve"> lo largo de su existencia</w:t>
      </w:r>
      <w:r w:rsidR="5CACAF57" w:rsidRPr="007F2045">
        <w:rPr>
          <w:rFonts w:ascii="Times New Roman" w:hAnsi="Times New Roman"/>
          <w:sz w:val="28"/>
          <w:szCs w:val="28"/>
          <w:lang w:val="es-CO"/>
        </w:rPr>
        <w:t>,</w:t>
      </w:r>
      <w:r w:rsidR="2907E88D" w:rsidRPr="007F2045">
        <w:rPr>
          <w:rFonts w:ascii="Times New Roman" w:hAnsi="Times New Roman"/>
          <w:sz w:val="28"/>
          <w:szCs w:val="28"/>
          <w:lang w:val="es-CO"/>
        </w:rPr>
        <w:t xml:space="preserve"> la Corte ha recibido</w:t>
      </w:r>
      <w:r w:rsidR="6E42DA84" w:rsidRPr="007F2045">
        <w:rPr>
          <w:rFonts w:ascii="Times New Roman" w:hAnsi="Times New Roman"/>
          <w:sz w:val="28"/>
          <w:szCs w:val="28"/>
          <w:lang w:val="es-CO"/>
        </w:rPr>
        <w:t xml:space="preserve"> </w:t>
      </w:r>
      <w:r w:rsidR="6D15DC2E" w:rsidRPr="007F2045">
        <w:rPr>
          <w:rFonts w:ascii="Times New Roman" w:hAnsi="Times New Roman"/>
          <w:sz w:val="28"/>
          <w:szCs w:val="28"/>
          <w:lang w:val="es-CO"/>
        </w:rPr>
        <w:t xml:space="preserve">recurrentemente </w:t>
      </w:r>
      <w:r w:rsidR="604FE9EA" w:rsidRPr="007F2045">
        <w:rPr>
          <w:rFonts w:ascii="Times New Roman" w:hAnsi="Times New Roman"/>
          <w:sz w:val="28"/>
          <w:szCs w:val="28"/>
          <w:lang w:val="es-CO"/>
        </w:rPr>
        <w:t>solicitud</w:t>
      </w:r>
      <w:r w:rsidR="2907E88D" w:rsidRPr="007F2045">
        <w:rPr>
          <w:rFonts w:ascii="Times New Roman" w:hAnsi="Times New Roman"/>
          <w:sz w:val="28"/>
          <w:szCs w:val="28"/>
          <w:lang w:val="es-CO"/>
        </w:rPr>
        <w:t>es en los procesos de constitucionalidad</w:t>
      </w:r>
      <w:r w:rsidR="7E2F0368" w:rsidRPr="007F2045">
        <w:rPr>
          <w:rFonts w:ascii="Times New Roman" w:hAnsi="Times New Roman"/>
          <w:sz w:val="28"/>
          <w:szCs w:val="28"/>
          <w:lang w:val="es-CO"/>
        </w:rPr>
        <w:t xml:space="preserve"> para que se suspendan provisionalmente los efectos de las normas objeto de escrutinio</w:t>
      </w:r>
      <w:r w:rsidR="59CFFB3A" w:rsidRPr="007F2045">
        <w:rPr>
          <w:rFonts w:ascii="Times New Roman" w:hAnsi="Times New Roman"/>
          <w:sz w:val="28"/>
          <w:szCs w:val="28"/>
          <w:lang w:val="es-CO"/>
        </w:rPr>
        <w:t>.</w:t>
      </w:r>
      <w:r w:rsidR="565B187B" w:rsidRPr="007F2045">
        <w:rPr>
          <w:rFonts w:ascii="Times New Roman" w:hAnsi="Times New Roman"/>
          <w:sz w:val="28"/>
          <w:szCs w:val="28"/>
          <w:lang w:val="es-CO"/>
        </w:rPr>
        <w:t xml:space="preserve"> </w:t>
      </w:r>
      <w:r w:rsidR="76F8B885" w:rsidRPr="007F2045">
        <w:rPr>
          <w:rFonts w:ascii="Times New Roman" w:hAnsi="Times New Roman"/>
          <w:sz w:val="28"/>
          <w:szCs w:val="28"/>
          <w:lang w:val="es-CO"/>
        </w:rPr>
        <w:t>Así</w:t>
      </w:r>
      <w:r w:rsidR="26CD8FDE" w:rsidRPr="007F2045">
        <w:rPr>
          <w:rFonts w:ascii="Times New Roman" w:hAnsi="Times New Roman"/>
          <w:sz w:val="28"/>
          <w:szCs w:val="28"/>
          <w:lang w:val="es-CO"/>
        </w:rPr>
        <w:t xml:space="preserve"> lo muestran las sentencias C-155A de 1993, C-084 de 1995, C-224 de 1995, C-231 de 1995, C-047 de 1997</w:t>
      </w:r>
      <w:r w:rsidR="129F7373" w:rsidRPr="007F2045">
        <w:rPr>
          <w:rFonts w:ascii="Times New Roman" w:hAnsi="Times New Roman"/>
          <w:sz w:val="28"/>
          <w:szCs w:val="28"/>
          <w:lang w:val="es-CO"/>
        </w:rPr>
        <w:t>,</w:t>
      </w:r>
      <w:r w:rsidR="26CD8FDE" w:rsidRPr="007F2045">
        <w:rPr>
          <w:rFonts w:ascii="Times New Roman" w:hAnsi="Times New Roman"/>
          <w:sz w:val="28"/>
          <w:szCs w:val="28"/>
          <w:lang w:val="es-CO"/>
        </w:rPr>
        <w:t xml:space="preserve"> C-131 de 2009, </w:t>
      </w:r>
      <w:r w:rsidR="00EF2B6F" w:rsidRPr="007F2045">
        <w:rPr>
          <w:rFonts w:ascii="Times New Roman" w:hAnsi="Times New Roman"/>
          <w:sz w:val="28"/>
          <w:szCs w:val="28"/>
          <w:lang w:val="es-CO"/>
        </w:rPr>
        <w:t xml:space="preserve">C-135 de 2009, </w:t>
      </w:r>
      <w:r w:rsidR="69DCCA00" w:rsidRPr="007F2045">
        <w:rPr>
          <w:rFonts w:ascii="Times New Roman" w:hAnsi="Times New Roman"/>
          <w:sz w:val="28"/>
          <w:szCs w:val="28"/>
          <w:lang w:val="es-CO"/>
        </w:rPr>
        <w:t>C-026 de 2020, C-193 de 2020 y C-505 de 2020, así como</w:t>
      </w:r>
      <w:r w:rsidR="26CD8FDE" w:rsidRPr="007F2045">
        <w:rPr>
          <w:rFonts w:ascii="Times New Roman" w:hAnsi="Times New Roman"/>
          <w:sz w:val="28"/>
          <w:szCs w:val="28"/>
          <w:lang w:val="es-CO"/>
        </w:rPr>
        <w:t xml:space="preserve"> los autos 221 de 2005, 011 de 2006, 368 de 2015</w:t>
      </w:r>
      <w:r w:rsidR="7C501866" w:rsidRPr="007F2045">
        <w:rPr>
          <w:rFonts w:ascii="Times New Roman" w:hAnsi="Times New Roman"/>
          <w:sz w:val="28"/>
          <w:szCs w:val="28"/>
          <w:lang w:val="es-CO"/>
        </w:rPr>
        <w:t>,</w:t>
      </w:r>
      <w:r w:rsidR="26CD8FDE" w:rsidRPr="007F2045">
        <w:rPr>
          <w:rFonts w:ascii="Times New Roman" w:hAnsi="Times New Roman"/>
          <w:sz w:val="28"/>
          <w:szCs w:val="28"/>
          <w:lang w:val="es-CO"/>
        </w:rPr>
        <w:t xml:space="preserve"> 302 de 2017</w:t>
      </w:r>
      <w:r w:rsidR="147FABAD" w:rsidRPr="007F2045">
        <w:rPr>
          <w:rFonts w:ascii="Times New Roman" w:hAnsi="Times New Roman"/>
          <w:sz w:val="28"/>
          <w:szCs w:val="28"/>
          <w:lang w:val="es-CO"/>
        </w:rPr>
        <w:t xml:space="preserve">, 037 de 2020, </w:t>
      </w:r>
      <w:r w:rsidR="2036D112" w:rsidRPr="007F2045">
        <w:rPr>
          <w:rFonts w:ascii="Times New Roman" w:hAnsi="Times New Roman"/>
          <w:sz w:val="28"/>
          <w:szCs w:val="28"/>
          <w:lang w:val="es-CO"/>
        </w:rPr>
        <w:t>161 de 2020, 176 de 2020, 189 de 2020, 518 de 2021</w:t>
      </w:r>
      <w:r w:rsidR="5193D8B2" w:rsidRPr="007F2045">
        <w:rPr>
          <w:rFonts w:ascii="Times New Roman" w:hAnsi="Times New Roman"/>
          <w:sz w:val="28"/>
          <w:szCs w:val="28"/>
          <w:lang w:val="es-CO"/>
        </w:rPr>
        <w:t>,</w:t>
      </w:r>
      <w:r w:rsidR="2036D112" w:rsidRPr="007F2045">
        <w:rPr>
          <w:rFonts w:ascii="Times New Roman" w:hAnsi="Times New Roman"/>
          <w:sz w:val="28"/>
          <w:szCs w:val="28"/>
          <w:lang w:val="es-CO"/>
        </w:rPr>
        <w:t xml:space="preserve"> 123 de 2022</w:t>
      </w:r>
      <w:r w:rsidR="7CA8FCEC" w:rsidRPr="007F2045">
        <w:rPr>
          <w:rFonts w:ascii="Times New Roman" w:hAnsi="Times New Roman"/>
          <w:sz w:val="28"/>
          <w:szCs w:val="28"/>
          <w:lang w:val="es-CO"/>
        </w:rPr>
        <w:t>, entre otr</w:t>
      </w:r>
      <w:r w:rsidR="005A2A7F" w:rsidRPr="007F2045">
        <w:rPr>
          <w:rFonts w:ascii="Times New Roman" w:hAnsi="Times New Roman"/>
          <w:sz w:val="28"/>
          <w:szCs w:val="28"/>
          <w:lang w:val="es-CO"/>
        </w:rPr>
        <w:t>o</w:t>
      </w:r>
      <w:r w:rsidR="7CA8FCEC" w:rsidRPr="007F2045">
        <w:rPr>
          <w:rFonts w:ascii="Times New Roman" w:hAnsi="Times New Roman"/>
          <w:sz w:val="28"/>
          <w:szCs w:val="28"/>
          <w:lang w:val="es-CO"/>
        </w:rPr>
        <w:t>s</w:t>
      </w:r>
      <w:r w:rsidR="26601984" w:rsidRPr="007F2045">
        <w:rPr>
          <w:rFonts w:ascii="Times New Roman" w:hAnsi="Times New Roman"/>
          <w:sz w:val="28"/>
          <w:szCs w:val="28"/>
          <w:lang w:val="es-CO"/>
        </w:rPr>
        <w:t>.</w:t>
      </w:r>
      <w:r w:rsidR="7027B1D2" w:rsidRPr="007F2045">
        <w:rPr>
          <w:rFonts w:ascii="Times New Roman" w:hAnsi="Times New Roman"/>
          <w:sz w:val="28"/>
          <w:szCs w:val="28"/>
          <w:lang w:val="es-CO"/>
        </w:rPr>
        <w:t xml:space="preserve"> </w:t>
      </w:r>
      <w:r w:rsidR="3205E9E8" w:rsidRPr="007F2045">
        <w:rPr>
          <w:rFonts w:ascii="Times New Roman" w:hAnsi="Times New Roman"/>
          <w:sz w:val="28"/>
          <w:szCs w:val="28"/>
          <w:lang w:val="es-CO"/>
        </w:rPr>
        <w:t xml:space="preserve">En </w:t>
      </w:r>
      <w:r w:rsidR="00E74822" w:rsidRPr="007F2045">
        <w:rPr>
          <w:rFonts w:ascii="Times New Roman" w:hAnsi="Times New Roman"/>
          <w:sz w:val="28"/>
          <w:szCs w:val="28"/>
          <w:lang w:val="es-CO"/>
        </w:rPr>
        <w:t xml:space="preserve">algunos de estos </w:t>
      </w:r>
      <w:r w:rsidR="3205E9E8" w:rsidRPr="007F2045">
        <w:rPr>
          <w:rFonts w:ascii="Times New Roman" w:hAnsi="Times New Roman"/>
          <w:sz w:val="28"/>
          <w:szCs w:val="28"/>
          <w:lang w:val="es-CO"/>
        </w:rPr>
        <w:t xml:space="preserve">pronunciamientos, </w:t>
      </w:r>
      <w:r w:rsidR="7027B1D2" w:rsidRPr="007F2045">
        <w:rPr>
          <w:rFonts w:ascii="Times New Roman" w:hAnsi="Times New Roman"/>
          <w:sz w:val="28"/>
          <w:szCs w:val="28"/>
          <w:lang w:val="es-CO"/>
        </w:rPr>
        <w:t xml:space="preserve">la Corte resolvió </w:t>
      </w:r>
      <w:r w:rsidR="00E74822" w:rsidRPr="007F2045">
        <w:rPr>
          <w:rFonts w:ascii="Times New Roman" w:hAnsi="Times New Roman"/>
          <w:sz w:val="28"/>
          <w:szCs w:val="28"/>
          <w:lang w:val="es-CO"/>
        </w:rPr>
        <w:t xml:space="preserve">directamente </w:t>
      </w:r>
      <w:r w:rsidR="7027B1D2" w:rsidRPr="007F2045">
        <w:rPr>
          <w:rFonts w:ascii="Times New Roman" w:hAnsi="Times New Roman"/>
          <w:sz w:val="28"/>
          <w:szCs w:val="28"/>
          <w:lang w:val="es-CO"/>
        </w:rPr>
        <w:t>peticiones de suspensión provisional</w:t>
      </w:r>
      <w:r w:rsidR="00E74822" w:rsidRPr="007F2045">
        <w:rPr>
          <w:rFonts w:ascii="Times New Roman" w:hAnsi="Times New Roman"/>
          <w:sz w:val="28"/>
          <w:szCs w:val="28"/>
          <w:lang w:val="es-CO"/>
        </w:rPr>
        <w:t xml:space="preserve"> y, en otros, </w:t>
      </w:r>
      <w:r w:rsidR="7027B1D2" w:rsidRPr="007F2045">
        <w:rPr>
          <w:rFonts w:ascii="Times New Roman" w:hAnsi="Times New Roman"/>
          <w:sz w:val="28"/>
          <w:szCs w:val="28"/>
          <w:lang w:val="es-CO"/>
        </w:rPr>
        <w:t>dejó constancia de que ese tipo de solicitudes se presentaron durante los procesos de constitucionalidad</w:t>
      </w:r>
      <w:r w:rsidR="3C06F3F4" w:rsidRPr="007F2045">
        <w:rPr>
          <w:rFonts w:ascii="Times New Roman" w:hAnsi="Times New Roman"/>
          <w:sz w:val="28"/>
          <w:szCs w:val="28"/>
          <w:lang w:val="es-CO"/>
        </w:rPr>
        <w:t>.</w:t>
      </w:r>
    </w:p>
    <w:p w14:paraId="2A2B2836" w14:textId="77777777" w:rsidR="2907E88D" w:rsidRPr="007F2045" w:rsidRDefault="5C6D1250" w:rsidP="001B5728">
      <w:pPr>
        <w:pStyle w:val="Prrafodelista"/>
        <w:tabs>
          <w:tab w:val="left" w:pos="426"/>
          <w:tab w:val="left" w:pos="567"/>
        </w:tabs>
        <w:spacing w:after="0" w:line="240" w:lineRule="auto"/>
        <w:ind w:left="0" w:hanging="320"/>
        <w:rPr>
          <w:rFonts w:ascii="Times New Roman" w:hAnsi="Times New Roman"/>
          <w:sz w:val="28"/>
          <w:szCs w:val="28"/>
          <w:lang w:val="es-CO"/>
        </w:rPr>
      </w:pPr>
      <w:r w:rsidRPr="007F2045">
        <w:rPr>
          <w:rFonts w:ascii="Times New Roman" w:hAnsi="Times New Roman"/>
          <w:sz w:val="28"/>
          <w:szCs w:val="28"/>
          <w:lang w:val="es-CO"/>
        </w:rPr>
        <w:lastRenderedPageBreak/>
        <w:t xml:space="preserve"> </w:t>
      </w:r>
    </w:p>
    <w:p w14:paraId="54B2629A" w14:textId="77777777" w:rsidR="424F4928" w:rsidRPr="007F2045" w:rsidRDefault="424F4928" w:rsidP="001B5728">
      <w:pPr>
        <w:widowControl w:val="0"/>
        <w:numPr>
          <w:ilvl w:val="0"/>
          <w:numId w:val="2"/>
        </w:numPr>
        <w:tabs>
          <w:tab w:val="left" w:pos="284"/>
          <w:tab w:val="left" w:pos="426"/>
          <w:tab w:val="left" w:pos="567"/>
        </w:tabs>
        <w:autoSpaceDE w:val="0"/>
        <w:autoSpaceDN w:val="0"/>
        <w:adjustRightInd w:val="0"/>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Estos casos evidencian que, durante </w:t>
      </w:r>
      <w:r w:rsidR="74DF4D16" w:rsidRPr="007F2045">
        <w:rPr>
          <w:rFonts w:ascii="Times New Roman" w:hAnsi="Times New Roman"/>
          <w:sz w:val="28"/>
          <w:szCs w:val="28"/>
          <w:lang w:val="es-CO"/>
        </w:rPr>
        <w:t xml:space="preserve">sus primeros </w:t>
      </w:r>
      <w:r w:rsidRPr="007F2045">
        <w:rPr>
          <w:rFonts w:ascii="Times New Roman" w:hAnsi="Times New Roman"/>
          <w:sz w:val="28"/>
          <w:szCs w:val="28"/>
          <w:lang w:val="es-CO"/>
        </w:rPr>
        <w:t>20 años, la Corte conside</w:t>
      </w:r>
      <w:r w:rsidR="6F5A5E4A" w:rsidRPr="007F2045">
        <w:rPr>
          <w:rFonts w:ascii="Times New Roman" w:hAnsi="Times New Roman"/>
          <w:sz w:val="28"/>
          <w:szCs w:val="28"/>
          <w:lang w:val="es-CO"/>
        </w:rPr>
        <w:t xml:space="preserve">ró improcedente la figura de la suspensión provisional en los procesos de control abstracto de constitucionalidad. </w:t>
      </w:r>
      <w:r w:rsidR="447C6AA4" w:rsidRPr="007F2045">
        <w:rPr>
          <w:rFonts w:ascii="Times New Roman" w:hAnsi="Times New Roman"/>
          <w:sz w:val="28"/>
          <w:szCs w:val="28"/>
          <w:lang w:val="es-CO"/>
        </w:rPr>
        <w:t xml:space="preserve">Esta posición la sostuvo la Corporación </w:t>
      </w:r>
      <w:r w:rsidR="4A48A7AA" w:rsidRPr="007F2045">
        <w:rPr>
          <w:rFonts w:ascii="Times New Roman" w:hAnsi="Times New Roman"/>
          <w:sz w:val="28"/>
          <w:szCs w:val="28"/>
          <w:lang w:val="es-CO"/>
        </w:rPr>
        <w:t xml:space="preserve">bajo el </w:t>
      </w:r>
      <w:r w:rsidR="001C12F8" w:rsidRPr="007F2045">
        <w:rPr>
          <w:rFonts w:ascii="Times New Roman" w:hAnsi="Times New Roman"/>
          <w:sz w:val="28"/>
          <w:szCs w:val="28"/>
          <w:lang w:val="es-CO"/>
        </w:rPr>
        <w:t>argumento predominante</w:t>
      </w:r>
      <w:r w:rsidR="4A48A7AA" w:rsidRPr="007F2045">
        <w:rPr>
          <w:rFonts w:ascii="Times New Roman" w:hAnsi="Times New Roman"/>
          <w:sz w:val="28"/>
          <w:szCs w:val="28"/>
          <w:lang w:val="es-CO"/>
        </w:rPr>
        <w:t xml:space="preserve"> de que</w:t>
      </w:r>
      <w:r w:rsidR="0A435B6E" w:rsidRPr="007F2045">
        <w:rPr>
          <w:rFonts w:ascii="Times New Roman" w:hAnsi="Times New Roman"/>
          <w:sz w:val="28"/>
          <w:szCs w:val="28"/>
          <w:lang w:val="es-CO"/>
        </w:rPr>
        <w:t xml:space="preserve"> no ex</w:t>
      </w:r>
      <w:r w:rsidR="61B532D9" w:rsidRPr="007F2045">
        <w:rPr>
          <w:rFonts w:ascii="Times New Roman" w:hAnsi="Times New Roman"/>
          <w:sz w:val="28"/>
          <w:szCs w:val="28"/>
          <w:lang w:val="es-CO"/>
        </w:rPr>
        <w:t>istía</w:t>
      </w:r>
      <w:r w:rsidR="16605EC4" w:rsidRPr="007F2045">
        <w:rPr>
          <w:rFonts w:ascii="Times New Roman" w:hAnsi="Times New Roman"/>
          <w:sz w:val="28"/>
          <w:szCs w:val="28"/>
          <w:lang w:val="es-CO"/>
        </w:rPr>
        <w:t xml:space="preserve"> una norma </w:t>
      </w:r>
      <w:r w:rsidR="005A2A7F" w:rsidRPr="007F2045">
        <w:rPr>
          <w:rFonts w:ascii="Times New Roman" w:hAnsi="Times New Roman"/>
          <w:sz w:val="28"/>
          <w:szCs w:val="28"/>
          <w:lang w:val="es-CO"/>
        </w:rPr>
        <w:t xml:space="preserve">específica </w:t>
      </w:r>
      <w:r w:rsidR="16605EC4" w:rsidRPr="007F2045">
        <w:rPr>
          <w:rFonts w:ascii="Times New Roman" w:hAnsi="Times New Roman"/>
          <w:sz w:val="28"/>
          <w:szCs w:val="28"/>
          <w:lang w:val="es-CO"/>
        </w:rPr>
        <w:t xml:space="preserve">que </w:t>
      </w:r>
      <w:r w:rsidR="75734211" w:rsidRPr="007F2045">
        <w:rPr>
          <w:rFonts w:ascii="Times New Roman" w:hAnsi="Times New Roman"/>
          <w:sz w:val="28"/>
          <w:szCs w:val="28"/>
          <w:lang w:val="es-CO"/>
        </w:rPr>
        <w:t>facultara</w:t>
      </w:r>
      <w:r w:rsidR="16605EC4" w:rsidRPr="007F2045">
        <w:rPr>
          <w:rFonts w:ascii="Times New Roman" w:hAnsi="Times New Roman"/>
          <w:sz w:val="28"/>
          <w:szCs w:val="28"/>
          <w:lang w:val="es-CO"/>
        </w:rPr>
        <w:t xml:space="preserve"> a </w:t>
      </w:r>
      <w:r w:rsidR="00EA5EF6" w:rsidRPr="007F2045">
        <w:rPr>
          <w:rFonts w:ascii="Times New Roman" w:hAnsi="Times New Roman"/>
          <w:sz w:val="28"/>
          <w:szCs w:val="28"/>
          <w:lang w:val="es-CO"/>
        </w:rPr>
        <w:t>este Tribunal</w:t>
      </w:r>
      <w:r w:rsidR="16605EC4" w:rsidRPr="007F2045">
        <w:rPr>
          <w:rFonts w:ascii="Times New Roman" w:hAnsi="Times New Roman"/>
          <w:sz w:val="28"/>
          <w:szCs w:val="28"/>
          <w:lang w:val="es-CO"/>
        </w:rPr>
        <w:t xml:space="preserve"> para adoptar </w:t>
      </w:r>
      <w:r w:rsidR="550EC5D9" w:rsidRPr="007F2045">
        <w:rPr>
          <w:rFonts w:ascii="Times New Roman" w:hAnsi="Times New Roman"/>
          <w:sz w:val="28"/>
          <w:szCs w:val="28"/>
          <w:lang w:val="es-CO"/>
        </w:rPr>
        <w:t>dicha</w:t>
      </w:r>
      <w:r w:rsidR="16605EC4" w:rsidRPr="007F2045">
        <w:rPr>
          <w:rFonts w:ascii="Times New Roman" w:hAnsi="Times New Roman"/>
          <w:sz w:val="28"/>
          <w:szCs w:val="28"/>
          <w:lang w:val="es-CO"/>
        </w:rPr>
        <w:t xml:space="preserve"> medida</w:t>
      </w:r>
      <w:r w:rsidR="14268B7E" w:rsidRPr="007F2045">
        <w:rPr>
          <w:rFonts w:ascii="Times New Roman" w:hAnsi="Times New Roman"/>
          <w:sz w:val="28"/>
          <w:szCs w:val="28"/>
          <w:lang w:val="es-CO"/>
        </w:rPr>
        <w:t>.</w:t>
      </w:r>
    </w:p>
    <w:p w14:paraId="5A7D969E" w14:textId="77777777" w:rsidR="424F4928" w:rsidRPr="007F2045" w:rsidRDefault="424F4928" w:rsidP="001B5728">
      <w:pPr>
        <w:pStyle w:val="Prrafodelista"/>
        <w:tabs>
          <w:tab w:val="left" w:pos="426"/>
          <w:tab w:val="left" w:pos="567"/>
        </w:tabs>
        <w:spacing w:after="0" w:line="240" w:lineRule="auto"/>
        <w:ind w:left="0"/>
        <w:rPr>
          <w:rFonts w:ascii="Times New Roman" w:hAnsi="Times New Roman"/>
          <w:sz w:val="28"/>
          <w:szCs w:val="28"/>
          <w:lang w:val="es-CO"/>
        </w:rPr>
      </w:pPr>
    </w:p>
    <w:p w14:paraId="1F082216" w14:textId="77777777" w:rsidR="56AE7733" w:rsidRPr="007F2045" w:rsidRDefault="1D59097D" w:rsidP="001B5728">
      <w:pPr>
        <w:widowControl w:val="0"/>
        <w:numPr>
          <w:ilvl w:val="0"/>
          <w:numId w:val="2"/>
        </w:numPr>
        <w:tabs>
          <w:tab w:val="left" w:pos="284"/>
          <w:tab w:val="left" w:pos="426"/>
          <w:tab w:val="left" w:pos="567"/>
        </w:tabs>
        <w:autoSpaceDE w:val="0"/>
        <w:autoSpaceDN w:val="0"/>
        <w:adjustRightInd w:val="0"/>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La sentencia C-352 de 2017, proferida durante ese periodo</w:t>
      </w:r>
      <w:r w:rsidR="1B773AE9" w:rsidRPr="007F2045">
        <w:rPr>
          <w:rFonts w:ascii="Times New Roman" w:hAnsi="Times New Roman"/>
          <w:sz w:val="28"/>
          <w:szCs w:val="28"/>
          <w:lang w:val="es-CO"/>
        </w:rPr>
        <w:t>, reafi</w:t>
      </w:r>
      <w:r w:rsidR="00344F9E" w:rsidRPr="007F2045">
        <w:rPr>
          <w:rFonts w:ascii="Times New Roman" w:hAnsi="Times New Roman"/>
          <w:sz w:val="28"/>
          <w:szCs w:val="28"/>
          <w:lang w:val="es-CO"/>
        </w:rPr>
        <w:t>rmó</w:t>
      </w:r>
      <w:r w:rsidR="1B773AE9" w:rsidRPr="007F2045">
        <w:rPr>
          <w:rFonts w:ascii="Times New Roman" w:hAnsi="Times New Roman"/>
          <w:sz w:val="28"/>
          <w:szCs w:val="28"/>
          <w:lang w:val="es-CO"/>
        </w:rPr>
        <w:t xml:space="preserve"> que la razón por la cual la Corte no consideraba procedente la suspensión provisional en procesos </w:t>
      </w:r>
      <w:r w:rsidR="591E491E" w:rsidRPr="007F2045">
        <w:rPr>
          <w:rFonts w:ascii="Times New Roman" w:hAnsi="Times New Roman"/>
          <w:sz w:val="28"/>
          <w:szCs w:val="28"/>
          <w:lang w:val="es-CO"/>
        </w:rPr>
        <w:t>d</w:t>
      </w:r>
      <w:r w:rsidR="1B773AE9" w:rsidRPr="007F2045">
        <w:rPr>
          <w:rFonts w:ascii="Times New Roman" w:hAnsi="Times New Roman"/>
          <w:sz w:val="28"/>
          <w:szCs w:val="28"/>
          <w:lang w:val="es-CO"/>
        </w:rPr>
        <w:t>e control abstracto</w:t>
      </w:r>
      <w:r w:rsidR="00841F51" w:rsidRPr="007F2045">
        <w:rPr>
          <w:rFonts w:ascii="Times New Roman" w:hAnsi="Times New Roman"/>
          <w:sz w:val="28"/>
          <w:szCs w:val="28"/>
          <w:lang w:val="es-CO"/>
        </w:rPr>
        <w:t xml:space="preserve"> consistía en que</w:t>
      </w:r>
      <w:r w:rsidR="1B773AE9" w:rsidRPr="007F2045">
        <w:rPr>
          <w:rFonts w:ascii="Times New Roman" w:hAnsi="Times New Roman"/>
          <w:sz w:val="28"/>
          <w:szCs w:val="28"/>
          <w:lang w:val="es-CO"/>
        </w:rPr>
        <w:t xml:space="preserve"> e</w:t>
      </w:r>
      <w:r w:rsidR="49E4E0E3" w:rsidRPr="007F2045">
        <w:rPr>
          <w:rFonts w:ascii="Times New Roman" w:hAnsi="Times New Roman"/>
          <w:sz w:val="28"/>
          <w:szCs w:val="28"/>
          <w:lang w:val="es-CO"/>
        </w:rPr>
        <w:t>l ordenamiento no l</w:t>
      </w:r>
      <w:r w:rsidR="00841F51" w:rsidRPr="007F2045">
        <w:rPr>
          <w:rFonts w:ascii="Times New Roman" w:hAnsi="Times New Roman"/>
          <w:sz w:val="28"/>
          <w:szCs w:val="28"/>
          <w:lang w:val="es-CO"/>
        </w:rPr>
        <w:t>a</w:t>
      </w:r>
      <w:r w:rsidR="49E4E0E3" w:rsidRPr="007F2045">
        <w:rPr>
          <w:rFonts w:ascii="Times New Roman" w:hAnsi="Times New Roman"/>
          <w:sz w:val="28"/>
          <w:szCs w:val="28"/>
          <w:lang w:val="es-CO"/>
        </w:rPr>
        <w:t xml:space="preserve"> contemplaba</w:t>
      </w:r>
      <w:r w:rsidR="00841F51" w:rsidRPr="007F2045">
        <w:rPr>
          <w:rFonts w:ascii="Times New Roman" w:hAnsi="Times New Roman"/>
          <w:sz w:val="28"/>
          <w:szCs w:val="28"/>
          <w:lang w:val="es-CO"/>
        </w:rPr>
        <w:t xml:space="preserve"> expresamente</w:t>
      </w:r>
      <w:r w:rsidR="49E4E0E3" w:rsidRPr="007F2045">
        <w:rPr>
          <w:rFonts w:ascii="Times New Roman" w:hAnsi="Times New Roman"/>
          <w:sz w:val="28"/>
          <w:szCs w:val="28"/>
          <w:lang w:val="es-CO"/>
        </w:rPr>
        <w:t xml:space="preserve">. </w:t>
      </w:r>
      <w:r w:rsidR="0F05437E" w:rsidRPr="007F2045">
        <w:rPr>
          <w:rFonts w:ascii="Times New Roman" w:hAnsi="Times New Roman"/>
          <w:sz w:val="28"/>
          <w:szCs w:val="28"/>
          <w:lang w:val="es-CO"/>
        </w:rPr>
        <w:t xml:space="preserve">En esa ocasión, </w:t>
      </w:r>
      <w:r w:rsidR="00EA5EF6" w:rsidRPr="007F2045">
        <w:rPr>
          <w:rFonts w:ascii="Times New Roman" w:hAnsi="Times New Roman"/>
          <w:sz w:val="28"/>
          <w:szCs w:val="28"/>
          <w:lang w:val="es-CO"/>
        </w:rPr>
        <w:t>esta Corporación</w:t>
      </w:r>
      <w:r w:rsidR="0F05437E" w:rsidRPr="007F2045">
        <w:rPr>
          <w:rFonts w:ascii="Times New Roman" w:hAnsi="Times New Roman"/>
          <w:sz w:val="28"/>
          <w:szCs w:val="28"/>
          <w:lang w:val="es-CO"/>
        </w:rPr>
        <w:t xml:space="preserve"> estudió una demanda de inconstitucionalidad contra los artículos 6 y 36 </w:t>
      </w:r>
      <w:r w:rsidR="0D20AFD8" w:rsidRPr="007F2045">
        <w:rPr>
          <w:rFonts w:ascii="Times New Roman" w:hAnsi="Times New Roman"/>
          <w:sz w:val="28"/>
          <w:szCs w:val="28"/>
          <w:lang w:val="es-CO"/>
        </w:rPr>
        <w:t>(parciales) del Decreto Ley 2067 de 1991</w:t>
      </w:r>
      <w:r w:rsidR="56AE7733" w:rsidRPr="007F2045">
        <w:rPr>
          <w:rFonts w:ascii="Times New Roman" w:hAnsi="Times New Roman"/>
          <w:szCs w:val="28"/>
          <w:vertAlign w:val="superscript"/>
          <w:lang w:val="es-CO"/>
        </w:rPr>
        <w:footnoteReference w:id="11"/>
      </w:r>
      <w:r w:rsidR="0D20AFD8" w:rsidRPr="007F2045">
        <w:rPr>
          <w:rFonts w:ascii="Times New Roman" w:hAnsi="Times New Roman"/>
          <w:sz w:val="28"/>
          <w:szCs w:val="28"/>
          <w:lang w:val="es-CO"/>
        </w:rPr>
        <w:t xml:space="preserve">. </w:t>
      </w:r>
      <w:r w:rsidR="1D9D61F7" w:rsidRPr="007F2045">
        <w:rPr>
          <w:rFonts w:ascii="Times New Roman" w:hAnsi="Times New Roman"/>
          <w:sz w:val="28"/>
          <w:szCs w:val="28"/>
          <w:lang w:val="es-CO"/>
        </w:rPr>
        <w:t>Los demandantes sost</w:t>
      </w:r>
      <w:r w:rsidR="00344F9E" w:rsidRPr="007F2045">
        <w:rPr>
          <w:rFonts w:ascii="Times New Roman" w:hAnsi="Times New Roman"/>
          <w:sz w:val="28"/>
          <w:szCs w:val="28"/>
          <w:lang w:val="es-CO"/>
        </w:rPr>
        <w:t>uvieron</w:t>
      </w:r>
      <w:r w:rsidR="0D20AFD8" w:rsidRPr="007F2045">
        <w:rPr>
          <w:rFonts w:ascii="Times New Roman" w:hAnsi="Times New Roman"/>
          <w:sz w:val="28"/>
          <w:szCs w:val="28"/>
          <w:lang w:val="es-CO"/>
        </w:rPr>
        <w:t xml:space="preserve"> que tales normas presentaban una omisión legislativa relativa, </w:t>
      </w:r>
      <w:r w:rsidR="00344F9E" w:rsidRPr="007F2045">
        <w:rPr>
          <w:rFonts w:ascii="Times New Roman" w:hAnsi="Times New Roman"/>
          <w:sz w:val="28"/>
          <w:szCs w:val="28"/>
          <w:lang w:val="es-CO"/>
        </w:rPr>
        <w:t>por no contemplar</w:t>
      </w:r>
      <w:r w:rsidR="0D20AFD8" w:rsidRPr="007F2045">
        <w:rPr>
          <w:rFonts w:ascii="Times New Roman" w:hAnsi="Times New Roman"/>
          <w:sz w:val="28"/>
          <w:szCs w:val="28"/>
          <w:lang w:val="es-CO"/>
        </w:rPr>
        <w:t xml:space="preserve"> la posibilidad de que la Corte pudiese suspender provisionalmente los decretos legislativos dictados al amparo de los artículos 212, 213 y 215 de la Constitución.</w:t>
      </w:r>
    </w:p>
    <w:p w14:paraId="1610750B" w14:textId="77777777" w:rsidR="56AE7733" w:rsidRPr="007F2045" w:rsidRDefault="56AE7733" w:rsidP="001B5728">
      <w:pPr>
        <w:pStyle w:val="Prrafodelista"/>
        <w:tabs>
          <w:tab w:val="left" w:pos="426"/>
          <w:tab w:val="left" w:pos="567"/>
        </w:tabs>
        <w:spacing w:after="0" w:line="240" w:lineRule="auto"/>
        <w:ind w:left="0"/>
        <w:rPr>
          <w:rFonts w:ascii="Times New Roman" w:hAnsi="Times New Roman"/>
          <w:sz w:val="28"/>
          <w:szCs w:val="28"/>
          <w:lang w:val="es-CO"/>
        </w:rPr>
      </w:pPr>
    </w:p>
    <w:p w14:paraId="1066F2AD" w14:textId="77777777" w:rsidR="4EC460A7" w:rsidRPr="007F2045" w:rsidRDefault="7EC83F43" w:rsidP="001B5728">
      <w:pPr>
        <w:widowControl w:val="0"/>
        <w:numPr>
          <w:ilvl w:val="0"/>
          <w:numId w:val="2"/>
        </w:numPr>
        <w:tabs>
          <w:tab w:val="left" w:pos="284"/>
          <w:tab w:val="left" w:pos="426"/>
          <w:tab w:val="left" w:pos="567"/>
        </w:tabs>
        <w:autoSpaceDE w:val="0"/>
        <w:autoSpaceDN w:val="0"/>
        <w:adjustRightInd w:val="0"/>
        <w:spacing w:after="0" w:line="240" w:lineRule="auto"/>
        <w:ind w:left="0" w:firstLine="0"/>
        <w:rPr>
          <w:rFonts w:ascii="Times New Roman" w:hAnsi="Times New Roman"/>
          <w:color w:val="4472C4" w:themeColor="accent1"/>
          <w:sz w:val="28"/>
          <w:szCs w:val="28"/>
          <w:lang w:val="es-CO"/>
        </w:rPr>
      </w:pPr>
      <w:r w:rsidRPr="007F2045">
        <w:rPr>
          <w:rFonts w:ascii="Times New Roman" w:hAnsi="Times New Roman"/>
          <w:sz w:val="28"/>
          <w:szCs w:val="28"/>
          <w:lang w:val="es-CO"/>
        </w:rPr>
        <w:t>L</w:t>
      </w:r>
      <w:r w:rsidR="515BA36A" w:rsidRPr="007F2045">
        <w:rPr>
          <w:rFonts w:ascii="Times New Roman" w:hAnsi="Times New Roman"/>
          <w:sz w:val="28"/>
          <w:szCs w:val="28"/>
          <w:lang w:val="es-CO"/>
        </w:rPr>
        <w:t>a</w:t>
      </w:r>
      <w:r w:rsidR="4827A18B" w:rsidRPr="007F2045">
        <w:rPr>
          <w:rFonts w:ascii="Times New Roman" w:hAnsi="Times New Roman"/>
          <w:sz w:val="28"/>
          <w:szCs w:val="28"/>
          <w:lang w:val="es-CO"/>
        </w:rPr>
        <w:t xml:space="preserve"> Corte concluyó que </w:t>
      </w:r>
      <w:r w:rsidR="0A528DBE" w:rsidRPr="007F2045">
        <w:rPr>
          <w:rFonts w:ascii="Times New Roman" w:hAnsi="Times New Roman"/>
          <w:sz w:val="28"/>
          <w:szCs w:val="28"/>
          <w:lang w:val="es-CO"/>
        </w:rPr>
        <w:t>ese</w:t>
      </w:r>
      <w:r w:rsidR="4827A18B" w:rsidRPr="007F2045">
        <w:rPr>
          <w:rFonts w:ascii="Times New Roman" w:hAnsi="Times New Roman"/>
          <w:sz w:val="28"/>
          <w:szCs w:val="28"/>
          <w:lang w:val="es-CO"/>
        </w:rPr>
        <w:t xml:space="preserve"> </w:t>
      </w:r>
      <w:r w:rsidR="531033C6" w:rsidRPr="007F2045">
        <w:rPr>
          <w:rFonts w:ascii="Times New Roman" w:hAnsi="Times New Roman"/>
          <w:sz w:val="28"/>
          <w:szCs w:val="28"/>
          <w:lang w:val="es-CO"/>
        </w:rPr>
        <w:t>cargo</w:t>
      </w:r>
      <w:r w:rsidR="4827A18B" w:rsidRPr="007F2045">
        <w:rPr>
          <w:rFonts w:ascii="Times New Roman" w:hAnsi="Times New Roman"/>
          <w:sz w:val="28"/>
          <w:szCs w:val="28"/>
          <w:lang w:val="es-CO"/>
        </w:rPr>
        <w:t xml:space="preserve"> no era sustancialmente apto</w:t>
      </w:r>
      <w:r w:rsidR="005A2A7F" w:rsidRPr="007F2045">
        <w:rPr>
          <w:rFonts w:ascii="Times New Roman" w:hAnsi="Times New Roman"/>
          <w:sz w:val="28"/>
          <w:szCs w:val="28"/>
          <w:lang w:val="es-CO"/>
        </w:rPr>
        <w:t>,</w:t>
      </w:r>
      <w:r w:rsidR="4827A18B" w:rsidRPr="007F2045">
        <w:rPr>
          <w:rFonts w:ascii="Times New Roman" w:hAnsi="Times New Roman"/>
          <w:sz w:val="28"/>
          <w:szCs w:val="28"/>
          <w:lang w:val="es-CO"/>
        </w:rPr>
        <w:t xml:space="preserve"> porque </w:t>
      </w:r>
      <w:r w:rsidR="4827A18B" w:rsidRPr="007F2045">
        <w:rPr>
          <w:rFonts w:ascii="Times New Roman" w:hAnsi="Times New Roman"/>
          <w:i/>
          <w:iCs/>
          <w:sz w:val="28"/>
          <w:szCs w:val="28"/>
          <w:lang w:val="es-CO"/>
        </w:rPr>
        <w:t>(i)</w:t>
      </w:r>
      <w:r w:rsidR="4827A18B" w:rsidRPr="007F2045">
        <w:rPr>
          <w:rFonts w:ascii="Times New Roman" w:hAnsi="Times New Roman"/>
          <w:sz w:val="28"/>
          <w:szCs w:val="28"/>
          <w:lang w:val="es-CO"/>
        </w:rPr>
        <w:t xml:space="preserve"> la omisión legislativa relativa alegada no necesariamente se predicaba de las normas demandadas; </w:t>
      </w:r>
      <w:r w:rsidR="4827A18B" w:rsidRPr="007F2045">
        <w:rPr>
          <w:rFonts w:ascii="Times New Roman" w:hAnsi="Times New Roman"/>
          <w:i/>
          <w:iCs/>
          <w:sz w:val="28"/>
          <w:szCs w:val="28"/>
          <w:lang w:val="es-CO"/>
        </w:rPr>
        <w:t>(</w:t>
      </w:r>
      <w:proofErr w:type="spellStart"/>
      <w:r w:rsidR="4827A18B" w:rsidRPr="007F2045">
        <w:rPr>
          <w:rFonts w:ascii="Times New Roman" w:hAnsi="Times New Roman"/>
          <w:i/>
          <w:iCs/>
          <w:sz w:val="28"/>
          <w:szCs w:val="28"/>
          <w:lang w:val="es-CO"/>
        </w:rPr>
        <w:t>ii</w:t>
      </w:r>
      <w:proofErr w:type="spellEnd"/>
      <w:r w:rsidR="4827A18B" w:rsidRPr="007F2045">
        <w:rPr>
          <w:rFonts w:ascii="Times New Roman" w:hAnsi="Times New Roman"/>
          <w:i/>
          <w:iCs/>
          <w:sz w:val="28"/>
          <w:szCs w:val="28"/>
          <w:lang w:val="es-CO"/>
        </w:rPr>
        <w:t>)</w:t>
      </w:r>
      <w:r w:rsidR="4827A18B" w:rsidRPr="007F2045">
        <w:rPr>
          <w:rFonts w:ascii="Times New Roman" w:hAnsi="Times New Roman"/>
          <w:sz w:val="28"/>
          <w:szCs w:val="28"/>
          <w:lang w:val="es-CO"/>
        </w:rPr>
        <w:t xml:space="preserve"> los actores no lograron demostrar que existiera un mandato constitucional específico que le atribuyera </w:t>
      </w:r>
      <w:r w:rsidR="1996C286" w:rsidRPr="007F2045">
        <w:rPr>
          <w:rFonts w:ascii="Times New Roman" w:hAnsi="Times New Roman"/>
          <w:sz w:val="28"/>
          <w:szCs w:val="28"/>
          <w:lang w:val="es-CO"/>
        </w:rPr>
        <w:t>este Tribunal</w:t>
      </w:r>
      <w:r w:rsidR="4827A18B" w:rsidRPr="007F2045">
        <w:rPr>
          <w:rFonts w:ascii="Times New Roman" w:hAnsi="Times New Roman"/>
          <w:sz w:val="28"/>
          <w:szCs w:val="28"/>
          <w:lang w:val="es-CO"/>
        </w:rPr>
        <w:t xml:space="preserve"> la competencia para suspender provisionalmente las normas sometidas a su control; y </w:t>
      </w:r>
      <w:r w:rsidR="4827A18B" w:rsidRPr="007F2045">
        <w:rPr>
          <w:rFonts w:ascii="Times New Roman" w:hAnsi="Times New Roman"/>
          <w:i/>
          <w:iCs/>
          <w:sz w:val="28"/>
          <w:szCs w:val="28"/>
          <w:lang w:val="es-CO"/>
        </w:rPr>
        <w:t>(</w:t>
      </w:r>
      <w:proofErr w:type="spellStart"/>
      <w:r w:rsidR="4827A18B" w:rsidRPr="007F2045">
        <w:rPr>
          <w:rFonts w:ascii="Times New Roman" w:hAnsi="Times New Roman"/>
          <w:i/>
          <w:iCs/>
          <w:sz w:val="28"/>
          <w:szCs w:val="28"/>
          <w:lang w:val="es-CO"/>
        </w:rPr>
        <w:t>iii</w:t>
      </w:r>
      <w:proofErr w:type="spellEnd"/>
      <w:r w:rsidR="4827A18B" w:rsidRPr="007F2045">
        <w:rPr>
          <w:rFonts w:ascii="Times New Roman" w:hAnsi="Times New Roman"/>
          <w:i/>
          <w:iCs/>
          <w:sz w:val="28"/>
          <w:szCs w:val="28"/>
          <w:lang w:val="es-CO"/>
        </w:rPr>
        <w:t>)</w:t>
      </w:r>
      <w:r w:rsidR="4827A18B" w:rsidRPr="007F2045">
        <w:rPr>
          <w:rFonts w:ascii="Times New Roman" w:hAnsi="Times New Roman"/>
          <w:sz w:val="28"/>
          <w:szCs w:val="28"/>
          <w:lang w:val="es-CO"/>
        </w:rPr>
        <w:t xml:space="preserve"> lo que ellos reamente cuestionaban era una omisión legislativa absoluta, debido a que el legislador no había </w:t>
      </w:r>
      <w:r w:rsidR="07DD5F05" w:rsidRPr="007F2045">
        <w:rPr>
          <w:rFonts w:ascii="Times New Roman" w:hAnsi="Times New Roman"/>
          <w:sz w:val="28"/>
          <w:szCs w:val="28"/>
          <w:lang w:val="es-CO"/>
        </w:rPr>
        <w:t>conferi</w:t>
      </w:r>
      <w:r w:rsidR="4827A18B" w:rsidRPr="007F2045">
        <w:rPr>
          <w:rFonts w:ascii="Times New Roman" w:hAnsi="Times New Roman"/>
          <w:sz w:val="28"/>
          <w:szCs w:val="28"/>
          <w:lang w:val="es-CO"/>
        </w:rPr>
        <w:t>do a la Cor</w:t>
      </w:r>
      <w:r w:rsidR="3E15CCBB" w:rsidRPr="007F2045">
        <w:rPr>
          <w:rFonts w:ascii="Times New Roman" w:hAnsi="Times New Roman"/>
          <w:sz w:val="28"/>
          <w:szCs w:val="28"/>
          <w:lang w:val="es-CO"/>
        </w:rPr>
        <w:t>poración</w:t>
      </w:r>
      <w:r w:rsidR="4827A18B" w:rsidRPr="007F2045">
        <w:rPr>
          <w:rFonts w:ascii="Times New Roman" w:hAnsi="Times New Roman"/>
          <w:sz w:val="28"/>
          <w:szCs w:val="28"/>
          <w:lang w:val="es-CO"/>
        </w:rPr>
        <w:t xml:space="preserve"> la facultad de suspender provisionalmente las normas sometidas a su control. </w:t>
      </w:r>
      <w:r w:rsidR="6E003342" w:rsidRPr="007F2045">
        <w:rPr>
          <w:rFonts w:ascii="Times New Roman" w:hAnsi="Times New Roman"/>
          <w:sz w:val="28"/>
          <w:szCs w:val="28"/>
          <w:lang w:val="es-CO"/>
        </w:rPr>
        <w:t>Esto</w:t>
      </w:r>
      <w:r w:rsidR="4827A18B" w:rsidRPr="007F2045">
        <w:rPr>
          <w:rFonts w:ascii="Times New Roman" w:hAnsi="Times New Roman"/>
          <w:sz w:val="28"/>
          <w:szCs w:val="28"/>
          <w:lang w:val="es-CO"/>
        </w:rPr>
        <w:t xml:space="preserve">, </w:t>
      </w:r>
      <w:r w:rsidR="7E114F11" w:rsidRPr="007F2045">
        <w:rPr>
          <w:rFonts w:ascii="Times New Roman" w:hAnsi="Times New Roman"/>
          <w:sz w:val="28"/>
          <w:szCs w:val="28"/>
          <w:lang w:val="es-CO"/>
        </w:rPr>
        <w:t>dijo</w:t>
      </w:r>
      <w:r w:rsidR="4827A18B" w:rsidRPr="007F2045">
        <w:rPr>
          <w:rFonts w:ascii="Times New Roman" w:hAnsi="Times New Roman"/>
          <w:sz w:val="28"/>
          <w:szCs w:val="28"/>
          <w:lang w:val="es-CO"/>
        </w:rPr>
        <w:t xml:space="preserve"> la sentencia, sin perjuicio de que el Constituyente o el legislador decidan conferirle tal atribución a este Tribunal tras evaluar su necesidad, conveniencia, riesgos y beneficios.</w:t>
      </w:r>
      <w:r w:rsidR="00382676" w:rsidRPr="007F2045">
        <w:rPr>
          <w:rFonts w:ascii="Times New Roman" w:hAnsi="Times New Roman"/>
          <w:sz w:val="28"/>
          <w:szCs w:val="28"/>
          <w:lang w:val="es-CO"/>
        </w:rPr>
        <w:t xml:space="preserve"> A partir de</w:t>
      </w:r>
      <w:r w:rsidR="557E4965" w:rsidRPr="007F2045">
        <w:rPr>
          <w:rFonts w:ascii="Times New Roman" w:hAnsi="Times New Roman"/>
          <w:sz w:val="28"/>
          <w:szCs w:val="28"/>
          <w:lang w:val="es-CO"/>
        </w:rPr>
        <w:t xml:space="preserve"> es</w:t>
      </w:r>
      <w:r w:rsidR="00382676" w:rsidRPr="007F2045">
        <w:rPr>
          <w:rFonts w:ascii="Times New Roman" w:hAnsi="Times New Roman"/>
          <w:sz w:val="28"/>
          <w:szCs w:val="28"/>
          <w:lang w:val="es-CO"/>
        </w:rPr>
        <w:t>a consideración</w:t>
      </w:r>
      <w:r w:rsidR="557E4965" w:rsidRPr="007F2045">
        <w:rPr>
          <w:rFonts w:ascii="Times New Roman" w:hAnsi="Times New Roman"/>
          <w:sz w:val="28"/>
          <w:szCs w:val="28"/>
          <w:lang w:val="es-CO"/>
        </w:rPr>
        <w:t xml:space="preserve">, la Corte </w:t>
      </w:r>
      <w:r w:rsidR="005A2A7F" w:rsidRPr="007F2045">
        <w:rPr>
          <w:rFonts w:ascii="Times New Roman" w:hAnsi="Times New Roman"/>
          <w:sz w:val="28"/>
          <w:szCs w:val="28"/>
          <w:lang w:val="es-CO"/>
        </w:rPr>
        <w:t xml:space="preserve">planteó </w:t>
      </w:r>
      <w:r w:rsidR="557E4965" w:rsidRPr="007F2045">
        <w:rPr>
          <w:rFonts w:ascii="Times New Roman" w:hAnsi="Times New Roman"/>
          <w:sz w:val="28"/>
          <w:szCs w:val="28"/>
          <w:lang w:val="es-CO"/>
        </w:rPr>
        <w:t xml:space="preserve">la posibilidad de que, a futuro, existiese una norma que </w:t>
      </w:r>
      <w:r w:rsidR="330E805D" w:rsidRPr="007F2045">
        <w:rPr>
          <w:rFonts w:ascii="Times New Roman" w:hAnsi="Times New Roman"/>
          <w:sz w:val="28"/>
          <w:szCs w:val="28"/>
          <w:lang w:val="es-CO"/>
        </w:rPr>
        <w:t>incorporara la medida cautelar de suspensión provisional en los procesos de control abstracto</w:t>
      </w:r>
      <w:r w:rsidR="005A2A7F" w:rsidRPr="007F2045">
        <w:rPr>
          <w:rFonts w:ascii="Times New Roman" w:hAnsi="Times New Roman"/>
          <w:sz w:val="28"/>
          <w:szCs w:val="28"/>
          <w:lang w:val="es-CO"/>
        </w:rPr>
        <w:t>.</w:t>
      </w:r>
    </w:p>
    <w:p w14:paraId="58789BDB" w14:textId="77777777" w:rsidR="6CB685EB" w:rsidRPr="007F2045" w:rsidRDefault="6CB685EB" w:rsidP="001B5728">
      <w:pPr>
        <w:pStyle w:val="Prrafodelista"/>
        <w:tabs>
          <w:tab w:val="left" w:pos="426"/>
          <w:tab w:val="left" w:pos="567"/>
        </w:tabs>
        <w:spacing w:after="0" w:line="240" w:lineRule="auto"/>
        <w:ind w:left="0"/>
        <w:rPr>
          <w:rFonts w:ascii="Times New Roman" w:hAnsi="Times New Roman"/>
          <w:color w:val="4472C4" w:themeColor="accent1"/>
          <w:sz w:val="28"/>
          <w:szCs w:val="28"/>
          <w:lang w:val="es-CO"/>
        </w:rPr>
      </w:pPr>
    </w:p>
    <w:p w14:paraId="26000590" w14:textId="77777777" w:rsidR="0053553E" w:rsidRPr="007F2045" w:rsidRDefault="781DAB5A" w:rsidP="001B5728">
      <w:pPr>
        <w:widowControl w:val="0"/>
        <w:numPr>
          <w:ilvl w:val="0"/>
          <w:numId w:val="2"/>
        </w:numPr>
        <w:tabs>
          <w:tab w:val="left" w:pos="284"/>
          <w:tab w:val="left" w:pos="426"/>
          <w:tab w:val="left" w:pos="567"/>
        </w:tabs>
        <w:autoSpaceDE w:val="0"/>
        <w:autoSpaceDN w:val="0"/>
        <w:adjustRightInd w:val="0"/>
        <w:spacing w:after="0" w:line="240" w:lineRule="auto"/>
        <w:ind w:left="0" w:firstLine="0"/>
        <w:rPr>
          <w:rFonts w:ascii="Times New Roman" w:hAnsi="Times New Roman"/>
          <w:color w:val="000000" w:themeColor="text1"/>
          <w:sz w:val="28"/>
          <w:szCs w:val="28"/>
          <w:lang w:val="es-CO"/>
        </w:rPr>
      </w:pPr>
      <w:r w:rsidRPr="007F2045">
        <w:rPr>
          <w:rFonts w:ascii="Times New Roman" w:hAnsi="Times New Roman"/>
          <w:color w:val="000000" w:themeColor="text1"/>
          <w:sz w:val="28"/>
          <w:szCs w:val="28"/>
          <w:lang w:val="es-CO"/>
        </w:rPr>
        <w:t>Más adelante,</w:t>
      </w:r>
      <w:r w:rsidR="475CAE5D" w:rsidRPr="007F2045">
        <w:rPr>
          <w:rFonts w:ascii="Times New Roman" w:hAnsi="Times New Roman"/>
          <w:color w:val="000000" w:themeColor="text1"/>
          <w:sz w:val="28"/>
          <w:szCs w:val="28"/>
          <w:lang w:val="es-CO"/>
        </w:rPr>
        <w:t xml:space="preserve"> en el año 2022</w:t>
      </w:r>
      <w:r w:rsidR="5325E2A9" w:rsidRPr="007F2045">
        <w:rPr>
          <w:rFonts w:ascii="Times New Roman" w:hAnsi="Times New Roman"/>
          <w:color w:val="000000" w:themeColor="text1"/>
          <w:sz w:val="28"/>
          <w:szCs w:val="28"/>
          <w:lang w:val="es-CO"/>
        </w:rPr>
        <w:t>,</w:t>
      </w:r>
      <w:r w:rsidR="475CAE5D" w:rsidRPr="007F2045">
        <w:rPr>
          <w:rFonts w:ascii="Times New Roman" w:hAnsi="Times New Roman"/>
          <w:color w:val="000000" w:themeColor="text1"/>
          <w:sz w:val="28"/>
          <w:szCs w:val="28"/>
          <w:lang w:val="es-CO"/>
        </w:rPr>
        <w:t xml:space="preserve"> se presentó un intento por variar la postura en el auto 123 de 2022, proferido en un proceso acumulado de demandas de inconstitucionalidad contra el artículo 24 de la Ley 2159 de 2021</w:t>
      </w:r>
      <w:r w:rsidR="0AA6B19F" w:rsidRPr="007F2045">
        <w:rPr>
          <w:rFonts w:ascii="Times New Roman" w:hAnsi="Times New Roman"/>
          <w:color w:val="000000" w:themeColor="text1"/>
          <w:szCs w:val="28"/>
          <w:vertAlign w:val="superscript"/>
          <w:lang w:val="es-CO"/>
        </w:rPr>
        <w:footnoteReference w:id="12"/>
      </w:r>
      <w:r w:rsidR="475CAE5D" w:rsidRPr="007F2045">
        <w:rPr>
          <w:rFonts w:ascii="Times New Roman" w:hAnsi="Times New Roman"/>
          <w:color w:val="000000" w:themeColor="text1"/>
          <w:sz w:val="28"/>
          <w:szCs w:val="28"/>
          <w:lang w:val="es-CO"/>
        </w:rPr>
        <w:t>. Aunque prevaleció la tesis de la improcedencia de la suspensión provisional, los salvamentos de voto evidencia</w:t>
      </w:r>
      <w:r w:rsidR="00344F9E" w:rsidRPr="007F2045">
        <w:rPr>
          <w:rFonts w:ascii="Times New Roman" w:hAnsi="Times New Roman"/>
          <w:color w:val="000000" w:themeColor="text1"/>
          <w:sz w:val="28"/>
          <w:szCs w:val="28"/>
          <w:lang w:val="es-CO"/>
        </w:rPr>
        <w:t>ron</w:t>
      </w:r>
      <w:r w:rsidR="6DE2DC01" w:rsidRPr="007F2045">
        <w:rPr>
          <w:rFonts w:ascii="Times New Roman" w:hAnsi="Times New Roman"/>
          <w:color w:val="000000" w:themeColor="text1"/>
          <w:sz w:val="28"/>
          <w:szCs w:val="28"/>
          <w:lang w:val="es-CO"/>
        </w:rPr>
        <w:t xml:space="preserve"> </w:t>
      </w:r>
      <w:r w:rsidR="00344F9E" w:rsidRPr="007F2045">
        <w:rPr>
          <w:rFonts w:ascii="Times New Roman" w:hAnsi="Times New Roman"/>
          <w:color w:val="000000" w:themeColor="text1"/>
          <w:sz w:val="28"/>
          <w:szCs w:val="28"/>
          <w:lang w:val="es-CO"/>
        </w:rPr>
        <w:t xml:space="preserve">una amplia discusión </w:t>
      </w:r>
      <w:r w:rsidR="005A2A7F" w:rsidRPr="007F2045">
        <w:rPr>
          <w:rFonts w:ascii="Times New Roman" w:hAnsi="Times New Roman"/>
          <w:color w:val="000000" w:themeColor="text1"/>
          <w:sz w:val="28"/>
          <w:szCs w:val="28"/>
          <w:lang w:val="es-CO"/>
        </w:rPr>
        <w:t>dentro</w:t>
      </w:r>
      <w:r w:rsidR="00344F9E" w:rsidRPr="007F2045">
        <w:rPr>
          <w:rFonts w:ascii="Times New Roman" w:hAnsi="Times New Roman"/>
          <w:color w:val="000000" w:themeColor="text1"/>
          <w:sz w:val="28"/>
          <w:szCs w:val="28"/>
          <w:lang w:val="es-CO"/>
        </w:rPr>
        <w:t xml:space="preserve"> de la Corporación, sobre</w:t>
      </w:r>
      <w:r w:rsidR="475CAE5D" w:rsidRPr="007F2045">
        <w:rPr>
          <w:rFonts w:ascii="Times New Roman" w:hAnsi="Times New Roman"/>
          <w:color w:val="000000" w:themeColor="text1"/>
          <w:sz w:val="28"/>
          <w:szCs w:val="28"/>
          <w:lang w:val="es-CO"/>
        </w:rPr>
        <w:t xml:space="preserve"> la posibilidad de aplicar</w:t>
      </w:r>
      <w:r w:rsidR="00344F9E" w:rsidRPr="007F2045">
        <w:rPr>
          <w:rFonts w:ascii="Times New Roman" w:hAnsi="Times New Roman"/>
          <w:color w:val="000000" w:themeColor="text1"/>
          <w:sz w:val="28"/>
          <w:szCs w:val="28"/>
          <w:lang w:val="es-CO"/>
        </w:rPr>
        <w:t xml:space="preserve"> la figura</w:t>
      </w:r>
      <w:r w:rsidR="0AA6B19F" w:rsidRPr="007F2045">
        <w:rPr>
          <w:rFonts w:ascii="Times New Roman" w:hAnsi="Times New Roman"/>
          <w:color w:val="000000" w:themeColor="text1"/>
          <w:szCs w:val="28"/>
          <w:vertAlign w:val="superscript"/>
          <w:lang w:val="es-CO"/>
        </w:rPr>
        <w:footnoteReference w:id="13"/>
      </w:r>
      <w:r w:rsidR="475CAE5D" w:rsidRPr="007F2045">
        <w:rPr>
          <w:rFonts w:ascii="Times New Roman" w:hAnsi="Times New Roman"/>
          <w:color w:val="000000" w:themeColor="text1"/>
          <w:sz w:val="28"/>
          <w:szCs w:val="28"/>
          <w:lang w:val="es-CO"/>
        </w:rPr>
        <w:t xml:space="preserve">. </w:t>
      </w:r>
    </w:p>
    <w:p w14:paraId="69E23974" w14:textId="77777777" w:rsidR="0053553E" w:rsidRPr="007F2045" w:rsidRDefault="0053553E" w:rsidP="001B5728">
      <w:pPr>
        <w:widowControl w:val="0"/>
        <w:tabs>
          <w:tab w:val="left" w:pos="284"/>
          <w:tab w:val="left" w:pos="426"/>
          <w:tab w:val="left" w:pos="567"/>
        </w:tabs>
        <w:autoSpaceDE w:val="0"/>
        <w:autoSpaceDN w:val="0"/>
        <w:adjustRightInd w:val="0"/>
        <w:spacing w:after="0" w:line="240" w:lineRule="auto"/>
        <w:rPr>
          <w:rFonts w:ascii="Times New Roman" w:hAnsi="Times New Roman"/>
          <w:color w:val="000000" w:themeColor="text1"/>
          <w:sz w:val="28"/>
          <w:szCs w:val="28"/>
          <w:lang w:val="es-CO"/>
        </w:rPr>
      </w:pPr>
    </w:p>
    <w:p w14:paraId="26C316AC" w14:textId="77777777" w:rsidR="000A0987" w:rsidRPr="007F2045" w:rsidRDefault="00D35C92" w:rsidP="001B5728">
      <w:pPr>
        <w:widowControl w:val="0"/>
        <w:numPr>
          <w:ilvl w:val="0"/>
          <w:numId w:val="2"/>
        </w:numPr>
        <w:tabs>
          <w:tab w:val="left" w:pos="284"/>
          <w:tab w:val="left" w:pos="426"/>
          <w:tab w:val="left" w:pos="567"/>
        </w:tabs>
        <w:autoSpaceDE w:val="0"/>
        <w:autoSpaceDN w:val="0"/>
        <w:adjustRightInd w:val="0"/>
        <w:spacing w:after="0" w:line="240" w:lineRule="auto"/>
        <w:ind w:left="0" w:firstLine="0"/>
        <w:rPr>
          <w:rFonts w:ascii="Times New Roman" w:hAnsi="Times New Roman"/>
          <w:color w:val="000000" w:themeColor="text1"/>
          <w:sz w:val="28"/>
          <w:szCs w:val="28"/>
          <w:lang w:val="es-CO"/>
        </w:rPr>
      </w:pPr>
      <w:r w:rsidRPr="007F2045">
        <w:rPr>
          <w:rFonts w:ascii="Times New Roman" w:hAnsi="Times New Roman"/>
          <w:color w:val="000000" w:themeColor="text1"/>
          <w:sz w:val="28"/>
          <w:szCs w:val="28"/>
          <w:lang w:val="es-CO"/>
        </w:rPr>
        <w:t>En ese proceso, a</w:t>
      </w:r>
      <w:r w:rsidR="000A0987" w:rsidRPr="007F2045">
        <w:rPr>
          <w:rFonts w:ascii="Times New Roman" w:hAnsi="Times New Roman"/>
          <w:color w:val="000000" w:themeColor="text1"/>
          <w:sz w:val="28"/>
          <w:szCs w:val="28"/>
          <w:lang w:val="es-CO"/>
        </w:rPr>
        <w:t>nte la imposibilidad de decretar la suspensión provisional</w:t>
      </w:r>
      <w:r w:rsidR="00575070" w:rsidRPr="007F2045">
        <w:rPr>
          <w:rFonts w:ascii="Times New Roman" w:hAnsi="Times New Roman"/>
          <w:color w:val="000000" w:themeColor="text1"/>
          <w:sz w:val="28"/>
          <w:szCs w:val="28"/>
          <w:lang w:val="es-CO"/>
        </w:rPr>
        <w:t>,</w:t>
      </w:r>
      <w:r w:rsidR="000A0987" w:rsidRPr="007F2045">
        <w:rPr>
          <w:rFonts w:ascii="Times New Roman" w:hAnsi="Times New Roman"/>
          <w:color w:val="000000" w:themeColor="text1"/>
          <w:sz w:val="28"/>
          <w:szCs w:val="28"/>
          <w:lang w:val="es-CO"/>
        </w:rPr>
        <w:t xml:space="preserve"> la Corte optó por declarar el trámite de urgencia nacional</w:t>
      </w:r>
      <w:r w:rsidRPr="007F2045">
        <w:rPr>
          <w:rFonts w:ascii="Times New Roman" w:hAnsi="Times New Roman"/>
          <w:color w:val="000000" w:themeColor="text1"/>
          <w:sz w:val="28"/>
          <w:szCs w:val="28"/>
          <w:lang w:val="es-CO"/>
        </w:rPr>
        <w:t xml:space="preserve"> y, con posterioridad, en la</w:t>
      </w:r>
      <w:r w:rsidR="000A0987" w:rsidRPr="007F2045">
        <w:rPr>
          <w:rFonts w:ascii="Times New Roman" w:hAnsi="Times New Roman"/>
          <w:color w:val="000000" w:themeColor="text1"/>
          <w:sz w:val="28"/>
          <w:szCs w:val="28"/>
          <w:lang w:val="es-CO"/>
        </w:rPr>
        <w:t xml:space="preserve"> sentencia C-153 de 2022</w:t>
      </w:r>
      <w:r w:rsidRPr="007F2045">
        <w:rPr>
          <w:rFonts w:ascii="Times New Roman" w:hAnsi="Times New Roman"/>
          <w:color w:val="000000" w:themeColor="text1"/>
          <w:sz w:val="28"/>
          <w:szCs w:val="28"/>
          <w:lang w:val="es-CO"/>
        </w:rPr>
        <w:t xml:space="preserve">, </w:t>
      </w:r>
      <w:r w:rsidR="000A0987" w:rsidRPr="007F2045">
        <w:rPr>
          <w:rFonts w:ascii="Times New Roman" w:hAnsi="Times New Roman"/>
          <w:color w:val="000000" w:themeColor="text1"/>
          <w:sz w:val="28"/>
          <w:szCs w:val="28"/>
          <w:lang w:val="es-CO"/>
        </w:rPr>
        <w:t>declaró la inexequibilidad con efectos retroactivos del artículo 24 de la Ley 2159 de 2021</w:t>
      </w:r>
      <w:r w:rsidRPr="007F2045">
        <w:rPr>
          <w:rFonts w:ascii="Times New Roman" w:hAnsi="Times New Roman"/>
          <w:color w:val="000000" w:themeColor="text1"/>
          <w:sz w:val="28"/>
          <w:szCs w:val="28"/>
          <w:lang w:val="es-CO"/>
        </w:rPr>
        <w:t xml:space="preserve">. En </w:t>
      </w:r>
      <w:r w:rsidR="00575070" w:rsidRPr="007F2045">
        <w:rPr>
          <w:rFonts w:ascii="Times New Roman" w:hAnsi="Times New Roman"/>
          <w:color w:val="000000" w:themeColor="text1"/>
          <w:sz w:val="28"/>
          <w:szCs w:val="28"/>
          <w:lang w:val="es-CO"/>
        </w:rPr>
        <w:t xml:space="preserve">la citada </w:t>
      </w:r>
      <w:r w:rsidRPr="007F2045">
        <w:rPr>
          <w:rFonts w:ascii="Times New Roman" w:hAnsi="Times New Roman"/>
          <w:color w:val="000000" w:themeColor="text1"/>
          <w:sz w:val="28"/>
          <w:szCs w:val="28"/>
          <w:lang w:val="es-CO"/>
        </w:rPr>
        <w:t>sentencia</w:t>
      </w:r>
      <w:r w:rsidR="00575070" w:rsidRPr="007F2045">
        <w:rPr>
          <w:rFonts w:ascii="Times New Roman" w:hAnsi="Times New Roman"/>
          <w:color w:val="000000" w:themeColor="text1"/>
          <w:sz w:val="28"/>
          <w:szCs w:val="28"/>
          <w:lang w:val="es-CO"/>
        </w:rPr>
        <w:t>,</w:t>
      </w:r>
      <w:r w:rsidRPr="007F2045">
        <w:rPr>
          <w:rFonts w:ascii="Times New Roman" w:hAnsi="Times New Roman"/>
          <w:color w:val="000000" w:themeColor="text1"/>
          <w:sz w:val="28"/>
          <w:szCs w:val="28"/>
          <w:lang w:val="es-CO"/>
        </w:rPr>
        <w:t xml:space="preserve"> la Corte concluyó que el artículo 24 de </w:t>
      </w:r>
      <w:r w:rsidR="00575070" w:rsidRPr="007F2045">
        <w:rPr>
          <w:rFonts w:ascii="Times New Roman" w:hAnsi="Times New Roman"/>
          <w:color w:val="000000" w:themeColor="text1"/>
          <w:sz w:val="28"/>
          <w:szCs w:val="28"/>
          <w:lang w:val="es-CO"/>
        </w:rPr>
        <w:t>la ley en mención</w:t>
      </w:r>
      <w:r w:rsidRPr="007F2045">
        <w:rPr>
          <w:rFonts w:ascii="Times New Roman" w:hAnsi="Times New Roman"/>
          <w:color w:val="000000" w:themeColor="text1"/>
          <w:sz w:val="28"/>
          <w:szCs w:val="28"/>
          <w:lang w:val="es-CO"/>
        </w:rPr>
        <w:t xml:space="preserve"> </w:t>
      </w:r>
      <w:r w:rsidR="000A0987" w:rsidRPr="007F2045">
        <w:rPr>
          <w:rFonts w:ascii="Times New Roman" w:hAnsi="Times New Roman"/>
          <w:color w:val="000000" w:themeColor="text1"/>
          <w:sz w:val="28"/>
          <w:szCs w:val="28"/>
          <w:lang w:val="es-CO"/>
        </w:rPr>
        <w:t>había sido expedid</w:t>
      </w:r>
      <w:r w:rsidRPr="007F2045">
        <w:rPr>
          <w:rFonts w:ascii="Times New Roman" w:hAnsi="Times New Roman"/>
          <w:color w:val="000000" w:themeColor="text1"/>
          <w:sz w:val="28"/>
          <w:szCs w:val="28"/>
          <w:lang w:val="es-CO"/>
        </w:rPr>
        <w:t>o</w:t>
      </w:r>
      <w:r w:rsidR="000A0987" w:rsidRPr="007F2045">
        <w:rPr>
          <w:rFonts w:ascii="Times New Roman" w:hAnsi="Times New Roman"/>
          <w:color w:val="000000" w:themeColor="text1"/>
          <w:sz w:val="28"/>
          <w:szCs w:val="28"/>
          <w:lang w:val="es-CO"/>
        </w:rPr>
        <w:t xml:space="preserve"> con manifiesta violación de la Carta, y con una clara intención de eludir el control constitucional. </w:t>
      </w:r>
      <w:r w:rsidRPr="007F2045">
        <w:rPr>
          <w:rFonts w:ascii="Times New Roman" w:hAnsi="Times New Roman"/>
          <w:color w:val="000000" w:themeColor="text1"/>
          <w:sz w:val="28"/>
          <w:szCs w:val="28"/>
          <w:lang w:val="es-CO"/>
        </w:rPr>
        <w:t xml:space="preserve">De hecho, en </w:t>
      </w:r>
      <w:r w:rsidR="00575070" w:rsidRPr="007F2045">
        <w:rPr>
          <w:rFonts w:ascii="Times New Roman" w:hAnsi="Times New Roman"/>
          <w:color w:val="000000" w:themeColor="text1"/>
          <w:sz w:val="28"/>
          <w:szCs w:val="28"/>
          <w:lang w:val="es-CO"/>
        </w:rPr>
        <w:t>l</w:t>
      </w:r>
      <w:r w:rsidRPr="007F2045">
        <w:rPr>
          <w:rFonts w:ascii="Times New Roman" w:hAnsi="Times New Roman"/>
          <w:color w:val="000000" w:themeColor="text1"/>
          <w:sz w:val="28"/>
          <w:szCs w:val="28"/>
          <w:lang w:val="es-CO"/>
        </w:rPr>
        <w:t>a providencia, v</w:t>
      </w:r>
      <w:r w:rsidR="000A0987" w:rsidRPr="007F2045">
        <w:rPr>
          <w:rFonts w:ascii="Times New Roman" w:hAnsi="Times New Roman"/>
          <w:color w:val="000000" w:themeColor="text1"/>
          <w:sz w:val="28"/>
          <w:szCs w:val="28"/>
          <w:lang w:val="es-CO"/>
        </w:rPr>
        <w:t>arios magistrados aclararon su voto para señalar la necesidad de repensar la tesis sobre la improcedencia de las medidas preventivas en el control abstracto de constitucionalidad</w:t>
      </w:r>
      <w:r w:rsidR="000A0987" w:rsidRPr="007F2045">
        <w:rPr>
          <w:rFonts w:ascii="Times New Roman" w:hAnsi="Times New Roman"/>
          <w:color w:val="000000" w:themeColor="text1"/>
          <w:szCs w:val="28"/>
          <w:vertAlign w:val="superscript"/>
          <w:lang w:val="es-CO"/>
        </w:rPr>
        <w:footnoteReference w:id="14"/>
      </w:r>
      <w:r w:rsidR="000A0987" w:rsidRPr="007F2045">
        <w:rPr>
          <w:rFonts w:ascii="Times New Roman" w:hAnsi="Times New Roman"/>
          <w:color w:val="000000" w:themeColor="text1"/>
          <w:sz w:val="28"/>
          <w:szCs w:val="28"/>
          <w:lang w:val="es-CO"/>
        </w:rPr>
        <w:t>.</w:t>
      </w:r>
    </w:p>
    <w:p w14:paraId="25497DCE" w14:textId="77777777" w:rsidR="000A0987" w:rsidRPr="007F2045" w:rsidRDefault="000A0987" w:rsidP="001B5728">
      <w:pPr>
        <w:widowControl w:val="0"/>
        <w:tabs>
          <w:tab w:val="left" w:pos="284"/>
          <w:tab w:val="left" w:pos="426"/>
          <w:tab w:val="left" w:pos="567"/>
        </w:tabs>
        <w:autoSpaceDE w:val="0"/>
        <w:autoSpaceDN w:val="0"/>
        <w:adjustRightInd w:val="0"/>
        <w:spacing w:after="0" w:line="240" w:lineRule="auto"/>
        <w:rPr>
          <w:rFonts w:ascii="Times New Roman" w:hAnsi="Times New Roman"/>
          <w:color w:val="000000" w:themeColor="text1"/>
          <w:sz w:val="28"/>
          <w:szCs w:val="28"/>
          <w:lang w:val="es-CO"/>
        </w:rPr>
      </w:pPr>
    </w:p>
    <w:p w14:paraId="0F6C1FF4" w14:textId="77777777" w:rsidR="0AA6B19F" w:rsidRPr="007F2045" w:rsidRDefault="7417E5E6" w:rsidP="001B5728">
      <w:pPr>
        <w:widowControl w:val="0"/>
        <w:numPr>
          <w:ilvl w:val="0"/>
          <w:numId w:val="2"/>
        </w:numPr>
        <w:tabs>
          <w:tab w:val="left" w:pos="284"/>
          <w:tab w:val="left" w:pos="426"/>
          <w:tab w:val="left" w:pos="567"/>
        </w:tabs>
        <w:autoSpaceDE w:val="0"/>
        <w:autoSpaceDN w:val="0"/>
        <w:adjustRightInd w:val="0"/>
        <w:spacing w:after="0" w:line="240" w:lineRule="auto"/>
        <w:ind w:left="0" w:firstLine="0"/>
        <w:rPr>
          <w:rFonts w:ascii="Times New Roman" w:hAnsi="Times New Roman"/>
          <w:color w:val="000000" w:themeColor="text1"/>
          <w:sz w:val="28"/>
          <w:szCs w:val="28"/>
          <w:lang w:val="es-CO"/>
        </w:rPr>
      </w:pPr>
      <w:r w:rsidRPr="007F2045">
        <w:rPr>
          <w:rFonts w:ascii="Times New Roman" w:hAnsi="Times New Roman"/>
          <w:color w:val="000000" w:themeColor="text1"/>
          <w:sz w:val="28"/>
          <w:szCs w:val="28"/>
          <w:lang w:val="es-CO"/>
        </w:rPr>
        <w:t xml:space="preserve">Podría decirse que </w:t>
      </w:r>
      <w:r w:rsidR="001B75AD" w:rsidRPr="007F2045">
        <w:rPr>
          <w:rFonts w:ascii="Times New Roman" w:hAnsi="Times New Roman"/>
          <w:color w:val="000000" w:themeColor="text1"/>
          <w:sz w:val="28"/>
          <w:szCs w:val="28"/>
          <w:lang w:val="es-CO"/>
        </w:rPr>
        <w:t xml:space="preserve">con ese antecedente sobre la inexequibilidad </w:t>
      </w:r>
      <w:r w:rsidR="00247CB5" w:rsidRPr="007F2045">
        <w:rPr>
          <w:rFonts w:ascii="Times New Roman" w:hAnsi="Times New Roman"/>
          <w:color w:val="000000" w:themeColor="text1"/>
          <w:sz w:val="28"/>
          <w:szCs w:val="28"/>
          <w:lang w:val="es-CO"/>
        </w:rPr>
        <w:t xml:space="preserve">del </w:t>
      </w:r>
      <w:r w:rsidR="001B75AD" w:rsidRPr="007F2045">
        <w:rPr>
          <w:rFonts w:ascii="Times New Roman" w:hAnsi="Times New Roman"/>
          <w:color w:val="000000" w:themeColor="text1"/>
          <w:sz w:val="28"/>
          <w:szCs w:val="28"/>
          <w:lang w:val="es-CO"/>
        </w:rPr>
        <w:t xml:space="preserve">artículo 24 de la Ley 2159 de 2021 se </w:t>
      </w:r>
      <w:r w:rsidRPr="007F2045">
        <w:rPr>
          <w:rFonts w:ascii="Times New Roman" w:hAnsi="Times New Roman"/>
          <w:color w:val="000000" w:themeColor="text1"/>
          <w:sz w:val="28"/>
          <w:szCs w:val="28"/>
          <w:lang w:val="es-CO"/>
        </w:rPr>
        <w:t xml:space="preserve">cerró </w:t>
      </w:r>
      <w:r w:rsidR="00344F9E" w:rsidRPr="007F2045">
        <w:rPr>
          <w:rFonts w:ascii="Times New Roman" w:hAnsi="Times New Roman"/>
          <w:color w:val="000000" w:themeColor="text1"/>
          <w:sz w:val="28"/>
          <w:szCs w:val="28"/>
          <w:lang w:val="es-CO"/>
        </w:rPr>
        <w:t xml:space="preserve">un </w:t>
      </w:r>
      <w:r w:rsidRPr="007F2045">
        <w:rPr>
          <w:rFonts w:ascii="Times New Roman" w:hAnsi="Times New Roman"/>
          <w:color w:val="000000" w:themeColor="text1"/>
          <w:sz w:val="28"/>
          <w:szCs w:val="28"/>
          <w:lang w:val="es-CO"/>
        </w:rPr>
        <w:t xml:space="preserve">primer periodo </w:t>
      </w:r>
      <w:r w:rsidR="0D66C27F" w:rsidRPr="007F2045">
        <w:rPr>
          <w:rFonts w:ascii="Times New Roman" w:hAnsi="Times New Roman"/>
          <w:color w:val="000000" w:themeColor="text1"/>
          <w:sz w:val="28"/>
          <w:szCs w:val="28"/>
          <w:lang w:val="es-CO"/>
        </w:rPr>
        <w:t>jurisprudencial, en el cual, pese a que hubo voces tanto de los</w:t>
      </w:r>
      <w:r w:rsidR="00310359" w:rsidRPr="007F2045">
        <w:rPr>
          <w:rFonts w:ascii="Times New Roman" w:hAnsi="Times New Roman"/>
          <w:color w:val="000000" w:themeColor="text1"/>
          <w:sz w:val="28"/>
          <w:szCs w:val="28"/>
          <w:lang w:val="es-CO"/>
        </w:rPr>
        <w:t xml:space="preserve"> ciudadanos que acudían a la jurisdicción constitucional</w:t>
      </w:r>
      <w:r w:rsidR="001B2F79" w:rsidRPr="007F2045">
        <w:rPr>
          <w:rFonts w:ascii="Times New Roman" w:hAnsi="Times New Roman"/>
          <w:color w:val="000000" w:themeColor="text1"/>
          <w:sz w:val="28"/>
          <w:szCs w:val="28"/>
          <w:lang w:val="es-CO"/>
        </w:rPr>
        <w:t>,</w:t>
      </w:r>
      <w:r w:rsidR="0D66C27F" w:rsidRPr="007F2045">
        <w:rPr>
          <w:rFonts w:ascii="Times New Roman" w:hAnsi="Times New Roman"/>
          <w:color w:val="000000" w:themeColor="text1"/>
          <w:sz w:val="28"/>
          <w:szCs w:val="28"/>
          <w:lang w:val="es-CO"/>
        </w:rPr>
        <w:t xml:space="preserve"> como de algunos integrantes de la Corporación </w:t>
      </w:r>
      <w:r w:rsidR="1A8E1A57" w:rsidRPr="007F2045">
        <w:rPr>
          <w:rFonts w:ascii="Times New Roman" w:hAnsi="Times New Roman"/>
          <w:color w:val="000000" w:themeColor="text1"/>
          <w:sz w:val="28"/>
          <w:szCs w:val="28"/>
          <w:lang w:val="es-CO"/>
        </w:rPr>
        <w:t xml:space="preserve">en torno a la procedencia de la suspensión provisional en el control </w:t>
      </w:r>
      <w:r w:rsidR="00382676" w:rsidRPr="007F2045">
        <w:rPr>
          <w:rFonts w:ascii="Times New Roman" w:hAnsi="Times New Roman"/>
          <w:color w:val="000000" w:themeColor="text1"/>
          <w:sz w:val="28"/>
          <w:szCs w:val="28"/>
          <w:lang w:val="es-CO"/>
        </w:rPr>
        <w:t xml:space="preserve">abstracto </w:t>
      </w:r>
      <w:r w:rsidR="1A8E1A57" w:rsidRPr="007F2045">
        <w:rPr>
          <w:rFonts w:ascii="Times New Roman" w:hAnsi="Times New Roman"/>
          <w:color w:val="000000" w:themeColor="text1"/>
          <w:sz w:val="28"/>
          <w:szCs w:val="28"/>
          <w:lang w:val="es-CO"/>
        </w:rPr>
        <w:t xml:space="preserve">de constitucionalidad, la </w:t>
      </w:r>
      <w:r w:rsidR="00344F9E" w:rsidRPr="007F2045">
        <w:rPr>
          <w:rFonts w:ascii="Times New Roman" w:hAnsi="Times New Roman"/>
          <w:color w:val="000000" w:themeColor="text1"/>
          <w:sz w:val="28"/>
          <w:szCs w:val="28"/>
          <w:lang w:val="es-CO"/>
        </w:rPr>
        <w:t xml:space="preserve">posición mayoritaria de la Sala Plena </w:t>
      </w:r>
      <w:r w:rsidR="1A8E1A57" w:rsidRPr="007F2045">
        <w:rPr>
          <w:rFonts w:ascii="Times New Roman" w:hAnsi="Times New Roman"/>
          <w:color w:val="000000" w:themeColor="text1"/>
          <w:sz w:val="28"/>
          <w:szCs w:val="28"/>
          <w:lang w:val="es-CO"/>
        </w:rPr>
        <w:t xml:space="preserve">se mantuvo en que no existía un fundamento normativo </w:t>
      </w:r>
      <w:r w:rsidR="005A2A7F" w:rsidRPr="007F2045">
        <w:rPr>
          <w:rFonts w:ascii="Times New Roman" w:hAnsi="Times New Roman"/>
          <w:color w:val="000000" w:themeColor="text1"/>
          <w:sz w:val="28"/>
          <w:szCs w:val="28"/>
          <w:lang w:val="es-CO"/>
        </w:rPr>
        <w:t xml:space="preserve">específico </w:t>
      </w:r>
      <w:r w:rsidR="1A8E1A57" w:rsidRPr="007F2045">
        <w:rPr>
          <w:rFonts w:ascii="Times New Roman" w:hAnsi="Times New Roman"/>
          <w:color w:val="000000" w:themeColor="text1"/>
          <w:sz w:val="28"/>
          <w:szCs w:val="28"/>
          <w:lang w:val="es-CO"/>
        </w:rPr>
        <w:t>que le otorgara esa potestad.</w:t>
      </w:r>
    </w:p>
    <w:p w14:paraId="42129E7F" w14:textId="77777777" w:rsidR="56BB44C9" w:rsidRPr="007F2045" w:rsidRDefault="56BB44C9" w:rsidP="001B5728">
      <w:pPr>
        <w:pStyle w:val="Prrafodelista"/>
        <w:tabs>
          <w:tab w:val="left" w:pos="426"/>
          <w:tab w:val="left" w:pos="567"/>
        </w:tabs>
        <w:spacing w:after="0" w:line="240" w:lineRule="auto"/>
        <w:ind w:left="0"/>
        <w:rPr>
          <w:rFonts w:ascii="Times New Roman" w:hAnsi="Times New Roman"/>
          <w:color w:val="4472C4" w:themeColor="accent1"/>
          <w:sz w:val="28"/>
          <w:szCs w:val="28"/>
          <w:lang w:val="es-CO"/>
        </w:rPr>
      </w:pPr>
    </w:p>
    <w:p w14:paraId="5F573338" w14:textId="77777777" w:rsidR="00D35C92" w:rsidRPr="007F2045" w:rsidRDefault="18E97D80" w:rsidP="001B5728">
      <w:pPr>
        <w:widowControl w:val="0"/>
        <w:numPr>
          <w:ilvl w:val="0"/>
          <w:numId w:val="2"/>
        </w:numPr>
        <w:tabs>
          <w:tab w:val="left" w:pos="284"/>
          <w:tab w:val="left" w:pos="426"/>
          <w:tab w:val="left" w:pos="567"/>
        </w:tabs>
        <w:autoSpaceDE w:val="0"/>
        <w:autoSpaceDN w:val="0"/>
        <w:adjustRightInd w:val="0"/>
        <w:spacing w:after="0" w:line="240" w:lineRule="auto"/>
        <w:ind w:left="0" w:firstLine="0"/>
        <w:rPr>
          <w:rFonts w:ascii="Times New Roman" w:hAnsi="Times New Roman"/>
          <w:color w:val="4472C4" w:themeColor="accent1"/>
          <w:sz w:val="28"/>
          <w:szCs w:val="28"/>
          <w:lang w:val="es-CO"/>
        </w:rPr>
      </w:pPr>
      <w:r w:rsidRPr="007F2045">
        <w:rPr>
          <w:rFonts w:ascii="Times New Roman" w:hAnsi="Times New Roman"/>
          <w:sz w:val="28"/>
          <w:szCs w:val="28"/>
          <w:lang w:val="es-CO"/>
        </w:rPr>
        <w:t>Posteriormente, c</w:t>
      </w:r>
      <w:r w:rsidR="098EC294" w:rsidRPr="007F2045">
        <w:rPr>
          <w:rFonts w:ascii="Times New Roman" w:hAnsi="Times New Roman"/>
          <w:sz w:val="28"/>
          <w:szCs w:val="28"/>
          <w:lang w:val="es-CO"/>
        </w:rPr>
        <w:t xml:space="preserve">on </w:t>
      </w:r>
      <w:r w:rsidR="7E3A45DC" w:rsidRPr="007F2045">
        <w:rPr>
          <w:rFonts w:ascii="Times New Roman" w:hAnsi="Times New Roman"/>
          <w:sz w:val="28"/>
          <w:szCs w:val="28"/>
          <w:lang w:val="es-CO"/>
        </w:rPr>
        <w:t>e</w:t>
      </w:r>
      <w:r w:rsidR="098EC294" w:rsidRPr="007F2045">
        <w:rPr>
          <w:rFonts w:ascii="Times New Roman" w:hAnsi="Times New Roman"/>
          <w:sz w:val="28"/>
          <w:szCs w:val="28"/>
          <w:lang w:val="es-CO"/>
        </w:rPr>
        <w:t>l auto 272 de 2023</w:t>
      </w:r>
      <w:r w:rsidR="005A2A7F" w:rsidRPr="007F2045">
        <w:rPr>
          <w:rFonts w:ascii="Times New Roman" w:hAnsi="Times New Roman"/>
          <w:sz w:val="28"/>
          <w:szCs w:val="28"/>
          <w:lang w:val="es-CO"/>
        </w:rPr>
        <w:t>,</w:t>
      </w:r>
      <w:r w:rsidR="43B0508D" w:rsidRPr="007F2045">
        <w:rPr>
          <w:rFonts w:ascii="Times New Roman" w:hAnsi="Times New Roman"/>
          <w:sz w:val="28"/>
          <w:szCs w:val="28"/>
          <w:lang w:val="es-CO"/>
        </w:rPr>
        <w:t xml:space="preserve"> la Corte varió su postura </w:t>
      </w:r>
      <w:r w:rsidR="00D35C92" w:rsidRPr="007F2045">
        <w:rPr>
          <w:rFonts w:ascii="Times New Roman" w:hAnsi="Times New Roman"/>
          <w:sz w:val="28"/>
          <w:szCs w:val="28"/>
          <w:lang w:val="es-CO"/>
        </w:rPr>
        <w:t>y</w:t>
      </w:r>
      <w:r w:rsidR="43B0508D" w:rsidRPr="007F2045">
        <w:rPr>
          <w:rFonts w:ascii="Times New Roman" w:hAnsi="Times New Roman"/>
          <w:sz w:val="28"/>
          <w:szCs w:val="28"/>
          <w:lang w:val="es-CO"/>
        </w:rPr>
        <w:t xml:space="preserve"> dio lugar a </w:t>
      </w:r>
      <w:r w:rsidR="098EC294" w:rsidRPr="007F2045">
        <w:rPr>
          <w:rFonts w:ascii="Times New Roman" w:hAnsi="Times New Roman"/>
          <w:sz w:val="28"/>
          <w:szCs w:val="28"/>
          <w:lang w:val="es-CO"/>
        </w:rPr>
        <w:t>un segund</w:t>
      </w:r>
      <w:r w:rsidR="005376C3" w:rsidRPr="007F2045">
        <w:rPr>
          <w:rFonts w:ascii="Times New Roman" w:hAnsi="Times New Roman"/>
          <w:sz w:val="28"/>
          <w:szCs w:val="28"/>
          <w:lang w:val="es-CO"/>
        </w:rPr>
        <w:t>o</w:t>
      </w:r>
      <w:r w:rsidR="098EC294" w:rsidRPr="007F2045">
        <w:rPr>
          <w:rFonts w:ascii="Times New Roman" w:hAnsi="Times New Roman"/>
          <w:sz w:val="28"/>
          <w:szCs w:val="28"/>
          <w:lang w:val="es-CO"/>
        </w:rPr>
        <w:t xml:space="preserve"> </w:t>
      </w:r>
      <w:r w:rsidR="00DB7330" w:rsidRPr="007F2045">
        <w:rPr>
          <w:rFonts w:ascii="Times New Roman" w:hAnsi="Times New Roman"/>
          <w:sz w:val="28"/>
          <w:szCs w:val="28"/>
          <w:lang w:val="es-CO"/>
        </w:rPr>
        <w:t xml:space="preserve">periodo </w:t>
      </w:r>
      <w:r w:rsidR="57885F95" w:rsidRPr="007F2045">
        <w:rPr>
          <w:rFonts w:ascii="Times New Roman" w:hAnsi="Times New Roman"/>
          <w:sz w:val="28"/>
          <w:szCs w:val="28"/>
          <w:lang w:val="es-CO"/>
        </w:rPr>
        <w:t xml:space="preserve">en </w:t>
      </w:r>
      <w:r w:rsidR="00DB7330" w:rsidRPr="007F2045">
        <w:rPr>
          <w:rFonts w:ascii="Times New Roman" w:hAnsi="Times New Roman"/>
          <w:sz w:val="28"/>
          <w:szCs w:val="28"/>
          <w:lang w:val="es-CO"/>
        </w:rPr>
        <w:t xml:space="preserve">el </w:t>
      </w:r>
      <w:r w:rsidR="57885F95" w:rsidRPr="007F2045">
        <w:rPr>
          <w:rFonts w:ascii="Times New Roman" w:hAnsi="Times New Roman"/>
          <w:sz w:val="28"/>
          <w:szCs w:val="28"/>
          <w:lang w:val="es-CO"/>
        </w:rPr>
        <w:t xml:space="preserve">que </w:t>
      </w:r>
      <w:r w:rsidR="00D35C92" w:rsidRPr="007F2045">
        <w:rPr>
          <w:rFonts w:ascii="Times New Roman" w:hAnsi="Times New Roman"/>
          <w:sz w:val="28"/>
          <w:szCs w:val="28"/>
          <w:lang w:val="es-CO"/>
        </w:rPr>
        <w:t xml:space="preserve">se </w:t>
      </w:r>
      <w:r w:rsidR="57885F95" w:rsidRPr="007F2045">
        <w:rPr>
          <w:rFonts w:ascii="Times New Roman" w:hAnsi="Times New Roman"/>
          <w:sz w:val="28"/>
          <w:szCs w:val="28"/>
          <w:lang w:val="es-CO"/>
        </w:rPr>
        <w:t>admit</w:t>
      </w:r>
      <w:r w:rsidR="00DB7330" w:rsidRPr="007F2045">
        <w:rPr>
          <w:rFonts w:ascii="Times New Roman" w:hAnsi="Times New Roman"/>
          <w:sz w:val="28"/>
          <w:szCs w:val="28"/>
          <w:lang w:val="es-CO"/>
        </w:rPr>
        <w:t>e</w:t>
      </w:r>
      <w:r w:rsidR="57885F95" w:rsidRPr="007F2045">
        <w:rPr>
          <w:rFonts w:ascii="Times New Roman" w:hAnsi="Times New Roman"/>
          <w:sz w:val="28"/>
          <w:szCs w:val="28"/>
          <w:lang w:val="es-CO"/>
        </w:rPr>
        <w:t xml:space="preserve"> la procedencia </w:t>
      </w:r>
      <w:r w:rsidR="00865163" w:rsidRPr="007F2045">
        <w:rPr>
          <w:rFonts w:ascii="Times New Roman" w:hAnsi="Times New Roman"/>
          <w:sz w:val="28"/>
          <w:szCs w:val="28"/>
          <w:lang w:val="es-CO"/>
        </w:rPr>
        <w:t xml:space="preserve">excepcional </w:t>
      </w:r>
      <w:r w:rsidR="57885F95" w:rsidRPr="007F2045">
        <w:rPr>
          <w:rFonts w:ascii="Times New Roman" w:hAnsi="Times New Roman"/>
          <w:sz w:val="28"/>
          <w:szCs w:val="28"/>
          <w:lang w:val="es-CO"/>
        </w:rPr>
        <w:t>de solicitudes de suspensión provisional, aunque no decretó ninguna</w:t>
      </w:r>
      <w:r w:rsidR="098EC294" w:rsidRPr="007F2045">
        <w:rPr>
          <w:rFonts w:ascii="Times New Roman" w:hAnsi="Times New Roman"/>
          <w:sz w:val="28"/>
          <w:szCs w:val="28"/>
          <w:lang w:val="es-CO"/>
        </w:rPr>
        <w:t xml:space="preserve">. </w:t>
      </w:r>
      <w:r w:rsidR="245B5E23" w:rsidRPr="007F2045">
        <w:rPr>
          <w:rFonts w:ascii="Times New Roman" w:hAnsi="Times New Roman"/>
          <w:sz w:val="28"/>
          <w:szCs w:val="28"/>
          <w:lang w:val="es-CO"/>
        </w:rPr>
        <w:t>En</w:t>
      </w:r>
      <w:r w:rsidR="511C45A7" w:rsidRPr="007F2045">
        <w:rPr>
          <w:rFonts w:ascii="Times New Roman" w:hAnsi="Times New Roman"/>
          <w:sz w:val="28"/>
          <w:szCs w:val="28"/>
          <w:lang w:val="es-CO"/>
        </w:rPr>
        <w:t xml:space="preserve"> esa </w:t>
      </w:r>
      <w:r w:rsidR="245B5E23" w:rsidRPr="007F2045">
        <w:rPr>
          <w:rFonts w:ascii="Times New Roman" w:hAnsi="Times New Roman"/>
          <w:sz w:val="28"/>
          <w:szCs w:val="28"/>
          <w:lang w:val="es-CO"/>
        </w:rPr>
        <w:t>providencia,</w:t>
      </w:r>
      <w:r w:rsidR="475CAE5D" w:rsidRPr="007F2045">
        <w:rPr>
          <w:rFonts w:ascii="Times New Roman" w:hAnsi="Times New Roman"/>
          <w:sz w:val="28"/>
          <w:szCs w:val="28"/>
          <w:lang w:val="es-CO"/>
        </w:rPr>
        <w:t xml:space="preserve"> </w:t>
      </w:r>
      <w:r w:rsidR="00155AA2" w:rsidRPr="007F2045">
        <w:rPr>
          <w:rFonts w:ascii="Times New Roman" w:hAnsi="Times New Roman"/>
          <w:color w:val="000000" w:themeColor="text1"/>
          <w:sz w:val="28"/>
          <w:szCs w:val="28"/>
          <w:lang w:val="es-CO"/>
        </w:rPr>
        <w:t>la Cor</w:t>
      </w:r>
      <w:r w:rsidR="0020197F" w:rsidRPr="007F2045">
        <w:rPr>
          <w:rFonts w:ascii="Times New Roman" w:hAnsi="Times New Roman"/>
          <w:color w:val="000000" w:themeColor="text1"/>
          <w:sz w:val="28"/>
          <w:szCs w:val="28"/>
          <w:lang w:val="es-CO"/>
        </w:rPr>
        <w:t>poración</w:t>
      </w:r>
      <w:r w:rsidR="00155AA2" w:rsidRPr="007F2045">
        <w:rPr>
          <w:rFonts w:ascii="Times New Roman" w:hAnsi="Times New Roman"/>
          <w:color w:val="000000" w:themeColor="text1"/>
          <w:sz w:val="28"/>
          <w:szCs w:val="28"/>
          <w:lang w:val="es-CO"/>
        </w:rPr>
        <w:t xml:space="preserve"> </w:t>
      </w:r>
      <w:r w:rsidR="00575070" w:rsidRPr="007F2045">
        <w:rPr>
          <w:rFonts w:ascii="Times New Roman" w:hAnsi="Times New Roman"/>
          <w:color w:val="000000" w:themeColor="text1"/>
          <w:sz w:val="28"/>
          <w:szCs w:val="28"/>
          <w:lang w:val="es-CO"/>
        </w:rPr>
        <w:t>admiti</w:t>
      </w:r>
      <w:r w:rsidR="00155AA2" w:rsidRPr="007F2045">
        <w:rPr>
          <w:rFonts w:ascii="Times New Roman" w:hAnsi="Times New Roman"/>
          <w:color w:val="000000" w:themeColor="text1"/>
          <w:sz w:val="28"/>
          <w:szCs w:val="28"/>
          <w:lang w:val="es-CO"/>
        </w:rPr>
        <w:t xml:space="preserve">ó que el proceso </w:t>
      </w:r>
      <w:r w:rsidR="0020197F" w:rsidRPr="007F2045">
        <w:rPr>
          <w:rFonts w:ascii="Times New Roman" w:hAnsi="Times New Roman"/>
          <w:color w:val="000000" w:themeColor="text1"/>
          <w:sz w:val="28"/>
          <w:szCs w:val="28"/>
          <w:lang w:val="es-CO"/>
        </w:rPr>
        <w:t xml:space="preserve">decidido </w:t>
      </w:r>
      <w:r w:rsidR="00155AA2" w:rsidRPr="007F2045">
        <w:rPr>
          <w:rFonts w:ascii="Times New Roman" w:hAnsi="Times New Roman"/>
          <w:color w:val="000000" w:themeColor="text1"/>
          <w:sz w:val="28"/>
          <w:szCs w:val="28"/>
          <w:lang w:val="es-CO"/>
        </w:rPr>
        <w:t>mediante la sentencia C-153 de 2022 fue determinante</w:t>
      </w:r>
      <w:r w:rsidR="00575070" w:rsidRPr="007F2045">
        <w:rPr>
          <w:rFonts w:ascii="Times New Roman" w:hAnsi="Times New Roman"/>
          <w:color w:val="000000" w:themeColor="text1"/>
          <w:sz w:val="28"/>
          <w:szCs w:val="28"/>
          <w:lang w:val="es-CO"/>
        </w:rPr>
        <w:t>,</w:t>
      </w:r>
      <w:r w:rsidR="00155AA2" w:rsidRPr="007F2045">
        <w:rPr>
          <w:rFonts w:ascii="Times New Roman" w:hAnsi="Times New Roman"/>
          <w:color w:val="000000" w:themeColor="text1"/>
          <w:sz w:val="28"/>
          <w:szCs w:val="28"/>
          <w:lang w:val="es-CO"/>
        </w:rPr>
        <w:t xml:space="preserve"> para</w:t>
      </w:r>
      <w:r w:rsidR="00247CB5" w:rsidRPr="007F2045">
        <w:rPr>
          <w:rFonts w:ascii="Times New Roman" w:hAnsi="Times New Roman"/>
          <w:color w:val="000000" w:themeColor="text1"/>
          <w:sz w:val="28"/>
          <w:szCs w:val="28"/>
          <w:lang w:val="es-CO"/>
        </w:rPr>
        <w:t xml:space="preserve"> constatar </w:t>
      </w:r>
      <w:r w:rsidR="00155AA2" w:rsidRPr="007F2045">
        <w:rPr>
          <w:rFonts w:ascii="Times New Roman" w:hAnsi="Times New Roman"/>
          <w:color w:val="000000" w:themeColor="text1"/>
          <w:sz w:val="28"/>
          <w:szCs w:val="28"/>
          <w:lang w:val="es-CO"/>
        </w:rPr>
        <w:t xml:space="preserve">que la modulación temporal de los fallos y la facultad para dar trámite de urgencia </w:t>
      </w:r>
      <w:r w:rsidR="0020197F" w:rsidRPr="007F2045">
        <w:rPr>
          <w:rFonts w:ascii="Times New Roman" w:hAnsi="Times New Roman"/>
          <w:color w:val="000000" w:themeColor="text1"/>
          <w:sz w:val="28"/>
          <w:szCs w:val="28"/>
          <w:lang w:val="es-CO"/>
        </w:rPr>
        <w:t xml:space="preserve">a los procesos </w:t>
      </w:r>
      <w:r w:rsidR="00155AA2" w:rsidRPr="007F2045">
        <w:rPr>
          <w:rFonts w:ascii="Times New Roman" w:hAnsi="Times New Roman"/>
          <w:color w:val="000000" w:themeColor="text1"/>
          <w:sz w:val="28"/>
          <w:szCs w:val="28"/>
          <w:lang w:val="es-CO"/>
        </w:rPr>
        <w:t xml:space="preserve">podían </w:t>
      </w:r>
      <w:r w:rsidR="0020197F" w:rsidRPr="007F2045">
        <w:rPr>
          <w:rFonts w:ascii="Times New Roman" w:hAnsi="Times New Roman"/>
          <w:color w:val="000000" w:themeColor="text1"/>
          <w:sz w:val="28"/>
          <w:szCs w:val="28"/>
          <w:lang w:val="es-CO"/>
        </w:rPr>
        <w:t>resultar</w:t>
      </w:r>
      <w:r w:rsidR="00155AA2" w:rsidRPr="007F2045">
        <w:rPr>
          <w:rFonts w:ascii="Times New Roman" w:hAnsi="Times New Roman"/>
          <w:color w:val="000000" w:themeColor="text1"/>
          <w:sz w:val="28"/>
          <w:szCs w:val="28"/>
          <w:lang w:val="es-CO"/>
        </w:rPr>
        <w:t xml:space="preserve"> insuficientes para proteger la integridad de la Carta</w:t>
      </w:r>
      <w:r w:rsidR="00575070" w:rsidRPr="007F2045">
        <w:rPr>
          <w:rFonts w:ascii="Times New Roman" w:hAnsi="Times New Roman"/>
          <w:color w:val="000000" w:themeColor="text1"/>
          <w:sz w:val="28"/>
          <w:szCs w:val="28"/>
          <w:lang w:val="es-CO"/>
        </w:rPr>
        <w:t>,</w:t>
      </w:r>
      <w:r w:rsidR="00155AA2" w:rsidRPr="007F2045">
        <w:rPr>
          <w:rFonts w:ascii="Times New Roman" w:hAnsi="Times New Roman"/>
          <w:color w:val="000000" w:themeColor="text1"/>
          <w:sz w:val="28"/>
          <w:szCs w:val="28"/>
          <w:lang w:val="es-CO"/>
        </w:rPr>
        <w:t xml:space="preserve"> </w:t>
      </w:r>
      <w:r w:rsidR="0020197F" w:rsidRPr="007F2045">
        <w:rPr>
          <w:rFonts w:ascii="Times New Roman" w:hAnsi="Times New Roman"/>
          <w:color w:val="000000" w:themeColor="text1"/>
          <w:sz w:val="28"/>
          <w:szCs w:val="28"/>
          <w:lang w:val="es-CO"/>
        </w:rPr>
        <w:t>frente a los</w:t>
      </w:r>
      <w:r w:rsidR="00155AA2" w:rsidRPr="007F2045">
        <w:rPr>
          <w:rFonts w:ascii="Times New Roman" w:hAnsi="Times New Roman"/>
          <w:color w:val="000000" w:themeColor="text1"/>
          <w:sz w:val="28"/>
          <w:szCs w:val="28"/>
          <w:lang w:val="es-CO"/>
        </w:rPr>
        <w:t xml:space="preserve"> efectos graves e irreversibles de normas manifiestamente inconstitucionales. </w:t>
      </w:r>
      <w:r w:rsidR="00575070" w:rsidRPr="007F2045">
        <w:rPr>
          <w:rFonts w:ascii="Times New Roman" w:hAnsi="Times New Roman"/>
          <w:color w:val="000000" w:themeColor="text1"/>
          <w:sz w:val="28"/>
          <w:szCs w:val="28"/>
          <w:lang w:val="es-CO"/>
        </w:rPr>
        <w:t>Por ende</w:t>
      </w:r>
      <w:r w:rsidR="00155AA2" w:rsidRPr="007F2045">
        <w:rPr>
          <w:rFonts w:ascii="Times New Roman" w:hAnsi="Times New Roman"/>
          <w:color w:val="000000" w:themeColor="text1"/>
          <w:sz w:val="28"/>
          <w:szCs w:val="28"/>
          <w:lang w:val="es-CO"/>
        </w:rPr>
        <w:t xml:space="preserve">, concluyó </w:t>
      </w:r>
      <w:r w:rsidR="00D35C92" w:rsidRPr="007F2045">
        <w:rPr>
          <w:rFonts w:ascii="Times New Roman" w:hAnsi="Times New Roman"/>
          <w:color w:val="000000" w:themeColor="text1"/>
          <w:sz w:val="28"/>
          <w:szCs w:val="28"/>
          <w:lang w:val="es-CO"/>
        </w:rPr>
        <w:t>que</w:t>
      </w:r>
      <w:r w:rsidR="0020197F" w:rsidRPr="007F2045">
        <w:rPr>
          <w:rFonts w:ascii="Times New Roman" w:hAnsi="Times New Roman"/>
          <w:color w:val="000000" w:themeColor="text1"/>
          <w:sz w:val="28"/>
          <w:szCs w:val="28"/>
          <w:lang w:val="es-CO"/>
        </w:rPr>
        <w:t xml:space="preserve"> </w:t>
      </w:r>
      <w:r w:rsidR="00D35C92" w:rsidRPr="007F2045">
        <w:rPr>
          <w:rFonts w:ascii="Times New Roman" w:hAnsi="Times New Roman"/>
          <w:color w:val="000000" w:themeColor="text1"/>
          <w:sz w:val="28"/>
          <w:szCs w:val="28"/>
          <w:lang w:val="es-CO"/>
        </w:rPr>
        <w:t>era necesario</w:t>
      </w:r>
      <w:r w:rsidR="00155AA2" w:rsidRPr="007F2045">
        <w:rPr>
          <w:rFonts w:ascii="Times New Roman" w:hAnsi="Times New Roman"/>
          <w:color w:val="000000" w:themeColor="text1"/>
          <w:sz w:val="28"/>
          <w:szCs w:val="28"/>
          <w:lang w:val="es-CO"/>
        </w:rPr>
        <w:t xml:space="preserve"> modificar su tesis sobre la improcedencia de la suspensión provisional en el control abstracto de constitucionalidad.</w:t>
      </w:r>
    </w:p>
    <w:p w14:paraId="2F54D751" w14:textId="77777777" w:rsidR="00D35C92" w:rsidRPr="007F2045" w:rsidRDefault="00D35C92" w:rsidP="001B5728">
      <w:pPr>
        <w:widowControl w:val="0"/>
        <w:tabs>
          <w:tab w:val="left" w:pos="284"/>
          <w:tab w:val="left" w:pos="426"/>
          <w:tab w:val="left" w:pos="567"/>
        </w:tabs>
        <w:autoSpaceDE w:val="0"/>
        <w:autoSpaceDN w:val="0"/>
        <w:adjustRightInd w:val="0"/>
        <w:spacing w:after="0" w:line="240" w:lineRule="auto"/>
        <w:rPr>
          <w:rFonts w:ascii="Times New Roman" w:hAnsi="Times New Roman"/>
          <w:color w:val="4472C4" w:themeColor="accent1"/>
          <w:sz w:val="28"/>
          <w:szCs w:val="28"/>
          <w:lang w:val="es-CO"/>
        </w:rPr>
      </w:pPr>
    </w:p>
    <w:p w14:paraId="64D50E73" w14:textId="77777777" w:rsidR="0AA6B19F" w:rsidRPr="007F2045" w:rsidRDefault="00155AA2" w:rsidP="001B5728">
      <w:pPr>
        <w:widowControl w:val="0"/>
        <w:numPr>
          <w:ilvl w:val="0"/>
          <w:numId w:val="2"/>
        </w:numPr>
        <w:tabs>
          <w:tab w:val="left" w:pos="284"/>
          <w:tab w:val="left" w:pos="426"/>
          <w:tab w:val="left" w:pos="567"/>
        </w:tabs>
        <w:autoSpaceDE w:val="0"/>
        <w:autoSpaceDN w:val="0"/>
        <w:adjustRightInd w:val="0"/>
        <w:spacing w:after="0" w:line="240" w:lineRule="auto"/>
        <w:ind w:left="0" w:firstLine="0"/>
        <w:rPr>
          <w:rFonts w:ascii="Times New Roman" w:hAnsi="Times New Roman"/>
          <w:color w:val="4472C4" w:themeColor="accent1"/>
          <w:sz w:val="28"/>
          <w:szCs w:val="28"/>
          <w:lang w:val="es-CO"/>
        </w:rPr>
      </w:pPr>
      <w:r w:rsidRPr="007F2045">
        <w:rPr>
          <w:rFonts w:ascii="Times New Roman" w:hAnsi="Times New Roman"/>
          <w:sz w:val="28"/>
          <w:szCs w:val="28"/>
          <w:lang w:val="es-CO"/>
        </w:rPr>
        <w:t xml:space="preserve">Así, en el mencionado auto se </w:t>
      </w:r>
      <w:r w:rsidR="43D54947" w:rsidRPr="007F2045">
        <w:rPr>
          <w:rFonts w:ascii="Times New Roman" w:hAnsi="Times New Roman"/>
          <w:sz w:val="28"/>
          <w:szCs w:val="28"/>
          <w:lang w:val="es-CO"/>
        </w:rPr>
        <w:t>determinó que</w:t>
      </w:r>
      <w:r w:rsidR="475CAE5D" w:rsidRPr="007F2045">
        <w:rPr>
          <w:rFonts w:ascii="Times New Roman" w:hAnsi="Times New Roman"/>
          <w:sz w:val="28"/>
          <w:szCs w:val="28"/>
          <w:lang w:val="es-CO"/>
        </w:rPr>
        <w:t xml:space="preserve"> del artículo 4° de la Carta</w:t>
      </w:r>
      <w:r w:rsidR="505167AF" w:rsidRPr="007F2045">
        <w:rPr>
          <w:rFonts w:ascii="Times New Roman" w:hAnsi="Times New Roman"/>
          <w:sz w:val="28"/>
          <w:szCs w:val="28"/>
          <w:lang w:val="es-CO"/>
        </w:rPr>
        <w:t xml:space="preserve"> </w:t>
      </w:r>
      <w:r w:rsidR="475CAE5D" w:rsidRPr="007F2045">
        <w:rPr>
          <w:rFonts w:ascii="Times New Roman" w:hAnsi="Times New Roman"/>
          <w:sz w:val="28"/>
          <w:szCs w:val="28"/>
          <w:lang w:val="es-CO"/>
        </w:rPr>
        <w:t>sí se deriva la posibilidad de suspender provisionalmente las normas</w:t>
      </w:r>
      <w:r w:rsidR="005A2A7F" w:rsidRPr="007F2045">
        <w:rPr>
          <w:rFonts w:ascii="Times New Roman" w:hAnsi="Times New Roman"/>
          <w:sz w:val="28"/>
          <w:szCs w:val="28"/>
          <w:lang w:val="es-CO"/>
        </w:rPr>
        <w:t xml:space="preserve"> sometidas</w:t>
      </w:r>
      <w:r w:rsidR="475CAE5D" w:rsidRPr="007F2045">
        <w:rPr>
          <w:rFonts w:ascii="Times New Roman" w:hAnsi="Times New Roman"/>
          <w:sz w:val="28"/>
          <w:szCs w:val="28"/>
          <w:lang w:val="es-CO"/>
        </w:rPr>
        <w:t xml:space="preserve"> </w:t>
      </w:r>
      <w:r w:rsidR="0C5012C1" w:rsidRPr="007F2045">
        <w:rPr>
          <w:rFonts w:ascii="Times New Roman" w:hAnsi="Times New Roman"/>
          <w:sz w:val="28"/>
          <w:szCs w:val="28"/>
          <w:lang w:val="es-CO"/>
        </w:rPr>
        <w:t>a su escrutinio</w:t>
      </w:r>
      <w:r w:rsidR="475CAE5D" w:rsidRPr="007F2045">
        <w:rPr>
          <w:rFonts w:ascii="Times New Roman" w:hAnsi="Times New Roman"/>
          <w:sz w:val="28"/>
          <w:szCs w:val="28"/>
          <w:lang w:val="es-CO"/>
        </w:rPr>
        <w:t xml:space="preserve"> como </w:t>
      </w:r>
      <w:r w:rsidR="0020197F" w:rsidRPr="007F2045">
        <w:rPr>
          <w:rFonts w:ascii="Times New Roman" w:hAnsi="Times New Roman"/>
          <w:sz w:val="28"/>
          <w:szCs w:val="28"/>
          <w:lang w:val="es-CO"/>
        </w:rPr>
        <w:t xml:space="preserve">una </w:t>
      </w:r>
      <w:r w:rsidR="475CAE5D" w:rsidRPr="007F2045">
        <w:rPr>
          <w:rFonts w:ascii="Times New Roman" w:hAnsi="Times New Roman"/>
          <w:sz w:val="28"/>
          <w:szCs w:val="28"/>
          <w:lang w:val="es-CO"/>
        </w:rPr>
        <w:t>medida excepcional</w:t>
      </w:r>
      <w:r w:rsidR="2174A683" w:rsidRPr="007F2045">
        <w:rPr>
          <w:rFonts w:ascii="Times New Roman" w:hAnsi="Times New Roman"/>
          <w:sz w:val="28"/>
          <w:szCs w:val="28"/>
          <w:lang w:val="es-CO"/>
        </w:rPr>
        <w:t>,</w:t>
      </w:r>
      <w:r w:rsidR="475CAE5D" w:rsidRPr="007F2045">
        <w:rPr>
          <w:rFonts w:ascii="Times New Roman" w:hAnsi="Times New Roman"/>
          <w:sz w:val="28"/>
          <w:szCs w:val="28"/>
          <w:lang w:val="es-CO"/>
        </w:rPr>
        <w:t xml:space="preserve"> pero necesaria</w:t>
      </w:r>
      <w:r w:rsidR="17E262BA" w:rsidRPr="007F2045">
        <w:rPr>
          <w:rFonts w:ascii="Times New Roman" w:hAnsi="Times New Roman"/>
          <w:sz w:val="28"/>
          <w:szCs w:val="28"/>
          <w:lang w:val="es-CO"/>
        </w:rPr>
        <w:t>,</w:t>
      </w:r>
      <w:r w:rsidR="475CAE5D" w:rsidRPr="007F2045">
        <w:rPr>
          <w:rFonts w:ascii="Times New Roman" w:hAnsi="Times New Roman"/>
          <w:sz w:val="28"/>
          <w:szCs w:val="28"/>
          <w:lang w:val="es-CO"/>
        </w:rPr>
        <w:t xml:space="preserve"> para garantizar la efectividad del principio de supremacía de la Constitución.</w:t>
      </w:r>
      <w:r w:rsidR="6F7174CD" w:rsidRPr="007F2045">
        <w:rPr>
          <w:rFonts w:ascii="Times New Roman" w:hAnsi="Times New Roman"/>
          <w:sz w:val="28"/>
          <w:szCs w:val="28"/>
          <w:lang w:val="es-CO"/>
        </w:rPr>
        <w:t xml:space="preserve"> </w:t>
      </w:r>
      <w:r w:rsidR="17529B05" w:rsidRPr="007F2045">
        <w:rPr>
          <w:rFonts w:ascii="Times New Roman" w:hAnsi="Times New Roman"/>
          <w:sz w:val="28"/>
          <w:szCs w:val="28"/>
          <w:lang w:val="es-CO"/>
        </w:rPr>
        <w:t>Para llegar a esta conclusión, la Corte hizo el siguiente razonamiento:</w:t>
      </w:r>
    </w:p>
    <w:p w14:paraId="5C982B51" w14:textId="77777777" w:rsidR="0020197F" w:rsidRPr="007F2045" w:rsidRDefault="0020197F" w:rsidP="001B5728">
      <w:pPr>
        <w:pStyle w:val="Prrafodelista"/>
        <w:tabs>
          <w:tab w:val="left" w:pos="426"/>
          <w:tab w:val="left" w:pos="567"/>
        </w:tabs>
        <w:spacing w:after="0" w:line="240" w:lineRule="auto"/>
        <w:ind w:left="0"/>
        <w:rPr>
          <w:rFonts w:ascii="Times New Roman" w:hAnsi="Times New Roman"/>
          <w:color w:val="000000" w:themeColor="text1"/>
          <w:sz w:val="28"/>
          <w:szCs w:val="28"/>
          <w:lang w:val="es-CO"/>
        </w:rPr>
      </w:pPr>
    </w:p>
    <w:p w14:paraId="54C29E96" w14:textId="77777777" w:rsidR="41CF53EE" w:rsidRPr="007F2045" w:rsidRDefault="4DFA7D8A" w:rsidP="001B5728">
      <w:pPr>
        <w:pStyle w:val="Prrafodelista"/>
        <w:numPr>
          <w:ilvl w:val="0"/>
          <w:numId w:val="1"/>
        </w:numPr>
        <w:tabs>
          <w:tab w:val="left" w:pos="426"/>
          <w:tab w:val="left" w:pos="567"/>
        </w:tabs>
        <w:spacing w:after="0" w:line="240" w:lineRule="auto"/>
        <w:ind w:left="900" w:hanging="540"/>
        <w:rPr>
          <w:rFonts w:ascii="Times New Roman" w:hAnsi="Times New Roman"/>
          <w:color w:val="000000" w:themeColor="text1"/>
          <w:sz w:val="28"/>
          <w:szCs w:val="28"/>
          <w:lang w:val="es-CO"/>
        </w:rPr>
      </w:pPr>
      <w:r w:rsidRPr="007F2045">
        <w:rPr>
          <w:rFonts w:ascii="Times New Roman" w:hAnsi="Times New Roman"/>
          <w:color w:val="000000" w:themeColor="text1"/>
          <w:sz w:val="28"/>
          <w:szCs w:val="28"/>
          <w:lang w:val="es-CO"/>
        </w:rPr>
        <w:t>El artículo 4 de la Constitución establece</w:t>
      </w:r>
      <w:r w:rsidR="00ED6D81" w:rsidRPr="007F2045">
        <w:rPr>
          <w:rFonts w:ascii="Times New Roman" w:hAnsi="Times New Roman"/>
          <w:color w:val="000000" w:themeColor="text1"/>
          <w:sz w:val="28"/>
          <w:szCs w:val="28"/>
          <w:lang w:val="es-CO"/>
        </w:rPr>
        <w:t xml:space="preserve"> su condición de</w:t>
      </w:r>
      <w:r w:rsidRPr="007F2045">
        <w:rPr>
          <w:rFonts w:ascii="Times New Roman" w:hAnsi="Times New Roman"/>
          <w:color w:val="000000" w:themeColor="text1"/>
          <w:sz w:val="28"/>
          <w:szCs w:val="28"/>
          <w:lang w:val="es-CO"/>
        </w:rPr>
        <w:t xml:space="preserve"> norma de normas</w:t>
      </w:r>
      <w:r w:rsidR="7A704F44" w:rsidRPr="007F2045">
        <w:rPr>
          <w:rFonts w:ascii="Times New Roman" w:hAnsi="Times New Roman"/>
          <w:color w:val="000000" w:themeColor="text1"/>
          <w:sz w:val="28"/>
          <w:szCs w:val="28"/>
          <w:lang w:val="es-CO"/>
        </w:rPr>
        <w:t xml:space="preserve">. De este precepto se deriva el principio de supremacía constitucional, que es de carácter directivo y absoluto, </w:t>
      </w:r>
      <w:r w:rsidR="27F5E355" w:rsidRPr="007F2045">
        <w:rPr>
          <w:rFonts w:ascii="Times New Roman" w:hAnsi="Times New Roman"/>
          <w:color w:val="000000" w:themeColor="text1"/>
          <w:sz w:val="28"/>
          <w:szCs w:val="28"/>
          <w:lang w:val="es-CO"/>
        </w:rPr>
        <w:t xml:space="preserve">cumple una función integradora del ordenamiento, y además es el fundamento sustantivo de la competencia de la Corte Constitucional como </w:t>
      </w:r>
      <w:r w:rsidR="12149179" w:rsidRPr="007F2045">
        <w:rPr>
          <w:rFonts w:ascii="Times New Roman" w:hAnsi="Times New Roman"/>
          <w:color w:val="000000" w:themeColor="text1"/>
          <w:sz w:val="28"/>
          <w:szCs w:val="28"/>
          <w:lang w:val="es-CO"/>
        </w:rPr>
        <w:t>máxima guardiana e intérprete de la Carta Política</w:t>
      </w:r>
      <w:r w:rsidR="27F5E355" w:rsidRPr="007F2045">
        <w:rPr>
          <w:rFonts w:ascii="Times New Roman" w:hAnsi="Times New Roman"/>
          <w:color w:val="000000" w:themeColor="text1"/>
          <w:sz w:val="28"/>
          <w:szCs w:val="28"/>
          <w:lang w:val="es-CO"/>
        </w:rPr>
        <w:t>.</w:t>
      </w:r>
    </w:p>
    <w:p w14:paraId="494ACA5E" w14:textId="77777777" w:rsidR="1C7984E1" w:rsidRPr="007F2045" w:rsidRDefault="1C7984E1" w:rsidP="001B5728">
      <w:pPr>
        <w:pStyle w:val="Prrafodelista"/>
        <w:tabs>
          <w:tab w:val="left" w:pos="426"/>
          <w:tab w:val="left" w:pos="567"/>
        </w:tabs>
        <w:spacing w:after="0" w:line="240" w:lineRule="auto"/>
        <w:ind w:left="900" w:hanging="540"/>
        <w:rPr>
          <w:rFonts w:ascii="Times New Roman" w:hAnsi="Times New Roman"/>
          <w:color w:val="000000" w:themeColor="text1"/>
          <w:sz w:val="28"/>
          <w:szCs w:val="28"/>
          <w:lang w:val="es-CO"/>
        </w:rPr>
      </w:pPr>
    </w:p>
    <w:p w14:paraId="554244E0" w14:textId="77777777" w:rsidR="2C57BC04" w:rsidRPr="007F2045" w:rsidRDefault="698F0121" w:rsidP="001B5728">
      <w:pPr>
        <w:pStyle w:val="Prrafodelista"/>
        <w:numPr>
          <w:ilvl w:val="0"/>
          <w:numId w:val="1"/>
        </w:numPr>
        <w:tabs>
          <w:tab w:val="left" w:pos="426"/>
          <w:tab w:val="left" w:pos="567"/>
        </w:tabs>
        <w:spacing w:after="0" w:line="240" w:lineRule="auto"/>
        <w:ind w:left="900" w:hanging="540"/>
        <w:rPr>
          <w:rFonts w:ascii="Times New Roman" w:hAnsi="Times New Roman"/>
          <w:color w:val="000000" w:themeColor="text1"/>
          <w:sz w:val="28"/>
          <w:szCs w:val="28"/>
          <w:lang w:val="es-CO"/>
        </w:rPr>
      </w:pPr>
      <w:r w:rsidRPr="007F2045">
        <w:rPr>
          <w:rFonts w:ascii="Times New Roman" w:hAnsi="Times New Roman"/>
          <w:color w:val="000000" w:themeColor="text1"/>
          <w:sz w:val="28"/>
          <w:szCs w:val="28"/>
          <w:lang w:val="es-CO"/>
        </w:rPr>
        <w:t>El principio de supremacía constitucional</w:t>
      </w:r>
      <w:r w:rsidR="2C57BC04" w:rsidRPr="007F2045">
        <w:rPr>
          <w:rFonts w:ascii="Times New Roman" w:hAnsi="Times New Roman"/>
          <w:color w:val="000000" w:themeColor="text1"/>
          <w:sz w:val="28"/>
          <w:szCs w:val="28"/>
          <w:lang w:val="es-CO"/>
        </w:rPr>
        <w:t xml:space="preserve"> debe </w:t>
      </w:r>
      <w:r w:rsidR="20BAB382" w:rsidRPr="007F2045">
        <w:rPr>
          <w:rFonts w:ascii="Times New Roman" w:hAnsi="Times New Roman"/>
          <w:color w:val="000000" w:themeColor="text1"/>
          <w:sz w:val="28"/>
          <w:szCs w:val="28"/>
          <w:lang w:val="es-CO"/>
        </w:rPr>
        <w:t xml:space="preserve">interpretarse </w:t>
      </w:r>
      <w:r w:rsidR="2C57BC04" w:rsidRPr="007F2045">
        <w:rPr>
          <w:rFonts w:ascii="Times New Roman" w:hAnsi="Times New Roman"/>
          <w:color w:val="000000" w:themeColor="text1"/>
          <w:sz w:val="28"/>
          <w:szCs w:val="28"/>
          <w:lang w:val="es-CO"/>
        </w:rPr>
        <w:t xml:space="preserve">sistemáticamente con el artículo 2 </w:t>
      </w:r>
      <w:r w:rsidR="005A2A7F" w:rsidRPr="007F2045">
        <w:rPr>
          <w:rFonts w:ascii="Times New Roman" w:hAnsi="Times New Roman"/>
          <w:color w:val="000000" w:themeColor="text1"/>
          <w:sz w:val="28"/>
          <w:szCs w:val="28"/>
          <w:lang w:val="es-CO"/>
        </w:rPr>
        <w:t>del Texto Superior</w:t>
      </w:r>
      <w:r w:rsidR="2C57BC04" w:rsidRPr="007F2045">
        <w:rPr>
          <w:rFonts w:ascii="Times New Roman" w:hAnsi="Times New Roman"/>
          <w:color w:val="000000" w:themeColor="text1"/>
          <w:sz w:val="28"/>
          <w:szCs w:val="28"/>
          <w:lang w:val="es-CO"/>
        </w:rPr>
        <w:t xml:space="preserve">, que impone, como fin esencial de las autoridades estatales, garantizar la </w:t>
      </w:r>
      <w:r w:rsidR="2C57BC04" w:rsidRPr="007F2045">
        <w:rPr>
          <w:rFonts w:ascii="Times New Roman" w:hAnsi="Times New Roman"/>
          <w:color w:val="000000" w:themeColor="text1"/>
          <w:sz w:val="28"/>
          <w:szCs w:val="28"/>
          <w:u w:val="single"/>
          <w:lang w:val="es-CO"/>
        </w:rPr>
        <w:t>efectividad</w:t>
      </w:r>
      <w:r w:rsidR="2C57BC04" w:rsidRPr="007F2045">
        <w:rPr>
          <w:rFonts w:ascii="Times New Roman" w:hAnsi="Times New Roman"/>
          <w:color w:val="000000" w:themeColor="text1"/>
          <w:sz w:val="28"/>
          <w:szCs w:val="28"/>
          <w:lang w:val="es-CO"/>
        </w:rPr>
        <w:t xml:space="preserve"> de los principios, </w:t>
      </w:r>
      <w:r w:rsidR="450E287A" w:rsidRPr="007F2045">
        <w:rPr>
          <w:rFonts w:ascii="Times New Roman" w:hAnsi="Times New Roman"/>
          <w:color w:val="000000" w:themeColor="text1"/>
          <w:sz w:val="28"/>
          <w:szCs w:val="28"/>
          <w:lang w:val="es-CO"/>
        </w:rPr>
        <w:t>derechos y deberes consagrados en la Carta.</w:t>
      </w:r>
      <w:r w:rsidR="2C57BC04" w:rsidRPr="007F2045">
        <w:rPr>
          <w:rFonts w:ascii="Times New Roman" w:hAnsi="Times New Roman"/>
          <w:color w:val="000000" w:themeColor="text1"/>
          <w:sz w:val="28"/>
          <w:szCs w:val="28"/>
          <w:lang w:val="es-CO"/>
        </w:rPr>
        <w:t xml:space="preserve"> </w:t>
      </w:r>
    </w:p>
    <w:p w14:paraId="6A591F36" w14:textId="77777777" w:rsidR="4DA6FD51" w:rsidRPr="007F2045" w:rsidRDefault="4DA6FD51" w:rsidP="001B5728">
      <w:pPr>
        <w:pStyle w:val="Prrafodelista"/>
        <w:tabs>
          <w:tab w:val="left" w:pos="426"/>
          <w:tab w:val="left" w:pos="567"/>
        </w:tabs>
        <w:spacing w:after="0" w:line="240" w:lineRule="auto"/>
        <w:ind w:left="900" w:hanging="540"/>
        <w:rPr>
          <w:rFonts w:ascii="Times New Roman" w:hAnsi="Times New Roman"/>
          <w:color w:val="000000" w:themeColor="text1"/>
          <w:sz w:val="28"/>
          <w:szCs w:val="28"/>
          <w:lang w:val="es-CO"/>
        </w:rPr>
      </w:pPr>
    </w:p>
    <w:p w14:paraId="780F52A6" w14:textId="77777777" w:rsidR="3CCCA876" w:rsidRPr="007F2045" w:rsidRDefault="3CCCA876" w:rsidP="001B5728">
      <w:pPr>
        <w:pStyle w:val="Prrafodelista"/>
        <w:numPr>
          <w:ilvl w:val="0"/>
          <w:numId w:val="1"/>
        </w:numPr>
        <w:tabs>
          <w:tab w:val="left" w:pos="426"/>
          <w:tab w:val="left" w:pos="567"/>
        </w:tabs>
        <w:spacing w:after="0" w:line="240" w:lineRule="auto"/>
        <w:ind w:left="900" w:hanging="540"/>
        <w:rPr>
          <w:rFonts w:ascii="Times New Roman" w:hAnsi="Times New Roman"/>
          <w:color w:val="000000" w:themeColor="text1"/>
          <w:sz w:val="28"/>
          <w:szCs w:val="28"/>
          <w:lang w:val="es-CO"/>
        </w:rPr>
      </w:pPr>
      <w:r w:rsidRPr="007F2045">
        <w:rPr>
          <w:rFonts w:ascii="Times New Roman" w:hAnsi="Times New Roman"/>
          <w:color w:val="000000" w:themeColor="text1"/>
          <w:sz w:val="28"/>
          <w:szCs w:val="28"/>
          <w:lang w:val="es-CO"/>
        </w:rPr>
        <w:t xml:space="preserve">De la lectura armónica </w:t>
      </w:r>
      <w:r w:rsidR="054E2F2D" w:rsidRPr="007F2045">
        <w:rPr>
          <w:rFonts w:ascii="Times New Roman" w:hAnsi="Times New Roman"/>
          <w:color w:val="000000" w:themeColor="text1"/>
          <w:sz w:val="28"/>
          <w:szCs w:val="28"/>
          <w:lang w:val="es-CO"/>
        </w:rPr>
        <w:t>y finalista</w:t>
      </w:r>
      <w:r w:rsidRPr="007F2045">
        <w:rPr>
          <w:rFonts w:ascii="Times New Roman" w:hAnsi="Times New Roman"/>
          <w:color w:val="000000" w:themeColor="text1"/>
          <w:sz w:val="28"/>
          <w:szCs w:val="28"/>
          <w:lang w:val="es-CO"/>
        </w:rPr>
        <w:t xml:space="preserve"> de est</w:t>
      </w:r>
      <w:r w:rsidR="63081150" w:rsidRPr="007F2045">
        <w:rPr>
          <w:rFonts w:ascii="Times New Roman" w:hAnsi="Times New Roman"/>
          <w:color w:val="000000" w:themeColor="text1"/>
          <w:sz w:val="28"/>
          <w:szCs w:val="28"/>
          <w:lang w:val="es-CO"/>
        </w:rPr>
        <w:t>as</w:t>
      </w:r>
      <w:r w:rsidRPr="007F2045">
        <w:rPr>
          <w:rFonts w:ascii="Times New Roman" w:hAnsi="Times New Roman"/>
          <w:color w:val="000000" w:themeColor="text1"/>
          <w:sz w:val="28"/>
          <w:szCs w:val="28"/>
          <w:lang w:val="es-CO"/>
        </w:rPr>
        <w:t xml:space="preserve"> dos </w:t>
      </w:r>
      <w:r w:rsidR="63081150" w:rsidRPr="007F2045">
        <w:rPr>
          <w:rFonts w:ascii="Times New Roman" w:hAnsi="Times New Roman"/>
          <w:color w:val="000000" w:themeColor="text1"/>
          <w:sz w:val="28"/>
          <w:szCs w:val="28"/>
          <w:lang w:val="es-CO"/>
        </w:rPr>
        <w:t>normas</w:t>
      </w:r>
      <w:r w:rsidR="0816855D" w:rsidRPr="007F2045">
        <w:rPr>
          <w:rFonts w:ascii="Times New Roman" w:hAnsi="Times New Roman"/>
          <w:color w:val="000000" w:themeColor="text1"/>
          <w:sz w:val="28"/>
          <w:szCs w:val="28"/>
          <w:lang w:val="es-CO"/>
        </w:rPr>
        <w:t xml:space="preserve"> se deriva </w:t>
      </w:r>
      <w:r w:rsidR="0B56B5BD" w:rsidRPr="007F2045">
        <w:rPr>
          <w:rFonts w:ascii="Times New Roman" w:hAnsi="Times New Roman"/>
          <w:color w:val="000000" w:themeColor="text1"/>
          <w:sz w:val="28"/>
          <w:szCs w:val="28"/>
          <w:lang w:val="es-CO"/>
        </w:rPr>
        <w:t xml:space="preserve">que </w:t>
      </w:r>
      <w:r w:rsidR="0816855D" w:rsidRPr="007F2045">
        <w:rPr>
          <w:rFonts w:ascii="Times New Roman" w:hAnsi="Times New Roman"/>
          <w:color w:val="000000" w:themeColor="text1"/>
          <w:sz w:val="28"/>
          <w:szCs w:val="28"/>
          <w:lang w:val="es-CO"/>
        </w:rPr>
        <w:t xml:space="preserve">la </w:t>
      </w:r>
      <w:r w:rsidR="0B56B5BD" w:rsidRPr="007F2045">
        <w:rPr>
          <w:rFonts w:ascii="Times New Roman" w:hAnsi="Times New Roman"/>
          <w:color w:val="000000" w:themeColor="text1"/>
          <w:sz w:val="28"/>
          <w:szCs w:val="28"/>
          <w:lang w:val="es-CO"/>
        </w:rPr>
        <w:t>Corte no s</w:t>
      </w:r>
      <w:r w:rsidR="0054243C" w:rsidRPr="007F2045">
        <w:rPr>
          <w:rFonts w:ascii="Times New Roman" w:hAnsi="Times New Roman"/>
          <w:color w:val="000000" w:themeColor="text1"/>
          <w:sz w:val="28"/>
          <w:szCs w:val="28"/>
          <w:lang w:val="es-CO"/>
        </w:rPr>
        <w:t>o</w:t>
      </w:r>
      <w:r w:rsidR="0B56B5BD" w:rsidRPr="007F2045">
        <w:rPr>
          <w:rFonts w:ascii="Times New Roman" w:hAnsi="Times New Roman"/>
          <w:color w:val="000000" w:themeColor="text1"/>
          <w:sz w:val="28"/>
          <w:szCs w:val="28"/>
          <w:lang w:val="es-CO"/>
        </w:rPr>
        <w:t xml:space="preserve">lo está en la posibilidad sino en la </w:t>
      </w:r>
      <w:r w:rsidR="0B56B5BD" w:rsidRPr="007F2045">
        <w:rPr>
          <w:rFonts w:ascii="Times New Roman" w:hAnsi="Times New Roman"/>
          <w:color w:val="000000" w:themeColor="text1"/>
          <w:sz w:val="28"/>
          <w:szCs w:val="28"/>
          <w:u w:val="single"/>
          <w:lang w:val="es-CO"/>
        </w:rPr>
        <w:t>obligación</w:t>
      </w:r>
      <w:r w:rsidR="0B56B5BD" w:rsidRPr="007F2045">
        <w:rPr>
          <w:rFonts w:ascii="Times New Roman" w:hAnsi="Times New Roman"/>
          <w:color w:val="000000" w:themeColor="text1"/>
          <w:sz w:val="28"/>
          <w:szCs w:val="28"/>
          <w:lang w:val="es-CO"/>
        </w:rPr>
        <w:t xml:space="preserve"> de impedir que </w:t>
      </w:r>
      <w:r w:rsidR="48364E0E" w:rsidRPr="007F2045">
        <w:rPr>
          <w:rFonts w:ascii="Times New Roman" w:hAnsi="Times New Roman"/>
          <w:color w:val="000000" w:themeColor="text1"/>
          <w:sz w:val="28"/>
          <w:szCs w:val="28"/>
          <w:lang w:val="es-CO"/>
        </w:rPr>
        <w:t>la Constitución sea soslayada o infringida</w:t>
      </w:r>
      <w:r w:rsidR="5F20E069" w:rsidRPr="007F2045">
        <w:rPr>
          <w:rFonts w:ascii="Times New Roman" w:hAnsi="Times New Roman"/>
          <w:color w:val="000000" w:themeColor="text1"/>
          <w:sz w:val="28"/>
          <w:szCs w:val="28"/>
          <w:lang w:val="es-CO"/>
        </w:rPr>
        <w:t xml:space="preserve"> por la entrada en vig</w:t>
      </w:r>
      <w:r w:rsidR="716D85DF" w:rsidRPr="007F2045">
        <w:rPr>
          <w:rFonts w:ascii="Times New Roman" w:hAnsi="Times New Roman"/>
          <w:color w:val="000000" w:themeColor="text1"/>
          <w:sz w:val="28"/>
          <w:szCs w:val="28"/>
          <w:lang w:val="es-CO"/>
        </w:rPr>
        <w:t>or</w:t>
      </w:r>
      <w:r w:rsidR="5F20E069" w:rsidRPr="007F2045">
        <w:rPr>
          <w:rFonts w:ascii="Times New Roman" w:hAnsi="Times New Roman"/>
          <w:color w:val="000000" w:themeColor="text1"/>
          <w:sz w:val="28"/>
          <w:szCs w:val="28"/>
          <w:lang w:val="es-CO"/>
        </w:rPr>
        <w:t xml:space="preserve"> de normas que abiertamente la contradicen, o por el uso de artificios o maniobras para eludir el control que le corresponde adelantar a esta Corporación como guardiana del </w:t>
      </w:r>
      <w:r w:rsidR="005A2A7F" w:rsidRPr="007F2045">
        <w:rPr>
          <w:rFonts w:ascii="Times New Roman" w:hAnsi="Times New Roman"/>
          <w:color w:val="000000" w:themeColor="text1"/>
          <w:sz w:val="28"/>
          <w:szCs w:val="28"/>
          <w:lang w:val="es-CO"/>
        </w:rPr>
        <w:t>Texto Superior</w:t>
      </w:r>
      <w:r w:rsidR="5F20E069" w:rsidRPr="007F2045">
        <w:rPr>
          <w:rFonts w:ascii="Times New Roman" w:hAnsi="Times New Roman"/>
          <w:color w:val="000000" w:themeColor="text1"/>
          <w:sz w:val="28"/>
          <w:szCs w:val="28"/>
          <w:lang w:val="es-CO"/>
        </w:rPr>
        <w:t>.</w:t>
      </w:r>
    </w:p>
    <w:p w14:paraId="7EE2AA0E" w14:textId="77777777" w:rsidR="41CF53EE" w:rsidRPr="007F2045" w:rsidRDefault="41CF53EE" w:rsidP="001B5728">
      <w:pPr>
        <w:pStyle w:val="Prrafodelista"/>
        <w:tabs>
          <w:tab w:val="left" w:pos="426"/>
          <w:tab w:val="left" w:pos="567"/>
        </w:tabs>
        <w:spacing w:after="0" w:line="240" w:lineRule="auto"/>
        <w:ind w:left="900" w:hanging="540"/>
        <w:rPr>
          <w:rFonts w:ascii="Times New Roman" w:hAnsi="Times New Roman"/>
          <w:color w:val="000000" w:themeColor="text1"/>
          <w:sz w:val="28"/>
          <w:szCs w:val="28"/>
          <w:lang w:val="es-CO"/>
        </w:rPr>
      </w:pPr>
    </w:p>
    <w:p w14:paraId="58A2CFC0" w14:textId="77777777" w:rsidR="4EC460A7" w:rsidRPr="007F2045" w:rsidRDefault="20741B49" w:rsidP="001B5728">
      <w:pPr>
        <w:pStyle w:val="Prrafodelista"/>
        <w:numPr>
          <w:ilvl w:val="0"/>
          <w:numId w:val="1"/>
        </w:numPr>
        <w:tabs>
          <w:tab w:val="left" w:pos="426"/>
          <w:tab w:val="left" w:pos="567"/>
        </w:tabs>
        <w:spacing w:after="0" w:line="240" w:lineRule="auto"/>
        <w:ind w:left="900" w:hanging="540"/>
        <w:rPr>
          <w:rFonts w:ascii="Times New Roman" w:hAnsi="Times New Roman"/>
          <w:color w:val="000000" w:themeColor="text1"/>
          <w:sz w:val="28"/>
          <w:szCs w:val="28"/>
          <w:lang w:val="es-CO"/>
        </w:rPr>
      </w:pPr>
      <w:r w:rsidRPr="007F2045">
        <w:rPr>
          <w:rFonts w:ascii="Times New Roman" w:hAnsi="Times New Roman"/>
          <w:color w:val="000000" w:themeColor="text1"/>
          <w:sz w:val="28"/>
          <w:szCs w:val="28"/>
          <w:lang w:val="es-CO"/>
        </w:rPr>
        <w:t>Por lo tanto, e</w:t>
      </w:r>
      <w:r w:rsidR="1070D58E" w:rsidRPr="007F2045">
        <w:rPr>
          <w:rFonts w:ascii="Times New Roman" w:hAnsi="Times New Roman"/>
          <w:color w:val="000000" w:themeColor="text1"/>
          <w:sz w:val="28"/>
          <w:szCs w:val="28"/>
          <w:lang w:val="es-CO"/>
        </w:rPr>
        <w:t>l control de constitucionalidad</w:t>
      </w:r>
      <w:r w:rsidR="4539A2C4" w:rsidRPr="007F2045">
        <w:rPr>
          <w:rFonts w:ascii="Times New Roman" w:hAnsi="Times New Roman"/>
          <w:color w:val="000000" w:themeColor="text1"/>
          <w:sz w:val="28"/>
          <w:szCs w:val="28"/>
          <w:lang w:val="es-CO"/>
        </w:rPr>
        <w:t>,</w:t>
      </w:r>
      <w:r w:rsidR="1070D58E" w:rsidRPr="007F2045">
        <w:rPr>
          <w:rFonts w:ascii="Times New Roman" w:hAnsi="Times New Roman"/>
          <w:color w:val="000000" w:themeColor="text1"/>
          <w:sz w:val="28"/>
          <w:szCs w:val="28"/>
          <w:lang w:val="es-CO"/>
        </w:rPr>
        <w:t xml:space="preserve"> </w:t>
      </w:r>
      <w:r w:rsidR="30B77144" w:rsidRPr="007F2045">
        <w:rPr>
          <w:rFonts w:ascii="Times New Roman" w:hAnsi="Times New Roman"/>
          <w:color w:val="000000" w:themeColor="text1"/>
          <w:sz w:val="28"/>
          <w:szCs w:val="28"/>
          <w:lang w:val="es-CO"/>
        </w:rPr>
        <w:t>que</w:t>
      </w:r>
      <w:r w:rsidR="1070D58E" w:rsidRPr="007F2045">
        <w:rPr>
          <w:rFonts w:ascii="Times New Roman" w:hAnsi="Times New Roman"/>
          <w:color w:val="000000" w:themeColor="text1"/>
          <w:sz w:val="28"/>
          <w:szCs w:val="28"/>
          <w:lang w:val="es-CO"/>
        </w:rPr>
        <w:t xml:space="preserve"> </w:t>
      </w:r>
      <w:r w:rsidR="47DD6546" w:rsidRPr="007F2045">
        <w:rPr>
          <w:rFonts w:ascii="Times New Roman" w:hAnsi="Times New Roman"/>
          <w:color w:val="000000" w:themeColor="text1"/>
          <w:sz w:val="28"/>
          <w:szCs w:val="28"/>
          <w:lang w:val="es-CO"/>
        </w:rPr>
        <w:t>es el medio idóneo para garantizar</w:t>
      </w:r>
      <w:r w:rsidR="2C87FC99" w:rsidRPr="007F2045">
        <w:rPr>
          <w:rFonts w:ascii="Times New Roman" w:hAnsi="Times New Roman"/>
          <w:color w:val="000000" w:themeColor="text1"/>
          <w:sz w:val="28"/>
          <w:szCs w:val="28"/>
          <w:lang w:val="es-CO"/>
        </w:rPr>
        <w:t xml:space="preserve"> </w:t>
      </w:r>
      <w:r w:rsidR="47DD6546" w:rsidRPr="007F2045">
        <w:rPr>
          <w:rFonts w:ascii="Times New Roman" w:hAnsi="Times New Roman"/>
          <w:color w:val="000000" w:themeColor="text1"/>
          <w:sz w:val="28"/>
          <w:szCs w:val="28"/>
          <w:lang w:val="es-CO"/>
        </w:rPr>
        <w:t>la eficacia práctica de</w:t>
      </w:r>
      <w:r w:rsidR="6564E5F1" w:rsidRPr="007F2045">
        <w:rPr>
          <w:rFonts w:ascii="Times New Roman" w:hAnsi="Times New Roman"/>
          <w:color w:val="000000" w:themeColor="text1"/>
          <w:sz w:val="28"/>
          <w:szCs w:val="28"/>
          <w:lang w:val="es-CO"/>
        </w:rPr>
        <w:t xml:space="preserve">l principio de supremacía </w:t>
      </w:r>
      <w:r w:rsidR="4BBB33D5" w:rsidRPr="007F2045">
        <w:rPr>
          <w:rFonts w:ascii="Times New Roman" w:hAnsi="Times New Roman"/>
          <w:color w:val="000000" w:themeColor="text1"/>
          <w:sz w:val="28"/>
          <w:szCs w:val="28"/>
          <w:lang w:val="es-CO"/>
        </w:rPr>
        <w:t xml:space="preserve">de la Carta y del </w:t>
      </w:r>
      <w:r w:rsidR="6564E5F1" w:rsidRPr="007F2045">
        <w:rPr>
          <w:rFonts w:ascii="Times New Roman" w:hAnsi="Times New Roman"/>
          <w:color w:val="000000" w:themeColor="text1"/>
          <w:sz w:val="28"/>
          <w:szCs w:val="28"/>
          <w:lang w:val="es-CO"/>
        </w:rPr>
        <w:t>Estado</w:t>
      </w:r>
      <w:r w:rsidR="005F4767" w:rsidRPr="007F2045">
        <w:rPr>
          <w:rFonts w:ascii="Times New Roman" w:hAnsi="Times New Roman"/>
          <w:color w:val="000000" w:themeColor="text1"/>
          <w:sz w:val="28"/>
          <w:szCs w:val="28"/>
          <w:lang w:val="es-CO"/>
        </w:rPr>
        <w:t xml:space="preserve"> Social</w:t>
      </w:r>
      <w:r w:rsidR="6564E5F1" w:rsidRPr="007F2045">
        <w:rPr>
          <w:rFonts w:ascii="Times New Roman" w:hAnsi="Times New Roman"/>
          <w:color w:val="000000" w:themeColor="text1"/>
          <w:sz w:val="28"/>
          <w:szCs w:val="28"/>
          <w:lang w:val="es-CO"/>
        </w:rPr>
        <w:t xml:space="preserve"> de Derecho</w:t>
      </w:r>
      <w:r w:rsidR="39D7DCC4" w:rsidRPr="007F2045">
        <w:rPr>
          <w:rFonts w:ascii="Times New Roman" w:hAnsi="Times New Roman"/>
          <w:color w:val="000000" w:themeColor="text1"/>
          <w:sz w:val="28"/>
          <w:szCs w:val="28"/>
          <w:lang w:val="es-CO"/>
        </w:rPr>
        <w:t>, debe estar dotado de mecanismos de protección que permitan asegurar esa efectividad. Al respecto, n</w:t>
      </w:r>
      <w:r w:rsidR="47DD6546" w:rsidRPr="007F2045">
        <w:rPr>
          <w:rFonts w:ascii="Times New Roman" w:hAnsi="Times New Roman"/>
          <w:color w:val="000000" w:themeColor="text1"/>
          <w:sz w:val="28"/>
          <w:szCs w:val="28"/>
          <w:lang w:val="es-CO"/>
        </w:rPr>
        <w:t>o hay una regla que prohíba incorporar mecanismos de protección de origen legal o judicial, como tampoco una exigencia de que tales instrumentos deban estar taxativamente señalados en la Carta</w:t>
      </w:r>
      <w:r w:rsidR="005F4767" w:rsidRPr="007F2045">
        <w:rPr>
          <w:rFonts w:ascii="Times New Roman" w:hAnsi="Times New Roman"/>
          <w:color w:val="000000" w:themeColor="text1"/>
          <w:sz w:val="28"/>
          <w:szCs w:val="28"/>
          <w:lang w:val="es-CO"/>
        </w:rPr>
        <w:t>, como única hipótesis constitucional habilitante,</w:t>
      </w:r>
      <w:r w:rsidR="47DD6546" w:rsidRPr="007F2045">
        <w:rPr>
          <w:rFonts w:ascii="Times New Roman" w:hAnsi="Times New Roman"/>
          <w:color w:val="000000" w:themeColor="text1"/>
          <w:sz w:val="28"/>
          <w:szCs w:val="28"/>
          <w:lang w:val="es-CO"/>
        </w:rPr>
        <w:t xml:space="preserve"> para poder ser aplicados.</w:t>
      </w:r>
    </w:p>
    <w:p w14:paraId="7908CB8B" w14:textId="77777777" w:rsidR="283F34FE" w:rsidRPr="007F2045" w:rsidRDefault="283F34FE" w:rsidP="001B5728">
      <w:pPr>
        <w:pStyle w:val="Prrafodelista"/>
        <w:tabs>
          <w:tab w:val="left" w:pos="426"/>
          <w:tab w:val="left" w:pos="567"/>
        </w:tabs>
        <w:spacing w:after="0" w:line="240" w:lineRule="auto"/>
        <w:ind w:left="900" w:hanging="540"/>
        <w:rPr>
          <w:rFonts w:ascii="Times New Roman" w:hAnsi="Times New Roman"/>
          <w:color w:val="000000" w:themeColor="text1"/>
          <w:sz w:val="28"/>
          <w:szCs w:val="28"/>
          <w:lang w:val="es-CO"/>
        </w:rPr>
      </w:pPr>
    </w:p>
    <w:p w14:paraId="617588AF" w14:textId="77777777" w:rsidR="00573584" w:rsidRPr="007F2045" w:rsidRDefault="00573584" w:rsidP="001B5728">
      <w:pPr>
        <w:pStyle w:val="Prrafodelista"/>
        <w:numPr>
          <w:ilvl w:val="0"/>
          <w:numId w:val="2"/>
        </w:numPr>
        <w:tabs>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Además de las anteriores</w:t>
      </w:r>
      <w:r w:rsidR="005F4767" w:rsidRPr="007F2045">
        <w:rPr>
          <w:rFonts w:ascii="Times New Roman" w:hAnsi="Times New Roman"/>
          <w:sz w:val="28"/>
          <w:szCs w:val="28"/>
          <w:lang w:val="es-CO"/>
        </w:rPr>
        <w:t xml:space="preserve"> consideraciones para sustentar la medida de la suspensión provisional</w:t>
      </w:r>
      <w:r w:rsidR="00BC65FB" w:rsidRPr="007F2045">
        <w:rPr>
          <w:rFonts w:ascii="Times New Roman" w:hAnsi="Times New Roman"/>
          <w:sz w:val="28"/>
          <w:szCs w:val="28"/>
          <w:lang w:val="es-CO"/>
        </w:rPr>
        <w:t xml:space="preserve">, que descarta el </w:t>
      </w:r>
      <w:r w:rsidR="005F4767" w:rsidRPr="007F2045">
        <w:rPr>
          <w:rFonts w:ascii="Times New Roman" w:hAnsi="Times New Roman"/>
          <w:sz w:val="28"/>
          <w:szCs w:val="28"/>
          <w:lang w:val="es-CO"/>
        </w:rPr>
        <w:t>apego irrestricto a la ortodoxia formal</w:t>
      </w:r>
      <w:r w:rsidRPr="007F2045">
        <w:rPr>
          <w:rFonts w:ascii="Times New Roman" w:hAnsi="Times New Roman"/>
          <w:sz w:val="28"/>
          <w:szCs w:val="28"/>
          <w:lang w:val="es-CO"/>
        </w:rPr>
        <w:t>, la Corte re</w:t>
      </w:r>
      <w:r w:rsidR="005F4767" w:rsidRPr="007F2045">
        <w:rPr>
          <w:rFonts w:ascii="Times New Roman" w:hAnsi="Times New Roman"/>
          <w:sz w:val="28"/>
          <w:szCs w:val="28"/>
          <w:lang w:val="es-CO"/>
        </w:rPr>
        <w:t>saltó</w:t>
      </w:r>
      <w:r w:rsidRPr="007F2045">
        <w:rPr>
          <w:rFonts w:ascii="Times New Roman" w:hAnsi="Times New Roman"/>
          <w:sz w:val="28"/>
          <w:szCs w:val="28"/>
          <w:lang w:val="es-CO"/>
        </w:rPr>
        <w:t xml:space="preserve"> que, desde tiempo atrás, ha acudido a</w:t>
      </w:r>
      <w:r w:rsidR="005F4767" w:rsidRPr="007F2045">
        <w:rPr>
          <w:rFonts w:ascii="Times New Roman" w:hAnsi="Times New Roman"/>
          <w:sz w:val="28"/>
          <w:szCs w:val="28"/>
          <w:lang w:val="es-CO"/>
        </w:rPr>
        <w:t xml:space="preserve"> figuras como</w:t>
      </w:r>
      <w:r w:rsidRPr="007F2045">
        <w:rPr>
          <w:rFonts w:ascii="Times New Roman" w:hAnsi="Times New Roman"/>
          <w:sz w:val="28"/>
          <w:szCs w:val="28"/>
          <w:lang w:val="es-CO"/>
        </w:rPr>
        <w:t xml:space="preserve"> la modulación de los efectos de sus sentencias</w:t>
      </w:r>
      <w:r w:rsidR="005F4767" w:rsidRPr="007F2045">
        <w:rPr>
          <w:rFonts w:ascii="Times New Roman" w:hAnsi="Times New Roman"/>
          <w:sz w:val="28"/>
          <w:szCs w:val="28"/>
          <w:lang w:val="es-CO"/>
        </w:rPr>
        <w:t>,</w:t>
      </w:r>
      <w:r w:rsidRPr="007F2045">
        <w:rPr>
          <w:rFonts w:ascii="Times New Roman" w:hAnsi="Times New Roman"/>
          <w:sz w:val="28"/>
          <w:szCs w:val="28"/>
          <w:lang w:val="es-CO"/>
        </w:rPr>
        <w:t xml:space="preserve"> para asegurar la prevalencia del orden constitucional. El auto 272 de 2023 recordó</w:t>
      </w:r>
      <w:r w:rsidR="005F4767" w:rsidRPr="007F2045">
        <w:rPr>
          <w:rFonts w:ascii="Times New Roman" w:hAnsi="Times New Roman"/>
          <w:sz w:val="28"/>
          <w:szCs w:val="28"/>
          <w:lang w:val="es-CO"/>
        </w:rPr>
        <w:t xml:space="preserve"> que</w:t>
      </w:r>
      <w:r w:rsidRPr="007F2045">
        <w:rPr>
          <w:rFonts w:ascii="Times New Roman" w:hAnsi="Times New Roman"/>
          <w:sz w:val="28"/>
          <w:szCs w:val="28"/>
          <w:lang w:val="es-CO"/>
        </w:rPr>
        <w:t xml:space="preserve">, por ejemplo, en desarrollo de esa línea, la Corte ha admitido la declaratoria de inexequibilidad con efectos retroactivos </w:t>
      </w:r>
      <w:r w:rsidR="005F4767" w:rsidRPr="007F2045">
        <w:rPr>
          <w:rFonts w:ascii="Times New Roman" w:hAnsi="Times New Roman"/>
          <w:sz w:val="28"/>
          <w:szCs w:val="28"/>
          <w:lang w:val="es-CO"/>
        </w:rPr>
        <w:t>–</w:t>
      </w:r>
      <w:r w:rsidRPr="007F2045">
        <w:rPr>
          <w:rFonts w:ascii="Times New Roman" w:hAnsi="Times New Roman"/>
          <w:sz w:val="28"/>
          <w:szCs w:val="28"/>
          <w:lang w:val="es-CO"/>
        </w:rPr>
        <w:t>figura que no está contemplada e</w:t>
      </w:r>
      <w:r w:rsidR="005F4767" w:rsidRPr="007F2045">
        <w:rPr>
          <w:rFonts w:ascii="Times New Roman" w:hAnsi="Times New Roman"/>
          <w:sz w:val="28"/>
          <w:szCs w:val="28"/>
          <w:lang w:val="es-CO"/>
        </w:rPr>
        <w:t>specíficamente</w:t>
      </w:r>
      <w:r w:rsidRPr="007F2045">
        <w:rPr>
          <w:rFonts w:ascii="Times New Roman" w:hAnsi="Times New Roman"/>
          <w:sz w:val="28"/>
          <w:szCs w:val="28"/>
          <w:lang w:val="es-CO"/>
        </w:rPr>
        <w:t xml:space="preserve"> en el texto de la Constitución</w:t>
      </w:r>
      <w:r w:rsidR="005F4767" w:rsidRPr="007F2045">
        <w:rPr>
          <w:rFonts w:ascii="Times New Roman" w:hAnsi="Times New Roman"/>
          <w:sz w:val="28"/>
          <w:szCs w:val="28"/>
          <w:lang w:val="es-CO"/>
        </w:rPr>
        <w:t>–</w:t>
      </w:r>
      <w:r w:rsidRPr="007F2045">
        <w:rPr>
          <w:rFonts w:ascii="Times New Roman" w:hAnsi="Times New Roman"/>
          <w:sz w:val="28"/>
          <w:szCs w:val="28"/>
          <w:lang w:val="es-CO"/>
        </w:rPr>
        <w:t xml:space="preserve">, como una forma de modulación necesaria </w:t>
      </w:r>
      <w:r w:rsidR="005F4767" w:rsidRPr="007F2045">
        <w:rPr>
          <w:rFonts w:ascii="Times New Roman" w:hAnsi="Times New Roman"/>
          <w:sz w:val="28"/>
          <w:szCs w:val="28"/>
          <w:lang w:val="es-CO"/>
        </w:rPr>
        <w:t xml:space="preserve">y </w:t>
      </w:r>
      <w:r w:rsidRPr="007F2045">
        <w:rPr>
          <w:rFonts w:ascii="Times New Roman" w:hAnsi="Times New Roman"/>
          <w:sz w:val="28"/>
          <w:szCs w:val="28"/>
          <w:lang w:val="es-CO"/>
        </w:rPr>
        <w:t xml:space="preserve">dirigida a proteger la integridad y supremacía de la Carta e impedir que se consoliden o perpetúen situaciones o efectos originados en normas inconstitucionales. </w:t>
      </w:r>
    </w:p>
    <w:p w14:paraId="75097EB5" w14:textId="77777777" w:rsidR="00573584" w:rsidRPr="007F2045" w:rsidRDefault="00573584" w:rsidP="001B5728">
      <w:pPr>
        <w:tabs>
          <w:tab w:val="left" w:pos="426"/>
          <w:tab w:val="left" w:pos="567"/>
        </w:tabs>
        <w:spacing w:after="0" w:line="240" w:lineRule="auto"/>
        <w:rPr>
          <w:rFonts w:ascii="Times New Roman" w:hAnsi="Times New Roman"/>
          <w:color w:val="000000" w:themeColor="text1"/>
          <w:sz w:val="28"/>
          <w:szCs w:val="28"/>
          <w:lang w:val="es-CO"/>
        </w:rPr>
      </w:pPr>
    </w:p>
    <w:p w14:paraId="084EDD7E" w14:textId="77777777" w:rsidR="00FF37B6" w:rsidRPr="007F2045" w:rsidRDefault="005F4767" w:rsidP="001B5728">
      <w:pPr>
        <w:pStyle w:val="Prrafodelista"/>
        <w:numPr>
          <w:ilvl w:val="0"/>
          <w:numId w:val="2"/>
        </w:numPr>
        <w:tabs>
          <w:tab w:val="left" w:pos="426"/>
          <w:tab w:val="left" w:pos="567"/>
        </w:tabs>
        <w:spacing w:after="0" w:line="240" w:lineRule="auto"/>
        <w:ind w:left="0" w:firstLine="0"/>
        <w:rPr>
          <w:rFonts w:ascii="Times New Roman" w:hAnsi="Times New Roman"/>
          <w:color w:val="000000" w:themeColor="text1"/>
          <w:sz w:val="28"/>
          <w:szCs w:val="28"/>
          <w:lang w:val="es-CO"/>
        </w:rPr>
      </w:pPr>
      <w:r w:rsidRPr="007F2045">
        <w:rPr>
          <w:rFonts w:ascii="Times New Roman" w:hAnsi="Times New Roman"/>
          <w:color w:val="000000" w:themeColor="text1"/>
          <w:sz w:val="28"/>
          <w:szCs w:val="28"/>
          <w:lang w:val="es-CO"/>
        </w:rPr>
        <w:t>Por lo demás</w:t>
      </w:r>
      <w:r w:rsidR="00573584" w:rsidRPr="007F2045">
        <w:rPr>
          <w:rFonts w:ascii="Times New Roman" w:hAnsi="Times New Roman"/>
          <w:color w:val="000000" w:themeColor="text1"/>
          <w:sz w:val="28"/>
          <w:szCs w:val="28"/>
          <w:lang w:val="es-CO"/>
        </w:rPr>
        <w:t xml:space="preserve">, en el mismo </w:t>
      </w:r>
      <w:r w:rsidR="00BD12E0" w:rsidRPr="007F2045">
        <w:rPr>
          <w:rFonts w:ascii="Times New Roman" w:hAnsi="Times New Roman"/>
          <w:color w:val="000000" w:themeColor="text1"/>
          <w:sz w:val="28"/>
          <w:szCs w:val="28"/>
          <w:lang w:val="es-CO"/>
        </w:rPr>
        <w:t>a</w:t>
      </w:r>
      <w:r w:rsidR="00573584" w:rsidRPr="007F2045">
        <w:rPr>
          <w:rFonts w:ascii="Times New Roman" w:hAnsi="Times New Roman"/>
          <w:color w:val="000000" w:themeColor="text1"/>
          <w:sz w:val="28"/>
          <w:szCs w:val="28"/>
          <w:lang w:val="es-CO"/>
        </w:rPr>
        <w:t>uto 272</w:t>
      </w:r>
      <w:r w:rsidR="00A2190C" w:rsidRPr="007F2045">
        <w:rPr>
          <w:rFonts w:ascii="Times New Roman" w:hAnsi="Times New Roman"/>
          <w:color w:val="000000" w:themeColor="text1"/>
          <w:sz w:val="28"/>
          <w:szCs w:val="28"/>
          <w:lang w:val="es-CO"/>
        </w:rPr>
        <w:t xml:space="preserve"> de 2023</w:t>
      </w:r>
      <w:r w:rsidR="00573584" w:rsidRPr="007F2045">
        <w:rPr>
          <w:rFonts w:ascii="Times New Roman" w:hAnsi="Times New Roman"/>
          <w:color w:val="000000" w:themeColor="text1"/>
          <w:sz w:val="28"/>
          <w:szCs w:val="28"/>
          <w:lang w:val="es-CO"/>
        </w:rPr>
        <w:t xml:space="preserve">, la Corte advirtió que pueden presentarse escenarios excepcionales en los que ni siquiera una figura como la inexequibilidad con efectos retroactivos resultaría suficiente para contrarrestar adecuadamente los impactos de una norma manifiestamente inconstitucional, especialmente cuando esta produce efectos inmediatos, irreversibles o cuando existe el riesgo de que se eluda el control constitucional. En tales casos, </w:t>
      </w:r>
      <w:r w:rsidR="00FF37B6" w:rsidRPr="007F2045">
        <w:rPr>
          <w:rFonts w:ascii="Times New Roman" w:hAnsi="Times New Roman"/>
          <w:color w:val="000000" w:themeColor="text1"/>
          <w:sz w:val="28"/>
          <w:szCs w:val="28"/>
          <w:lang w:val="es-CO"/>
        </w:rPr>
        <w:t>posponer la decisión hasta el fallo definitivo podría permitir la consolidación de situaciones graves e incompatibles con la Constitución.</w:t>
      </w:r>
    </w:p>
    <w:p w14:paraId="5493E870" w14:textId="77777777" w:rsidR="005F4767" w:rsidRPr="007F2045" w:rsidRDefault="005F4767" w:rsidP="001B5728">
      <w:pPr>
        <w:tabs>
          <w:tab w:val="left" w:pos="426"/>
          <w:tab w:val="left" w:pos="567"/>
        </w:tabs>
        <w:spacing w:after="0" w:line="240" w:lineRule="auto"/>
        <w:rPr>
          <w:rFonts w:ascii="Times New Roman" w:hAnsi="Times New Roman"/>
          <w:color w:val="000000" w:themeColor="text1"/>
          <w:sz w:val="28"/>
          <w:szCs w:val="28"/>
          <w:lang w:val="es-CO"/>
        </w:rPr>
      </w:pPr>
    </w:p>
    <w:p w14:paraId="4948FD55" w14:textId="77777777" w:rsidR="00573584" w:rsidRPr="007F2045" w:rsidRDefault="00573584" w:rsidP="001B5728">
      <w:pPr>
        <w:pStyle w:val="Prrafodelista"/>
        <w:numPr>
          <w:ilvl w:val="0"/>
          <w:numId w:val="2"/>
        </w:numPr>
        <w:tabs>
          <w:tab w:val="left" w:pos="426"/>
          <w:tab w:val="left" w:pos="567"/>
        </w:tabs>
        <w:spacing w:after="0" w:line="240" w:lineRule="auto"/>
        <w:ind w:left="0" w:firstLine="0"/>
        <w:rPr>
          <w:rFonts w:ascii="Times New Roman" w:hAnsi="Times New Roman"/>
          <w:color w:val="000000" w:themeColor="text1"/>
          <w:sz w:val="28"/>
          <w:szCs w:val="28"/>
          <w:lang w:val="es-CO"/>
        </w:rPr>
      </w:pPr>
      <w:r w:rsidRPr="007F2045">
        <w:rPr>
          <w:rFonts w:ascii="Times New Roman" w:hAnsi="Times New Roman"/>
          <w:color w:val="000000" w:themeColor="text1"/>
          <w:sz w:val="28"/>
          <w:szCs w:val="28"/>
          <w:lang w:val="es-CO"/>
        </w:rPr>
        <w:t xml:space="preserve">Por ello, en el mencionado auto, </w:t>
      </w:r>
      <w:r w:rsidR="005F4767" w:rsidRPr="007F2045">
        <w:rPr>
          <w:rFonts w:ascii="Times New Roman" w:hAnsi="Times New Roman"/>
          <w:color w:val="000000" w:themeColor="text1"/>
          <w:sz w:val="28"/>
          <w:szCs w:val="28"/>
          <w:lang w:val="es-CO"/>
        </w:rPr>
        <w:t xml:space="preserve">la Corte </w:t>
      </w:r>
      <w:r w:rsidRPr="007F2045">
        <w:rPr>
          <w:rFonts w:ascii="Times New Roman" w:hAnsi="Times New Roman"/>
          <w:color w:val="000000" w:themeColor="text1"/>
          <w:sz w:val="28"/>
          <w:szCs w:val="28"/>
          <w:lang w:val="es-CO"/>
        </w:rPr>
        <w:t>justificó la suspensión provisional como un remedio cautelar excepcional, dirigido a evitar que, mientras se decide de fondo, una norma siga produciendo efectos</w:t>
      </w:r>
      <w:r w:rsidR="00382676" w:rsidRPr="007F2045">
        <w:rPr>
          <w:rFonts w:ascii="Times New Roman" w:hAnsi="Times New Roman"/>
          <w:color w:val="000000" w:themeColor="text1"/>
          <w:sz w:val="28"/>
          <w:szCs w:val="28"/>
          <w:lang w:val="es-CO"/>
        </w:rPr>
        <w:t xml:space="preserve"> con la aptitud</w:t>
      </w:r>
      <w:r w:rsidRPr="007F2045">
        <w:rPr>
          <w:rFonts w:ascii="Times New Roman" w:hAnsi="Times New Roman"/>
          <w:color w:val="000000" w:themeColor="text1"/>
          <w:sz w:val="28"/>
          <w:szCs w:val="28"/>
          <w:lang w:val="es-CO"/>
        </w:rPr>
        <w:t xml:space="preserve"> de comprometer la integridad de la Constitución y de tornar ineficaz el control jurisdiccional.</w:t>
      </w:r>
      <w:r w:rsidR="00FF37B6" w:rsidRPr="007F2045">
        <w:rPr>
          <w:rFonts w:ascii="Times New Roman" w:hAnsi="Times New Roman"/>
          <w:color w:val="000000" w:themeColor="text1"/>
          <w:sz w:val="28"/>
          <w:szCs w:val="28"/>
          <w:lang w:val="es-CO"/>
        </w:rPr>
        <w:t xml:space="preserve"> </w:t>
      </w:r>
      <w:r w:rsidRPr="007F2045">
        <w:rPr>
          <w:rFonts w:ascii="Times New Roman" w:hAnsi="Times New Roman"/>
          <w:color w:val="000000" w:themeColor="text1"/>
          <w:sz w:val="28"/>
          <w:szCs w:val="28"/>
          <w:lang w:val="es-CO"/>
        </w:rPr>
        <w:t xml:space="preserve">Como se indicó, para </w:t>
      </w:r>
      <w:r w:rsidR="005F4767" w:rsidRPr="007F2045">
        <w:rPr>
          <w:rFonts w:ascii="Times New Roman" w:hAnsi="Times New Roman"/>
          <w:color w:val="000000" w:themeColor="text1"/>
          <w:sz w:val="28"/>
          <w:szCs w:val="28"/>
          <w:lang w:val="es-CO"/>
        </w:rPr>
        <w:t>este Tribunal</w:t>
      </w:r>
      <w:r w:rsidRPr="007F2045">
        <w:rPr>
          <w:rFonts w:ascii="Times New Roman" w:hAnsi="Times New Roman"/>
          <w:color w:val="000000" w:themeColor="text1"/>
          <w:sz w:val="28"/>
          <w:szCs w:val="28"/>
          <w:lang w:val="es-CO"/>
        </w:rPr>
        <w:t xml:space="preserve"> esta decisión </w:t>
      </w:r>
      <w:r w:rsidR="005F4767" w:rsidRPr="007F2045">
        <w:rPr>
          <w:rFonts w:ascii="Times New Roman" w:hAnsi="Times New Roman"/>
          <w:color w:val="000000" w:themeColor="text1"/>
          <w:sz w:val="28"/>
          <w:szCs w:val="28"/>
          <w:lang w:val="es-CO"/>
        </w:rPr>
        <w:t>surgi</w:t>
      </w:r>
      <w:r w:rsidR="00FF37B6" w:rsidRPr="007F2045">
        <w:rPr>
          <w:rFonts w:ascii="Times New Roman" w:hAnsi="Times New Roman"/>
          <w:color w:val="000000" w:themeColor="text1"/>
          <w:sz w:val="28"/>
          <w:szCs w:val="28"/>
          <w:lang w:val="es-CO"/>
        </w:rPr>
        <w:t>ó</w:t>
      </w:r>
      <w:r w:rsidRPr="007F2045">
        <w:rPr>
          <w:rFonts w:ascii="Times New Roman" w:hAnsi="Times New Roman"/>
          <w:color w:val="000000" w:themeColor="text1"/>
          <w:sz w:val="28"/>
          <w:szCs w:val="28"/>
          <w:lang w:val="es-CO"/>
        </w:rPr>
        <w:t xml:space="preserve"> de una interpretación sistemática de las competencias </w:t>
      </w:r>
      <w:r w:rsidR="005F4767" w:rsidRPr="007F2045">
        <w:rPr>
          <w:rFonts w:ascii="Times New Roman" w:hAnsi="Times New Roman"/>
          <w:color w:val="000000" w:themeColor="text1"/>
          <w:sz w:val="28"/>
          <w:szCs w:val="28"/>
          <w:lang w:val="es-CO"/>
        </w:rPr>
        <w:t xml:space="preserve">que al juez constitucional </w:t>
      </w:r>
      <w:r w:rsidRPr="007F2045">
        <w:rPr>
          <w:rFonts w:ascii="Times New Roman" w:hAnsi="Times New Roman"/>
          <w:color w:val="000000" w:themeColor="text1"/>
          <w:sz w:val="28"/>
          <w:szCs w:val="28"/>
          <w:lang w:val="es-CO"/>
        </w:rPr>
        <w:t xml:space="preserve">le atribuye la Constitución </w:t>
      </w:r>
      <w:r w:rsidR="005F4767" w:rsidRPr="007F2045">
        <w:rPr>
          <w:rFonts w:ascii="Times New Roman" w:hAnsi="Times New Roman"/>
          <w:color w:val="000000" w:themeColor="text1"/>
          <w:sz w:val="28"/>
          <w:szCs w:val="28"/>
          <w:lang w:val="es-CO"/>
        </w:rPr>
        <w:t xml:space="preserve">y </w:t>
      </w:r>
      <w:r w:rsidRPr="007F2045">
        <w:rPr>
          <w:rFonts w:ascii="Times New Roman" w:hAnsi="Times New Roman"/>
          <w:color w:val="000000" w:themeColor="text1"/>
          <w:sz w:val="28"/>
          <w:szCs w:val="28"/>
          <w:lang w:val="es-CO"/>
        </w:rPr>
        <w:t>que le permite adoptar remedios efectivos para salvaguardar la integridad y supremacía de la Carta.</w:t>
      </w:r>
    </w:p>
    <w:p w14:paraId="102B8E42" w14:textId="77777777" w:rsidR="007E3E0B" w:rsidRPr="007F2045" w:rsidRDefault="007E3E0B" w:rsidP="001B5728">
      <w:pPr>
        <w:pStyle w:val="Prrafodelista"/>
        <w:tabs>
          <w:tab w:val="left" w:pos="284"/>
          <w:tab w:val="left" w:pos="426"/>
        </w:tabs>
        <w:spacing w:after="0" w:line="240" w:lineRule="auto"/>
        <w:ind w:left="0"/>
        <w:rPr>
          <w:rFonts w:ascii="Times New Roman" w:hAnsi="Times New Roman"/>
          <w:color w:val="4472C4" w:themeColor="accent1"/>
          <w:sz w:val="28"/>
          <w:szCs w:val="28"/>
          <w:lang w:val="es-CO"/>
        </w:rPr>
      </w:pPr>
    </w:p>
    <w:p w14:paraId="71FD2E6C" w14:textId="77777777" w:rsidR="007E3E0B" w:rsidRPr="007F2045" w:rsidRDefault="005038E2" w:rsidP="001B5728">
      <w:pPr>
        <w:pStyle w:val="Prrafodelista"/>
        <w:numPr>
          <w:ilvl w:val="0"/>
          <w:numId w:val="2"/>
        </w:numPr>
        <w:tabs>
          <w:tab w:val="left" w:pos="284"/>
          <w:tab w:val="left" w:pos="426"/>
        </w:tabs>
        <w:spacing w:after="0" w:line="240" w:lineRule="auto"/>
        <w:ind w:left="0" w:firstLine="0"/>
        <w:rPr>
          <w:rFonts w:ascii="Times New Roman" w:hAnsi="Times New Roman"/>
          <w:color w:val="000000" w:themeColor="text1"/>
          <w:sz w:val="28"/>
          <w:szCs w:val="28"/>
          <w:lang w:val="es-CO"/>
        </w:rPr>
      </w:pPr>
      <w:r w:rsidRPr="007F2045">
        <w:rPr>
          <w:rFonts w:ascii="Times New Roman" w:hAnsi="Times New Roman"/>
          <w:color w:val="000000" w:themeColor="text1"/>
          <w:sz w:val="28"/>
          <w:szCs w:val="28"/>
          <w:lang w:val="es-CO"/>
        </w:rPr>
        <w:t xml:space="preserve">En este sentido y en </w:t>
      </w:r>
      <w:r w:rsidR="00C846CF" w:rsidRPr="007F2045">
        <w:rPr>
          <w:rFonts w:ascii="Times New Roman" w:hAnsi="Times New Roman"/>
          <w:color w:val="000000" w:themeColor="text1"/>
          <w:sz w:val="28"/>
          <w:szCs w:val="28"/>
          <w:lang w:val="es-CO"/>
        </w:rPr>
        <w:t>el actual contexto</w:t>
      </w:r>
      <w:r w:rsidR="00EC4A2C" w:rsidRPr="007F2045">
        <w:rPr>
          <w:rFonts w:ascii="Times New Roman" w:hAnsi="Times New Roman"/>
          <w:color w:val="000000" w:themeColor="text1"/>
          <w:sz w:val="28"/>
          <w:szCs w:val="28"/>
          <w:lang w:val="es-CO"/>
        </w:rPr>
        <w:t>,</w:t>
      </w:r>
      <w:r w:rsidR="00C846CF" w:rsidRPr="007F2045">
        <w:rPr>
          <w:rFonts w:ascii="Times New Roman" w:hAnsi="Times New Roman"/>
          <w:color w:val="000000" w:themeColor="text1"/>
          <w:sz w:val="28"/>
          <w:szCs w:val="28"/>
          <w:lang w:val="es-CO"/>
        </w:rPr>
        <w:t xml:space="preserve"> en el que se admite la procedencia excepcional de la suspensión provisional de </w:t>
      </w:r>
      <w:r w:rsidR="00382676" w:rsidRPr="007F2045">
        <w:rPr>
          <w:rFonts w:ascii="Times New Roman" w:hAnsi="Times New Roman"/>
          <w:color w:val="000000" w:themeColor="text1"/>
          <w:sz w:val="28"/>
          <w:szCs w:val="28"/>
          <w:lang w:val="es-CO"/>
        </w:rPr>
        <w:t xml:space="preserve">los efectos de </w:t>
      </w:r>
      <w:r w:rsidR="00C846CF" w:rsidRPr="007F2045">
        <w:rPr>
          <w:rFonts w:ascii="Times New Roman" w:hAnsi="Times New Roman"/>
          <w:color w:val="000000" w:themeColor="text1"/>
          <w:sz w:val="28"/>
          <w:szCs w:val="28"/>
          <w:lang w:val="es-CO"/>
        </w:rPr>
        <w:t xml:space="preserve">normas sometidas al control </w:t>
      </w:r>
      <w:r w:rsidR="007854B2" w:rsidRPr="007F2045">
        <w:rPr>
          <w:rFonts w:ascii="Times New Roman" w:hAnsi="Times New Roman"/>
          <w:color w:val="000000" w:themeColor="text1"/>
          <w:sz w:val="28"/>
          <w:szCs w:val="28"/>
          <w:lang w:val="es-CO"/>
        </w:rPr>
        <w:t xml:space="preserve">abstracto de constitucionalidad, es necesario </w:t>
      </w:r>
      <w:r w:rsidR="00782153" w:rsidRPr="007F2045">
        <w:rPr>
          <w:rFonts w:ascii="Times New Roman" w:hAnsi="Times New Roman"/>
          <w:color w:val="000000" w:themeColor="text1"/>
          <w:sz w:val="28"/>
          <w:szCs w:val="28"/>
          <w:lang w:val="es-CO"/>
        </w:rPr>
        <w:t>estudiar con profundidad si es</w:t>
      </w:r>
      <w:r w:rsidR="00764A81" w:rsidRPr="007F2045">
        <w:rPr>
          <w:rFonts w:ascii="Times New Roman" w:hAnsi="Times New Roman"/>
          <w:color w:val="000000" w:themeColor="text1"/>
          <w:sz w:val="28"/>
          <w:szCs w:val="28"/>
          <w:lang w:val="es-CO"/>
        </w:rPr>
        <w:t>ta medida también es aplicable a los decretos expedidos al amparo de los estados de excepción</w:t>
      </w:r>
      <w:r w:rsidR="002851C7" w:rsidRPr="007F2045">
        <w:rPr>
          <w:rFonts w:ascii="Times New Roman" w:hAnsi="Times New Roman"/>
          <w:color w:val="000000" w:themeColor="text1"/>
          <w:sz w:val="28"/>
          <w:szCs w:val="28"/>
          <w:lang w:val="es-CO"/>
        </w:rPr>
        <w:t>.</w:t>
      </w:r>
      <w:r w:rsidR="00872708" w:rsidRPr="007F2045">
        <w:rPr>
          <w:rFonts w:ascii="Times New Roman" w:hAnsi="Times New Roman"/>
          <w:color w:val="000000" w:themeColor="text1"/>
          <w:sz w:val="28"/>
          <w:szCs w:val="28"/>
          <w:lang w:val="es-CO"/>
        </w:rPr>
        <w:t xml:space="preserve"> </w:t>
      </w:r>
      <w:r w:rsidR="002851C7" w:rsidRPr="007F2045">
        <w:rPr>
          <w:rFonts w:ascii="Times New Roman" w:hAnsi="Times New Roman"/>
          <w:color w:val="000000" w:themeColor="text1"/>
          <w:sz w:val="28"/>
          <w:szCs w:val="28"/>
          <w:lang w:val="es-CO"/>
        </w:rPr>
        <w:t>E</w:t>
      </w:r>
      <w:r w:rsidR="00872708" w:rsidRPr="007F2045">
        <w:rPr>
          <w:rFonts w:ascii="Times New Roman" w:hAnsi="Times New Roman"/>
          <w:color w:val="000000" w:themeColor="text1"/>
          <w:sz w:val="28"/>
          <w:szCs w:val="28"/>
          <w:lang w:val="es-CO"/>
        </w:rPr>
        <w:t xml:space="preserve">l auto 272 de 2023 no fue </w:t>
      </w:r>
      <w:r w:rsidR="00310359" w:rsidRPr="007F2045">
        <w:rPr>
          <w:rFonts w:ascii="Times New Roman" w:hAnsi="Times New Roman"/>
          <w:color w:val="000000" w:themeColor="text1"/>
          <w:sz w:val="28"/>
          <w:szCs w:val="28"/>
          <w:lang w:val="es-CO"/>
        </w:rPr>
        <w:t>concluyente sobre ese particular</w:t>
      </w:r>
      <w:r w:rsidR="00FC121F" w:rsidRPr="007F2045">
        <w:rPr>
          <w:rFonts w:ascii="Times New Roman" w:hAnsi="Times New Roman"/>
          <w:color w:val="000000" w:themeColor="text1"/>
          <w:sz w:val="28"/>
          <w:szCs w:val="28"/>
          <w:lang w:val="es-CO"/>
        </w:rPr>
        <w:t>, ya que en esa ocasión la Corte no estudiaba la constitucionalidad de una norma de esa naturaleza</w:t>
      </w:r>
      <w:r w:rsidR="000C42A2" w:rsidRPr="007F2045">
        <w:rPr>
          <w:rFonts w:ascii="Times New Roman" w:hAnsi="Times New Roman"/>
          <w:color w:val="000000" w:themeColor="text1"/>
          <w:sz w:val="28"/>
          <w:szCs w:val="28"/>
          <w:lang w:val="es-CO"/>
        </w:rPr>
        <w:t xml:space="preserve">. Esto puede generar </w:t>
      </w:r>
      <w:r w:rsidR="00082B91" w:rsidRPr="007F2045">
        <w:rPr>
          <w:rFonts w:ascii="Times New Roman" w:hAnsi="Times New Roman"/>
          <w:color w:val="000000" w:themeColor="text1"/>
          <w:sz w:val="28"/>
          <w:szCs w:val="28"/>
          <w:lang w:val="es-CO"/>
        </w:rPr>
        <w:t xml:space="preserve">tensiones constitucionales </w:t>
      </w:r>
      <w:r w:rsidR="000C42A2" w:rsidRPr="007F2045">
        <w:rPr>
          <w:rFonts w:ascii="Times New Roman" w:hAnsi="Times New Roman"/>
          <w:color w:val="000000" w:themeColor="text1"/>
          <w:sz w:val="28"/>
          <w:szCs w:val="28"/>
          <w:lang w:val="es-CO"/>
        </w:rPr>
        <w:t>que es preciso evaluar</w:t>
      </w:r>
      <w:r w:rsidR="00895537" w:rsidRPr="007F2045">
        <w:rPr>
          <w:rFonts w:ascii="Times New Roman" w:hAnsi="Times New Roman"/>
          <w:color w:val="000000" w:themeColor="text1"/>
          <w:sz w:val="28"/>
          <w:szCs w:val="28"/>
          <w:lang w:val="es-CO"/>
        </w:rPr>
        <w:t xml:space="preserve">, como se hará en la </w:t>
      </w:r>
      <w:r w:rsidR="00DD1E25" w:rsidRPr="007F2045">
        <w:rPr>
          <w:rFonts w:ascii="Times New Roman" w:hAnsi="Times New Roman"/>
          <w:b/>
          <w:bCs/>
          <w:color w:val="000000" w:themeColor="text1"/>
          <w:sz w:val="28"/>
          <w:szCs w:val="28"/>
          <w:lang w:val="es-CO"/>
        </w:rPr>
        <w:t>s</w:t>
      </w:r>
      <w:r w:rsidR="00895537" w:rsidRPr="007F2045">
        <w:rPr>
          <w:rFonts w:ascii="Times New Roman" w:hAnsi="Times New Roman"/>
          <w:b/>
          <w:bCs/>
          <w:color w:val="000000" w:themeColor="text1"/>
          <w:sz w:val="28"/>
          <w:szCs w:val="28"/>
          <w:lang w:val="es-CO"/>
        </w:rPr>
        <w:t>ección 3.</w:t>
      </w:r>
      <w:r w:rsidR="00CE2880" w:rsidRPr="007F2045">
        <w:rPr>
          <w:rFonts w:ascii="Times New Roman" w:hAnsi="Times New Roman"/>
          <w:b/>
          <w:bCs/>
          <w:color w:val="000000" w:themeColor="text1"/>
          <w:sz w:val="28"/>
          <w:szCs w:val="28"/>
          <w:lang w:val="es-CO"/>
        </w:rPr>
        <w:t>3</w:t>
      </w:r>
      <w:r w:rsidR="00895537" w:rsidRPr="007F2045">
        <w:rPr>
          <w:rFonts w:ascii="Times New Roman" w:hAnsi="Times New Roman"/>
          <w:color w:val="000000" w:themeColor="text1"/>
          <w:sz w:val="28"/>
          <w:szCs w:val="28"/>
          <w:lang w:val="es-CO"/>
        </w:rPr>
        <w:t xml:space="preserve"> de este auto</w:t>
      </w:r>
      <w:r w:rsidR="00F32564" w:rsidRPr="007F2045">
        <w:rPr>
          <w:rFonts w:ascii="Times New Roman" w:hAnsi="Times New Roman"/>
          <w:color w:val="000000" w:themeColor="text1"/>
          <w:sz w:val="28"/>
          <w:szCs w:val="28"/>
          <w:lang w:val="es-CO"/>
        </w:rPr>
        <w:t>.</w:t>
      </w:r>
      <w:r w:rsidR="0051268B" w:rsidRPr="007F2045">
        <w:rPr>
          <w:rFonts w:ascii="Times New Roman" w:hAnsi="Times New Roman"/>
          <w:color w:val="000000" w:themeColor="text1"/>
          <w:sz w:val="28"/>
          <w:szCs w:val="28"/>
          <w:lang w:val="es-CO"/>
        </w:rPr>
        <w:t xml:space="preserve"> </w:t>
      </w:r>
      <w:r w:rsidR="00F32564" w:rsidRPr="007F2045">
        <w:rPr>
          <w:rFonts w:ascii="Times New Roman" w:hAnsi="Times New Roman"/>
          <w:color w:val="000000" w:themeColor="text1"/>
          <w:sz w:val="28"/>
          <w:szCs w:val="28"/>
          <w:lang w:val="es-CO"/>
        </w:rPr>
        <w:t>A</w:t>
      </w:r>
      <w:r w:rsidR="00AA5300" w:rsidRPr="007F2045">
        <w:rPr>
          <w:rFonts w:ascii="Times New Roman" w:hAnsi="Times New Roman"/>
          <w:color w:val="000000" w:themeColor="text1"/>
          <w:sz w:val="28"/>
          <w:szCs w:val="28"/>
          <w:lang w:val="es-CO"/>
        </w:rPr>
        <w:t>demás</w:t>
      </w:r>
      <w:r w:rsidR="00872708" w:rsidRPr="007F2045">
        <w:rPr>
          <w:rFonts w:ascii="Times New Roman" w:hAnsi="Times New Roman"/>
          <w:color w:val="000000" w:themeColor="text1"/>
          <w:sz w:val="28"/>
          <w:szCs w:val="28"/>
          <w:lang w:val="es-CO"/>
        </w:rPr>
        <w:t>,</w:t>
      </w:r>
      <w:r w:rsidR="00AA5300" w:rsidRPr="007F2045">
        <w:rPr>
          <w:rFonts w:ascii="Times New Roman" w:hAnsi="Times New Roman"/>
          <w:color w:val="000000" w:themeColor="text1"/>
          <w:sz w:val="28"/>
          <w:szCs w:val="28"/>
          <w:lang w:val="es-CO"/>
        </w:rPr>
        <w:t xml:space="preserve"> </w:t>
      </w:r>
      <w:r w:rsidR="0051268B" w:rsidRPr="007F2045">
        <w:rPr>
          <w:rFonts w:ascii="Times New Roman" w:hAnsi="Times New Roman"/>
          <w:color w:val="000000" w:themeColor="text1"/>
          <w:sz w:val="28"/>
          <w:szCs w:val="28"/>
          <w:lang w:val="es-CO"/>
        </w:rPr>
        <w:t xml:space="preserve">debe examinarse si la </w:t>
      </w:r>
      <w:r w:rsidR="00C02050" w:rsidRPr="007F2045">
        <w:rPr>
          <w:rFonts w:ascii="Times New Roman" w:hAnsi="Times New Roman"/>
          <w:color w:val="000000" w:themeColor="text1"/>
          <w:sz w:val="28"/>
          <w:szCs w:val="28"/>
          <w:lang w:val="es-CO"/>
        </w:rPr>
        <w:t>sentencia C-179 de 1994</w:t>
      </w:r>
      <w:r w:rsidR="005C23EF" w:rsidRPr="007F2045">
        <w:rPr>
          <w:rFonts w:ascii="Times New Roman" w:hAnsi="Times New Roman"/>
          <w:color w:val="000000" w:themeColor="text1"/>
          <w:sz w:val="28"/>
          <w:szCs w:val="28"/>
          <w:lang w:val="es-CO"/>
        </w:rPr>
        <w:t>,</w:t>
      </w:r>
      <w:r w:rsidR="00C02050" w:rsidRPr="007F2045">
        <w:rPr>
          <w:rFonts w:ascii="Times New Roman" w:hAnsi="Times New Roman"/>
          <w:color w:val="000000" w:themeColor="text1"/>
          <w:sz w:val="28"/>
          <w:szCs w:val="28"/>
          <w:lang w:val="es-CO"/>
        </w:rPr>
        <w:t xml:space="preserve"> que realizó el control previo de</w:t>
      </w:r>
      <w:r w:rsidR="0091705A" w:rsidRPr="007F2045">
        <w:rPr>
          <w:rFonts w:ascii="Times New Roman" w:hAnsi="Times New Roman"/>
          <w:color w:val="000000" w:themeColor="text1"/>
          <w:sz w:val="28"/>
          <w:szCs w:val="28"/>
          <w:lang w:val="es-CO"/>
        </w:rPr>
        <w:t>l</w:t>
      </w:r>
      <w:r w:rsidR="00C02050" w:rsidRPr="007F2045">
        <w:rPr>
          <w:rFonts w:ascii="Times New Roman" w:hAnsi="Times New Roman"/>
          <w:color w:val="000000" w:themeColor="text1"/>
          <w:sz w:val="28"/>
          <w:szCs w:val="28"/>
          <w:lang w:val="es-CO"/>
        </w:rPr>
        <w:t xml:space="preserve"> </w:t>
      </w:r>
      <w:r w:rsidR="0091705A" w:rsidRPr="007F2045">
        <w:rPr>
          <w:rFonts w:ascii="Times New Roman" w:hAnsi="Times New Roman"/>
          <w:color w:val="000000" w:themeColor="text1"/>
          <w:sz w:val="28"/>
          <w:szCs w:val="28"/>
          <w:lang w:val="es-CO"/>
        </w:rPr>
        <w:t>proyecto de ley estatutaria que regulaba los estados de excepción (en adelante, PLEEE)</w:t>
      </w:r>
      <w:r w:rsidR="0091705A" w:rsidRPr="007F2045">
        <w:rPr>
          <w:rFonts w:ascii="Times New Roman" w:hAnsi="Times New Roman"/>
          <w:color w:val="000000" w:themeColor="text1"/>
          <w:szCs w:val="28"/>
          <w:vertAlign w:val="superscript"/>
          <w:lang w:val="es-CO"/>
        </w:rPr>
        <w:footnoteReference w:id="15"/>
      </w:r>
      <w:r w:rsidR="005C23EF" w:rsidRPr="007F2045">
        <w:rPr>
          <w:rFonts w:ascii="Times New Roman" w:hAnsi="Times New Roman"/>
          <w:color w:val="000000" w:themeColor="text1"/>
          <w:sz w:val="28"/>
          <w:szCs w:val="28"/>
          <w:lang w:val="es-CO"/>
        </w:rPr>
        <w:t xml:space="preserve">, </w:t>
      </w:r>
      <w:r w:rsidR="0099397C" w:rsidRPr="007F2045">
        <w:rPr>
          <w:rFonts w:ascii="Times New Roman" w:hAnsi="Times New Roman"/>
          <w:color w:val="000000" w:themeColor="text1"/>
          <w:sz w:val="28"/>
          <w:szCs w:val="28"/>
          <w:lang w:val="es-CO"/>
        </w:rPr>
        <w:t>impide el uso de este mecanismo frente a dichas normas</w:t>
      </w:r>
      <w:r w:rsidR="001F0A6E" w:rsidRPr="007F2045">
        <w:rPr>
          <w:rFonts w:ascii="Times New Roman" w:hAnsi="Times New Roman"/>
          <w:color w:val="000000" w:themeColor="text1"/>
          <w:sz w:val="28"/>
          <w:szCs w:val="28"/>
          <w:lang w:val="es-CO"/>
        </w:rPr>
        <w:t>.</w:t>
      </w:r>
      <w:r w:rsidR="00206360" w:rsidRPr="007F2045">
        <w:rPr>
          <w:rFonts w:ascii="Times New Roman" w:hAnsi="Times New Roman"/>
          <w:color w:val="000000" w:themeColor="text1"/>
          <w:sz w:val="28"/>
          <w:szCs w:val="28"/>
          <w:lang w:val="es-CO"/>
        </w:rPr>
        <w:t xml:space="preserve"> </w:t>
      </w:r>
      <w:r w:rsidR="00895537" w:rsidRPr="007F2045">
        <w:rPr>
          <w:rFonts w:ascii="Times New Roman" w:hAnsi="Times New Roman"/>
          <w:color w:val="000000" w:themeColor="text1"/>
          <w:sz w:val="28"/>
          <w:szCs w:val="28"/>
          <w:lang w:val="es-CO"/>
        </w:rPr>
        <w:t xml:space="preserve">Este último punto será abordado </w:t>
      </w:r>
      <w:r w:rsidR="004C03B7" w:rsidRPr="007F2045">
        <w:rPr>
          <w:rFonts w:ascii="Times New Roman" w:hAnsi="Times New Roman"/>
          <w:color w:val="000000" w:themeColor="text1"/>
          <w:sz w:val="28"/>
          <w:szCs w:val="28"/>
          <w:lang w:val="es-CO"/>
        </w:rPr>
        <w:t xml:space="preserve">más adelante, </w:t>
      </w:r>
      <w:r w:rsidR="00895537" w:rsidRPr="007F2045">
        <w:rPr>
          <w:rFonts w:ascii="Times New Roman" w:hAnsi="Times New Roman"/>
          <w:color w:val="000000" w:themeColor="text1"/>
          <w:sz w:val="28"/>
          <w:szCs w:val="28"/>
          <w:lang w:val="es-CO"/>
        </w:rPr>
        <w:t xml:space="preserve">en la </w:t>
      </w:r>
      <w:r w:rsidR="00DD1E25" w:rsidRPr="007F2045">
        <w:rPr>
          <w:rFonts w:ascii="Times New Roman" w:hAnsi="Times New Roman"/>
          <w:b/>
          <w:bCs/>
          <w:color w:val="000000" w:themeColor="text1"/>
          <w:sz w:val="28"/>
          <w:szCs w:val="28"/>
          <w:lang w:val="es-CO"/>
        </w:rPr>
        <w:t>s</w:t>
      </w:r>
      <w:r w:rsidR="00895537" w:rsidRPr="007F2045">
        <w:rPr>
          <w:rFonts w:ascii="Times New Roman" w:hAnsi="Times New Roman"/>
          <w:b/>
          <w:bCs/>
          <w:color w:val="000000" w:themeColor="text1"/>
          <w:sz w:val="28"/>
          <w:szCs w:val="28"/>
          <w:lang w:val="es-CO"/>
        </w:rPr>
        <w:t xml:space="preserve">ección </w:t>
      </w:r>
      <w:r w:rsidR="00407BA8" w:rsidRPr="007F2045">
        <w:rPr>
          <w:rFonts w:ascii="Times New Roman" w:hAnsi="Times New Roman"/>
          <w:b/>
          <w:bCs/>
          <w:color w:val="000000" w:themeColor="text1"/>
          <w:sz w:val="28"/>
          <w:szCs w:val="28"/>
          <w:lang w:val="es-CO"/>
        </w:rPr>
        <w:t>4</w:t>
      </w:r>
      <w:r w:rsidR="00407BA8" w:rsidRPr="007F2045">
        <w:rPr>
          <w:rFonts w:ascii="Times New Roman" w:hAnsi="Times New Roman"/>
          <w:color w:val="000000" w:themeColor="text1"/>
          <w:sz w:val="28"/>
          <w:szCs w:val="28"/>
          <w:lang w:val="es-CO"/>
        </w:rPr>
        <w:t xml:space="preserve"> de esta providencia</w:t>
      </w:r>
      <w:r w:rsidR="004C03B7" w:rsidRPr="007F2045">
        <w:rPr>
          <w:rFonts w:ascii="Times New Roman" w:hAnsi="Times New Roman"/>
          <w:color w:val="000000" w:themeColor="text1"/>
          <w:sz w:val="28"/>
          <w:szCs w:val="28"/>
          <w:lang w:val="es-CO"/>
        </w:rPr>
        <w:t>.</w:t>
      </w:r>
      <w:r w:rsidR="00407BA8" w:rsidRPr="007F2045">
        <w:rPr>
          <w:rFonts w:ascii="Times New Roman" w:hAnsi="Times New Roman"/>
          <w:color w:val="000000" w:themeColor="text1"/>
          <w:sz w:val="28"/>
          <w:szCs w:val="28"/>
          <w:lang w:val="es-CO"/>
        </w:rPr>
        <w:t xml:space="preserve"> </w:t>
      </w:r>
    </w:p>
    <w:p w14:paraId="18EAEB22" w14:textId="77777777" w:rsidR="4FE0F89F" w:rsidRPr="007F2045" w:rsidRDefault="4FE0F89F" w:rsidP="001B5728">
      <w:pPr>
        <w:spacing w:after="0" w:line="240" w:lineRule="auto"/>
        <w:rPr>
          <w:rFonts w:ascii="Times New Roman" w:hAnsi="Times New Roman"/>
          <w:sz w:val="28"/>
          <w:szCs w:val="28"/>
          <w:lang w:val="es-CO"/>
        </w:rPr>
      </w:pPr>
    </w:p>
    <w:p w14:paraId="074B419C" w14:textId="77777777" w:rsidR="00315960" w:rsidRPr="007F2045" w:rsidRDefault="00A43A33" w:rsidP="001B5728">
      <w:pPr>
        <w:pStyle w:val="Subttulo"/>
        <w:tabs>
          <w:tab w:val="left" w:pos="1276"/>
        </w:tabs>
        <w:ind w:left="1276" w:hanging="567"/>
        <w:rPr>
          <w:lang w:val="es-CO"/>
        </w:rPr>
      </w:pPr>
      <w:r w:rsidRPr="007F2045">
        <w:rPr>
          <w:lang w:val="es-CO"/>
        </w:rPr>
        <w:t>Las tensiones constitucionales</w:t>
      </w:r>
      <w:r w:rsidR="00310359" w:rsidRPr="007F2045">
        <w:rPr>
          <w:lang w:val="es-CO"/>
        </w:rPr>
        <w:t xml:space="preserve"> vinculadas</w:t>
      </w:r>
      <w:r w:rsidRPr="007F2045">
        <w:rPr>
          <w:lang w:val="es-CO"/>
        </w:rPr>
        <w:t xml:space="preserve"> a la suspensión provisional </w:t>
      </w:r>
      <w:r w:rsidR="00315960" w:rsidRPr="007F2045">
        <w:rPr>
          <w:lang w:val="es-CO"/>
        </w:rPr>
        <w:t xml:space="preserve">en los estados de excepción </w:t>
      </w:r>
    </w:p>
    <w:p w14:paraId="6D20B15F" w14:textId="77777777" w:rsidR="00315960" w:rsidRPr="007F2045" w:rsidRDefault="00315960" w:rsidP="001B5728">
      <w:pPr>
        <w:spacing w:after="0" w:line="240" w:lineRule="auto"/>
        <w:rPr>
          <w:lang w:val="es-CO"/>
        </w:rPr>
      </w:pPr>
    </w:p>
    <w:p w14:paraId="1A417017" w14:textId="77777777" w:rsidR="00E1003A" w:rsidRPr="007F2045" w:rsidRDefault="00AB10CC" w:rsidP="001B5728">
      <w:pPr>
        <w:pStyle w:val="Prrafodelista"/>
        <w:numPr>
          <w:ilvl w:val="0"/>
          <w:numId w:val="2"/>
        </w:numPr>
        <w:tabs>
          <w:tab w:val="left" w:pos="426"/>
          <w:tab w:val="left" w:pos="567"/>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L</w:t>
      </w:r>
      <w:r w:rsidR="00B219E7" w:rsidRPr="007F2045">
        <w:rPr>
          <w:rFonts w:ascii="Times New Roman" w:hAnsi="Times New Roman"/>
          <w:sz w:val="28"/>
          <w:szCs w:val="28"/>
          <w:lang w:val="es-CO"/>
        </w:rPr>
        <w:t>a pregunta que en esta oportunidad se somete a</w:t>
      </w:r>
      <w:r w:rsidR="00310359" w:rsidRPr="007F2045">
        <w:rPr>
          <w:rFonts w:ascii="Times New Roman" w:hAnsi="Times New Roman"/>
          <w:sz w:val="28"/>
          <w:szCs w:val="28"/>
          <w:lang w:val="es-CO"/>
        </w:rPr>
        <w:t xml:space="preserve"> consideración</w:t>
      </w:r>
      <w:r w:rsidR="00B219E7" w:rsidRPr="007F2045">
        <w:rPr>
          <w:rFonts w:ascii="Times New Roman" w:hAnsi="Times New Roman"/>
          <w:sz w:val="28"/>
          <w:szCs w:val="28"/>
          <w:lang w:val="es-CO"/>
        </w:rPr>
        <w:t xml:space="preserve"> </w:t>
      </w:r>
      <w:r w:rsidRPr="007F2045">
        <w:rPr>
          <w:rFonts w:ascii="Times New Roman" w:hAnsi="Times New Roman"/>
          <w:sz w:val="28"/>
          <w:szCs w:val="28"/>
          <w:lang w:val="es-CO"/>
        </w:rPr>
        <w:t xml:space="preserve">de la Corte </w:t>
      </w:r>
      <w:r w:rsidR="00B219E7" w:rsidRPr="007F2045">
        <w:rPr>
          <w:rFonts w:ascii="Times New Roman" w:hAnsi="Times New Roman"/>
          <w:sz w:val="28"/>
          <w:szCs w:val="28"/>
          <w:lang w:val="es-CO"/>
        </w:rPr>
        <w:t>es si la figura de la suspensión provisiona</w:t>
      </w:r>
      <w:r w:rsidR="003A360A" w:rsidRPr="007F2045">
        <w:rPr>
          <w:rFonts w:ascii="Times New Roman" w:hAnsi="Times New Roman"/>
          <w:sz w:val="28"/>
          <w:szCs w:val="28"/>
          <w:lang w:val="es-CO"/>
        </w:rPr>
        <w:t>l</w:t>
      </w:r>
      <w:r w:rsidR="00B219E7" w:rsidRPr="007F2045">
        <w:rPr>
          <w:rFonts w:ascii="Times New Roman" w:hAnsi="Times New Roman"/>
          <w:sz w:val="28"/>
          <w:szCs w:val="28"/>
          <w:lang w:val="es-CO"/>
        </w:rPr>
        <w:t>, que ya ha sido aceptada por es</w:t>
      </w:r>
      <w:r w:rsidR="00585035" w:rsidRPr="007F2045">
        <w:rPr>
          <w:rFonts w:ascii="Times New Roman" w:hAnsi="Times New Roman"/>
          <w:sz w:val="28"/>
          <w:szCs w:val="28"/>
          <w:lang w:val="es-CO"/>
        </w:rPr>
        <w:t>t</w:t>
      </w:r>
      <w:r w:rsidR="00B219E7" w:rsidRPr="007F2045">
        <w:rPr>
          <w:rFonts w:ascii="Times New Roman" w:hAnsi="Times New Roman"/>
          <w:sz w:val="28"/>
          <w:szCs w:val="28"/>
          <w:lang w:val="es-CO"/>
        </w:rPr>
        <w:t>a Corporación frente a leyes ordinarias, sería</w:t>
      </w:r>
      <w:r w:rsidR="00310359" w:rsidRPr="007F2045">
        <w:rPr>
          <w:rFonts w:ascii="Times New Roman" w:hAnsi="Times New Roman"/>
          <w:sz w:val="28"/>
          <w:szCs w:val="28"/>
          <w:lang w:val="es-CO"/>
        </w:rPr>
        <w:t xml:space="preserve"> aplicable a los decretos dictados al amparo de lo previsto en los artículos 212</w:t>
      </w:r>
      <w:r w:rsidR="005376C3" w:rsidRPr="007F2045">
        <w:rPr>
          <w:rFonts w:ascii="Times New Roman" w:hAnsi="Times New Roman"/>
          <w:sz w:val="28"/>
          <w:szCs w:val="28"/>
          <w:lang w:val="es-CO"/>
        </w:rPr>
        <w:t xml:space="preserve"> a </w:t>
      </w:r>
      <w:r w:rsidR="00310359" w:rsidRPr="007F2045">
        <w:rPr>
          <w:rFonts w:ascii="Times New Roman" w:hAnsi="Times New Roman"/>
          <w:sz w:val="28"/>
          <w:szCs w:val="28"/>
          <w:lang w:val="es-CO"/>
        </w:rPr>
        <w:t>215</w:t>
      </w:r>
      <w:r w:rsidR="005376C3" w:rsidRPr="007F2045">
        <w:rPr>
          <w:rFonts w:ascii="Times New Roman" w:hAnsi="Times New Roman"/>
          <w:sz w:val="28"/>
          <w:szCs w:val="28"/>
          <w:lang w:val="es-CO"/>
        </w:rPr>
        <w:t xml:space="preserve"> de la Constitución</w:t>
      </w:r>
      <w:r w:rsidR="00B219E7" w:rsidRPr="007F2045">
        <w:rPr>
          <w:rFonts w:ascii="Times New Roman" w:hAnsi="Times New Roman"/>
          <w:sz w:val="28"/>
          <w:szCs w:val="28"/>
          <w:lang w:val="es-CO"/>
        </w:rPr>
        <w:t xml:space="preserve">. </w:t>
      </w:r>
    </w:p>
    <w:p w14:paraId="5B75EF75" w14:textId="77777777" w:rsidR="005E25FD" w:rsidRPr="007F2045" w:rsidRDefault="005E25FD" w:rsidP="001B5728">
      <w:pPr>
        <w:pStyle w:val="Prrafodelista"/>
        <w:spacing w:after="0" w:line="240" w:lineRule="auto"/>
        <w:rPr>
          <w:rFonts w:ascii="Times New Roman" w:hAnsi="Times New Roman"/>
          <w:sz w:val="28"/>
          <w:szCs w:val="28"/>
          <w:lang w:val="es-CO"/>
        </w:rPr>
      </w:pPr>
    </w:p>
    <w:p w14:paraId="567031D2" w14:textId="77777777" w:rsidR="00ED63F1" w:rsidRPr="007F2045" w:rsidRDefault="005E25FD" w:rsidP="001B5728">
      <w:pPr>
        <w:pStyle w:val="Prrafodelista"/>
        <w:numPr>
          <w:ilvl w:val="0"/>
          <w:numId w:val="2"/>
        </w:numPr>
        <w:tabs>
          <w:tab w:val="left" w:pos="426"/>
          <w:tab w:val="left" w:pos="567"/>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lastRenderedPageBreak/>
        <w:t xml:space="preserve">A juicio de </w:t>
      </w:r>
      <w:r w:rsidR="005204F0" w:rsidRPr="007F2045">
        <w:rPr>
          <w:rFonts w:ascii="Times New Roman" w:hAnsi="Times New Roman"/>
          <w:sz w:val="28"/>
          <w:szCs w:val="28"/>
          <w:lang w:val="es-CO"/>
        </w:rPr>
        <w:t>este Tribunal</w:t>
      </w:r>
      <w:r w:rsidRPr="007F2045">
        <w:rPr>
          <w:rFonts w:ascii="Times New Roman" w:hAnsi="Times New Roman"/>
          <w:sz w:val="28"/>
          <w:szCs w:val="28"/>
          <w:lang w:val="es-CO"/>
        </w:rPr>
        <w:t>, hay consideraciones de peso para hacer es</w:t>
      </w:r>
      <w:r w:rsidR="004B5FF6" w:rsidRPr="007F2045">
        <w:rPr>
          <w:rFonts w:ascii="Times New Roman" w:hAnsi="Times New Roman"/>
          <w:sz w:val="28"/>
          <w:szCs w:val="28"/>
          <w:lang w:val="es-CO"/>
        </w:rPr>
        <w:t>t</w:t>
      </w:r>
      <w:r w:rsidR="0046310E" w:rsidRPr="007F2045">
        <w:rPr>
          <w:rFonts w:ascii="Times New Roman" w:hAnsi="Times New Roman"/>
          <w:sz w:val="28"/>
          <w:szCs w:val="28"/>
          <w:lang w:val="es-CO"/>
        </w:rPr>
        <w:t>e</w:t>
      </w:r>
      <w:r w:rsidRPr="007F2045">
        <w:rPr>
          <w:rFonts w:ascii="Times New Roman" w:hAnsi="Times New Roman"/>
          <w:sz w:val="28"/>
          <w:szCs w:val="28"/>
          <w:lang w:val="es-CO"/>
        </w:rPr>
        <w:t xml:space="preserve"> análisis. </w:t>
      </w:r>
      <w:r w:rsidR="00036E30" w:rsidRPr="007F2045">
        <w:rPr>
          <w:rFonts w:ascii="Times New Roman" w:hAnsi="Times New Roman"/>
          <w:sz w:val="28"/>
          <w:szCs w:val="28"/>
          <w:lang w:val="es-CO"/>
        </w:rPr>
        <w:t>L</w:t>
      </w:r>
      <w:r w:rsidR="00DC2420" w:rsidRPr="007F2045">
        <w:rPr>
          <w:rFonts w:ascii="Times New Roman" w:hAnsi="Times New Roman"/>
          <w:sz w:val="28"/>
          <w:szCs w:val="28"/>
          <w:lang w:val="es-CO"/>
        </w:rPr>
        <w:t>os estados de excepción</w:t>
      </w:r>
      <w:r w:rsidR="00382676" w:rsidRPr="007F2045">
        <w:rPr>
          <w:rFonts w:ascii="Times New Roman" w:hAnsi="Times New Roman"/>
          <w:sz w:val="28"/>
          <w:szCs w:val="28"/>
          <w:lang w:val="es-CO"/>
        </w:rPr>
        <w:t xml:space="preserve"> impactan</w:t>
      </w:r>
      <w:r w:rsidR="009F22A3" w:rsidRPr="007F2045">
        <w:rPr>
          <w:rFonts w:ascii="Times New Roman" w:hAnsi="Times New Roman"/>
          <w:sz w:val="28"/>
          <w:szCs w:val="28"/>
          <w:lang w:val="es-CO"/>
        </w:rPr>
        <w:t xml:space="preserve"> </w:t>
      </w:r>
      <w:r w:rsidR="00DC2420" w:rsidRPr="007F2045">
        <w:rPr>
          <w:rFonts w:ascii="Times New Roman" w:hAnsi="Times New Roman"/>
          <w:sz w:val="28"/>
          <w:szCs w:val="28"/>
          <w:lang w:val="es-CO"/>
        </w:rPr>
        <w:t xml:space="preserve">los elementos fundamentales del </w:t>
      </w:r>
      <w:r w:rsidR="005038E2" w:rsidRPr="007F2045">
        <w:rPr>
          <w:rFonts w:ascii="Times New Roman" w:hAnsi="Times New Roman"/>
          <w:sz w:val="28"/>
          <w:szCs w:val="28"/>
          <w:lang w:val="es-CO"/>
        </w:rPr>
        <w:t xml:space="preserve">Estado Social </w:t>
      </w:r>
      <w:r w:rsidR="00DC2420" w:rsidRPr="007F2045">
        <w:rPr>
          <w:rFonts w:ascii="Times New Roman" w:hAnsi="Times New Roman"/>
          <w:sz w:val="28"/>
          <w:szCs w:val="28"/>
          <w:lang w:val="es-CO"/>
        </w:rPr>
        <w:t xml:space="preserve">de </w:t>
      </w:r>
      <w:r w:rsidR="005038E2" w:rsidRPr="007F2045">
        <w:rPr>
          <w:rFonts w:ascii="Times New Roman" w:hAnsi="Times New Roman"/>
          <w:sz w:val="28"/>
          <w:szCs w:val="28"/>
          <w:lang w:val="es-CO"/>
        </w:rPr>
        <w:t>Derecho</w:t>
      </w:r>
      <w:r w:rsidR="00536F88" w:rsidRPr="007F2045">
        <w:rPr>
          <w:rFonts w:ascii="Times New Roman" w:hAnsi="Times New Roman"/>
          <w:sz w:val="28"/>
          <w:szCs w:val="28"/>
          <w:lang w:val="es-CO"/>
        </w:rPr>
        <w:t xml:space="preserve">, como </w:t>
      </w:r>
      <w:r w:rsidR="002347B9" w:rsidRPr="007F2045">
        <w:rPr>
          <w:rFonts w:ascii="Times New Roman" w:hAnsi="Times New Roman"/>
          <w:sz w:val="28"/>
          <w:szCs w:val="28"/>
          <w:lang w:val="es-CO"/>
        </w:rPr>
        <w:t xml:space="preserve">lo son </w:t>
      </w:r>
      <w:r w:rsidR="00382676" w:rsidRPr="007F2045">
        <w:rPr>
          <w:rFonts w:ascii="Times New Roman" w:hAnsi="Times New Roman"/>
          <w:sz w:val="28"/>
          <w:szCs w:val="28"/>
          <w:lang w:val="es-CO"/>
        </w:rPr>
        <w:t xml:space="preserve">el principio democrático, </w:t>
      </w:r>
      <w:r w:rsidR="00536F88" w:rsidRPr="007F2045">
        <w:rPr>
          <w:rFonts w:ascii="Times New Roman" w:hAnsi="Times New Roman"/>
          <w:sz w:val="28"/>
          <w:szCs w:val="28"/>
          <w:lang w:val="es-CO"/>
        </w:rPr>
        <w:t xml:space="preserve">la separación de poderes y </w:t>
      </w:r>
      <w:r w:rsidR="009F22A3" w:rsidRPr="007F2045">
        <w:rPr>
          <w:rFonts w:ascii="Times New Roman" w:hAnsi="Times New Roman"/>
          <w:sz w:val="28"/>
          <w:szCs w:val="28"/>
          <w:lang w:val="es-CO"/>
        </w:rPr>
        <w:t xml:space="preserve">la garantía de los </w:t>
      </w:r>
      <w:r w:rsidR="00D55FD7" w:rsidRPr="007F2045">
        <w:rPr>
          <w:rFonts w:ascii="Times New Roman" w:hAnsi="Times New Roman"/>
          <w:sz w:val="28"/>
          <w:szCs w:val="28"/>
          <w:lang w:val="es-CO"/>
        </w:rPr>
        <w:t xml:space="preserve">derechos </w:t>
      </w:r>
      <w:r w:rsidR="002A46CA" w:rsidRPr="007F2045">
        <w:rPr>
          <w:rFonts w:ascii="Times New Roman" w:hAnsi="Times New Roman"/>
          <w:sz w:val="28"/>
          <w:szCs w:val="28"/>
          <w:lang w:val="es-CO"/>
        </w:rPr>
        <w:t>fundamentales</w:t>
      </w:r>
      <w:r w:rsidR="002347B9" w:rsidRPr="007F2045">
        <w:rPr>
          <w:rFonts w:ascii="Times New Roman" w:hAnsi="Times New Roman"/>
          <w:sz w:val="28"/>
          <w:szCs w:val="28"/>
          <w:lang w:val="es-CO"/>
        </w:rPr>
        <w:t xml:space="preserve">. </w:t>
      </w:r>
      <w:r w:rsidR="005038E2" w:rsidRPr="007F2045">
        <w:rPr>
          <w:rFonts w:ascii="Times New Roman" w:hAnsi="Times New Roman"/>
          <w:sz w:val="28"/>
          <w:szCs w:val="28"/>
          <w:lang w:val="es-CO"/>
        </w:rPr>
        <w:t>Estos</w:t>
      </w:r>
      <w:r w:rsidR="00ED63F1" w:rsidRPr="007F2045">
        <w:rPr>
          <w:rFonts w:ascii="Times New Roman" w:hAnsi="Times New Roman"/>
          <w:sz w:val="28"/>
          <w:szCs w:val="28"/>
          <w:lang w:val="es-CO"/>
        </w:rPr>
        <w:t xml:space="preserve"> estados, además, generan un rediseño transitorio del funcionamiento del Estado, en virtud del cual se amplían las atribuciones del ejecutivo y, correlativamente, se restringe el ámbito ordinario de actuación del Congreso de la República</w:t>
      </w:r>
      <w:r w:rsidR="00ED63F1" w:rsidRPr="007F2045">
        <w:rPr>
          <w:rFonts w:ascii="Times New Roman" w:hAnsi="Times New Roman"/>
          <w:szCs w:val="28"/>
          <w:vertAlign w:val="superscript"/>
          <w:lang w:val="es-CO"/>
        </w:rPr>
        <w:footnoteReference w:id="16"/>
      </w:r>
      <w:r w:rsidR="00ED63F1" w:rsidRPr="007F2045">
        <w:rPr>
          <w:rFonts w:ascii="Times New Roman" w:hAnsi="Times New Roman"/>
          <w:sz w:val="28"/>
          <w:szCs w:val="28"/>
          <w:lang w:val="es-CO"/>
        </w:rPr>
        <w:t xml:space="preserve">. </w:t>
      </w:r>
    </w:p>
    <w:p w14:paraId="293428B8" w14:textId="77777777" w:rsidR="000C0793" w:rsidRPr="007F2045" w:rsidRDefault="000C0793" w:rsidP="001B5728">
      <w:pPr>
        <w:pStyle w:val="Prrafodelista"/>
        <w:tabs>
          <w:tab w:val="left" w:pos="426"/>
          <w:tab w:val="left" w:pos="567"/>
        </w:tabs>
        <w:spacing w:after="0" w:line="240" w:lineRule="auto"/>
        <w:ind w:left="0"/>
        <w:rPr>
          <w:lang w:val="es-CO"/>
        </w:rPr>
      </w:pPr>
    </w:p>
    <w:p w14:paraId="510AF61B" w14:textId="77777777" w:rsidR="00362834" w:rsidRPr="007F2045" w:rsidRDefault="005F41F0" w:rsidP="001B5728">
      <w:pPr>
        <w:pStyle w:val="Prrafodelista"/>
        <w:numPr>
          <w:ilvl w:val="0"/>
          <w:numId w:val="2"/>
        </w:numPr>
        <w:tabs>
          <w:tab w:val="left" w:pos="426"/>
          <w:tab w:val="left" w:pos="567"/>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 </w:t>
      </w:r>
      <w:r w:rsidR="00ED63F1" w:rsidRPr="007F2045">
        <w:rPr>
          <w:rFonts w:ascii="Times New Roman" w:hAnsi="Times New Roman"/>
          <w:sz w:val="28"/>
          <w:szCs w:val="28"/>
          <w:lang w:val="es-CO"/>
        </w:rPr>
        <w:t>Si bien el poder que se le otorga en estados de excepción al ejecutivo se justifica en aras de</w:t>
      </w:r>
      <w:r w:rsidR="00AE0E54" w:rsidRPr="007F2045">
        <w:rPr>
          <w:rFonts w:ascii="Times New Roman" w:hAnsi="Times New Roman"/>
          <w:sz w:val="28"/>
          <w:szCs w:val="28"/>
          <w:lang w:val="es-CO"/>
        </w:rPr>
        <w:t xml:space="preserve"> contrarrestar</w:t>
      </w:r>
      <w:r w:rsidR="00ED63F1" w:rsidRPr="007F2045">
        <w:rPr>
          <w:rFonts w:ascii="Times New Roman" w:hAnsi="Times New Roman"/>
          <w:sz w:val="28"/>
          <w:szCs w:val="28"/>
          <w:lang w:val="es-CO"/>
        </w:rPr>
        <w:t xml:space="preserve"> un hecho </w:t>
      </w:r>
      <w:r w:rsidR="00A2190C" w:rsidRPr="007F2045">
        <w:rPr>
          <w:rFonts w:ascii="Times New Roman" w:hAnsi="Times New Roman"/>
          <w:sz w:val="28"/>
          <w:szCs w:val="28"/>
          <w:lang w:val="es-CO"/>
        </w:rPr>
        <w:t xml:space="preserve">grave y </w:t>
      </w:r>
      <w:r w:rsidR="00ED63F1" w:rsidRPr="007F2045">
        <w:rPr>
          <w:rFonts w:ascii="Times New Roman" w:hAnsi="Times New Roman"/>
          <w:sz w:val="28"/>
          <w:szCs w:val="28"/>
          <w:lang w:val="es-CO"/>
        </w:rPr>
        <w:t>extraordinario que no puede ser enfrentado por medios ordinarios, e</w:t>
      </w:r>
      <w:r w:rsidR="000C0793" w:rsidRPr="007F2045">
        <w:rPr>
          <w:rFonts w:ascii="Times New Roman" w:hAnsi="Times New Roman"/>
          <w:sz w:val="28"/>
          <w:szCs w:val="28"/>
          <w:lang w:val="es-CO"/>
        </w:rPr>
        <w:t>se</w:t>
      </w:r>
      <w:r w:rsidR="00844A82" w:rsidRPr="007F2045">
        <w:rPr>
          <w:rFonts w:ascii="Times New Roman" w:hAnsi="Times New Roman"/>
          <w:sz w:val="28"/>
          <w:szCs w:val="28"/>
          <w:lang w:val="es-CO"/>
        </w:rPr>
        <w:t xml:space="preserve"> poder también puede llevar a abusos</w:t>
      </w:r>
      <w:r w:rsidR="005038E2" w:rsidRPr="007F2045">
        <w:rPr>
          <w:rFonts w:ascii="Times New Roman" w:hAnsi="Times New Roman"/>
          <w:sz w:val="28"/>
          <w:szCs w:val="28"/>
          <w:lang w:val="es-CO"/>
        </w:rPr>
        <w:t xml:space="preserve"> o a situaciones democráticamente insostenibles</w:t>
      </w:r>
      <w:r w:rsidR="00ED63F1" w:rsidRPr="007F2045">
        <w:rPr>
          <w:rFonts w:ascii="Times New Roman" w:hAnsi="Times New Roman"/>
          <w:sz w:val="28"/>
          <w:szCs w:val="28"/>
          <w:lang w:val="es-CO"/>
        </w:rPr>
        <w:t xml:space="preserve">. Esto sucedió con frecuencia </w:t>
      </w:r>
      <w:r w:rsidR="00844A82" w:rsidRPr="007F2045">
        <w:rPr>
          <w:rFonts w:ascii="Times New Roman" w:hAnsi="Times New Roman"/>
          <w:sz w:val="28"/>
          <w:szCs w:val="28"/>
          <w:lang w:val="es-CO"/>
        </w:rPr>
        <w:t>antes de la expedición de la Constitución de 1991</w:t>
      </w:r>
      <w:r w:rsidR="00362834" w:rsidRPr="007F2045">
        <w:rPr>
          <w:rFonts w:ascii="Times New Roman" w:hAnsi="Times New Roman"/>
          <w:sz w:val="28"/>
          <w:szCs w:val="28"/>
          <w:lang w:val="es-CO"/>
        </w:rPr>
        <w:t xml:space="preserve">, </w:t>
      </w:r>
      <w:r w:rsidR="009D4A27" w:rsidRPr="007F2045">
        <w:rPr>
          <w:rFonts w:ascii="Times New Roman" w:hAnsi="Times New Roman"/>
          <w:sz w:val="28"/>
          <w:szCs w:val="28"/>
          <w:lang w:val="es-CO"/>
        </w:rPr>
        <w:t xml:space="preserve">época durante la cual </w:t>
      </w:r>
      <w:r w:rsidR="00613F58" w:rsidRPr="007F2045">
        <w:rPr>
          <w:rFonts w:ascii="Times New Roman" w:hAnsi="Times New Roman"/>
          <w:sz w:val="28"/>
          <w:szCs w:val="28"/>
          <w:lang w:val="es-CO"/>
        </w:rPr>
        <w:t>el país</w:t>
      </w:r>
      <w:r w:rsidR="009D4A27" w:rsidRPr="007F2045">
        <w:rPr>
          <w:rFonts w:ascii="Times New Roman" w:hAnsi="Times New Roman"/>
          <w:sz w:val="28"/>
          <w:szCs w:val="28"/>
          <w:lang w:val="es-CO"/>
        </w:rPr>
        <w:t xml:space="preserve"> estuvo por más </w:t>
      </w:r>
      <w:r w:rsidR="00362834" w:rsidRPr="007F2045">
        <w:rPr>
          <w:rFonts w:ascii="Times New Roman" w:hAnsi="Times New Roman"/>
          <w:sz w:val="28"/>
          <w:szCs w:val="28"/>
          <w:lang w:val="es-CO"/>
        </w:rPr>
        <w:t>de 30 años bajo normas de excepción</w:t>
      </w:r>
      <w:r w:rsidR="000253F9" w:rsidRPr="007F2045">
        <w:rPr>
          <w:rFonts w:ascii="Times New Roman" w:hAnsi="Times New Roman"/>
          <w:szCs w:val="28"/>
          <w:vertAlign w:val="superscript"/>
          <w:lang w:val="es-CO" w:eastAsia="es-ES"/>
        </w:rPr>
        <w:footnoteReference w:id="17"/>
      </w:r>
      <w:r w:rsidR="00362834" w:rsidRPr="007F2045">
        <w:rPr>
          <w:rFonts w:ascii="Times New Roman" w:hAnsi="Times New Roman"/>
          <w:sz w:val="28"/>
          <w:szCs w:val="28"/>
          <w:lang w:val="es-CO"/>
        </w:rPr>
        <w:t xml:space="preserve">. </w:t>
      </w:r>
      <w:r w:rsidR="006C4FEB" w:rsidRPr="007F2045">
        <w:rPr>
          <w:rFonts w:ascii="Times New Roman" w:hAnsi="Times New Roman"/>
          <w:sz w:val="28"/>
          <w:szCs w:val="28"/>
          <w:lang w:val="es-CO"/>
        </w:rPr>
        <w:t>P</w:t>
      </w:r>
      <w:r w:rsidR="007A5373" w:rsidRPr="007F2045">
        <w:rPr>
          <w:rFonts w:ascii="Times New Roman" w:hAnsi="Times New Roman"/>
          <w:sz w:val="28"/>
          <w:szCs w:val="28"/>
          <w:lang w:val="es-CO"/>
        </w:rPr>
        <w:t>recisamente</w:t>
      </w:r>
      <w:r w:rsidR="005038E2" w:rsidRPr="007F2045">
        <w:rPr>
          <w:rFonts w:ascii="Times New Roman" w:hAnsi="Times New Roman"/>
          <w:sz w:val="28"/>
          <w:szCs w:val="28"/>
          <w:lang w:val="es-CO"/>
        </w:rPr>
        <w:t>,</w:t>
      </w:r>
      <w:r w:rsidR="007A5373" w:rsidRPr="007F2045">
        <w:rPr>
          <w:rFonts w:ascii="Times New Roman" w:hAnsi="Times New Roman"/>
          <w:sz w:val="28"/>
          <w:szCs w:val="28"/>
          <w:lang w:val="es-CO"/>
        </w:rPr>
        <w:t xml:space="preserve"> p</w:t>
      </w:r>
      <w:r w:rsidR="006C4FEB" w:rsidRPr="007F2045">
        <w:rPr>
          <w:rFonts w:ascii="Times New Roman" w:hAnsi="Times New Roman"/>
          <w:sz w:val="28"/>
          <w:szCs w:val="28"/>
          <w:lang w:val="es-CO"/>
        </w:rPr>
        <w:t xml:space="preserve">ara </w:t>
      </w:r>
      <w:r w:rsidR="005038E2" w:rsidRPr="007F2045">
        <w:rPr>
          <w:rFonts w:ascii="Times New Roman" w:hAnsi="Times New Roman"/>
          <w:sz w:val="28"/>
          <w:szCs w:val="28"/>
          <w:lang w:val="es-CO"/>
        </w:rPr>
        <w:t>corregir tal situación</w:t>
      </w:r>
      <w:r w:rsidR="006C4FEB" w:rsidRPr="007F2045">
        <w:rPr>
          <w:rFonts w:ascii="Times New Roman" w:hAnsi="Times New Roman"/>
          <w:sz w:val="28"/>
          <w:szCs w:val="28"/>
          <w:lang w:val="es-CO"/>
        </w:rPr>
        <w:t>,</w:t>
      </w:r>
      <w:r w:rsidR="00E70030" w:rsidRPr="007F2045">
        <w:rPr>
          <w:rFonts w:ascii="Times New Roman" w:hAnsi="Times New Roman"/>
          <w:sz w:val="28"/>
          <w:szCs w:val="28"/>
          <w:lang w:val="es-CO"/>
        </w:rPr>
        <w:t xml:space="preserve"> la Constitución </w:t>
      </w:r>
      <w:r w:rsidR="00362834" w:rsidRPr="007F2045">
        <w:rPr>
          <w:rFonts w:ascii="Times New Roman" w:hAnsi="Times New Roman"/>
          <w:sz w:val="28"/>
          <w:szCs w:val="28"/>
          <w:lang w:val="es-CO"/>
        </w:rPr>
        <w:t>de 1991</w:t>
      </w:r>
      <w:r w:rsidR="00A2190C" w:rsidRPr="007F2045">
        <w:rPr>
          <w:rFonts w:ascii="Times New Roman" w:hAnsi="Times New Roman"/>
          <w:sz w:val="28"/>
          <w:szCs w:val="28"/>
          <w:lang w:val="es-CO"/>
        </w:rPr>
        <w:t>, entre muchos otros cambios,</w:t>
      </w:r>
      <w:r w:rsidR="00362834" w:rsidRPr="007F2045">
        <w:rPr>
          <w:rFonts w:ascii="Times New Roman" w:hAnsi="Times New Roman"/>
          <w:sz w:val="28"/>
          <w:szCs w:val="28"/>
          <w:lang w:val="es-CO"/>
        </w:rPr>
        <w:t xml:space="preserve"> estableció</w:t>
      </w:r>
      <w:r w:rsidR="00E70030" w:rsidRPr="007F2045">
        <w:rPr>
          <w:rFonts w:ascii="Times New Roman" w:hAnsi="Times New Roman"/>
          <w:sz w:val="28"/>
          <w:szCs w:val="28"/>
          <w:lang w:val="es-CO"/>
        </w:rPr>
        <w:t xml:space="preserve"> </w:t>
      </w:r>
      <w:r w:rsidR="00362834" w:rsidRPr="007F2045">
        <w:rPr>
          <w:rFonts w:ascii="Times New Roman" w:hAnsi="Times New Roman"/>
          <w:sz w:val="28"/>
          <w:szCs w:val="28"/>
          <w:lang w:val="es-CO"/>
        </w:rPr>
        <w:t xml:space="preserve">límites </w:t>
      </w:r>
      <w:r w:rsidR="00A344DD" w:rsidRPr="007F2045">
        <w:rPr>
          <w:rFonts w:ascii="Times New Roman" w:hAnsi="Times New Roman"/>
          <w:sz w:val="28"/>
          <w:szCs w:val="28"/>
          <w:lang w:val="es-CO"/>
        </w:rPr>
        <w:t>más severos y preciso</w:t>
      </w:r>
      <w:r w:rsidR="005038E2" w:rsidRPr="007F2045">
        <w:rPr>
          <w:rFonts w:ascii="Times New Roman" w:hAnsi="Times New Roman"/>
          <w:sz w:val="28"/>
          <w:szCs w:val="28"/>
          <w:lang w:val="es-CO"/>
        </w:rPr>
        <w:t>s</w:t>
      </w:r>
      <w:r w:rsidR="00A344DD" w:rsidRPr="007F2045">
        <w:rPr>
          <w:rFonts w:ascii="Times New Roman" w:hAnsi="Times New Roman"/>
          <w:sz w:val="28"/>
          <w:szCs w:val="28"/>
          <w:lang w:val="es-CO"/>
        </w:rPr>
        <w:t xml:space="preserve"> a </w:t>
      </w:r>
      <w:r w:rsidR="00362834" w:rsidRPr="007F2045">
        <w:rPr>
          <w:rFonts w:ascii="Times New Roman" w:hAnsi="Times New Roman"/>
          <w:sz w:val="28"/>
          <w:szCs w:val="28"/>
          <w:lang w:val="es-CO"/>
        </w:rPr>
        <w:t>los estados de excepción</w:t>
      </w:r>
      <w:r w:rsidR="00A344DD" w:rsidRPr="007F2045">
        <w:rPr>
          <w:rFonts w:ascii="Times New Roman" w:hAnsi="Times New Roman"/>
          <w:sz w:val="28"/>
          <w:szCs w:val="28"/>
          <w:lang w:val="es-CO"/>
        </w:rPr>
        <w:t xml:space="preserve">. De igual manera, </w:t>
      </w:r>
      <w:r w:rsidR="00362834" w:rsidRPr="007F2045">
        <w:rPr>
          <w:rFonts w:ascii="Times New Roman" w:hAnsi="Times New Roman"/>
          <w:sz w:val="28"/>
          <w:szCs w:val="28"/>
          <w:lang w:val="es-CO"/>
        </w:rPr>
        <w:t xml:space="preserve">la jurisprudencia de esta Corte, desde un inicio, insistió en la necesidad de un control de constitucionalidad riguroso </w:t>
      </w:r>
      <w:r w:rsidR="00A344DD" w:rsidRPr="007F2045">
        <w:rPr>
          <w:rFonts w:ascii="Times New Roman" w:hAnsi="Times New Roman"/>
          <w:sz w:val="28"/>
          <w:szCs w:val="28"/>
          <w:lang w:val="es-CO"/>
        </w:rPr>
        <w:t xml:space="preserve">frente a </w:t>
      </w:r>
      <w:r w:rsidR="0002240F" w:rsidRPr="007F2045">
        <w:rPr>
          <w:rFonts w:ascii="Times New Roman" w:hAnsi="Times New Roman"/>
          <w:sz w:val="28"/>
          <w:szCs w:val="28"/>
          <w:lang w:val="es-CO"/>
        </w:rPr>
        <w:t xml:space="preserve">estos </w:t>
      </w:r>
      <w:r w:rsidR="00A344DD" w:rsidRPr="007F2045">
        <w:rPr>
          <w:rFonts w:ascii="Times New Roman" w:hAnsi="Times New Roman"/>
          <w:sz w:val="28"/>
          <w:szCs w:val="28"/>
          <w:lang w:val="es-CO"/>
        </w:rPr>
        <w:t xml:space="preserve">estados, </w:t>
      </w:r>
      <w:r w:rsidR="0002240F" w:rsidRPr="007F2045">
        <w:rPr>
          <w:rFonts w:ascii="Times New Roman" w:hAnsi="Times New Roman"/>
          <w:sz w:val="28"/>
          <w:szCs w:val="28"/>
          <w:lang w:val="es-CO"/>
        </w:rPr>
        <w:t xml:space="preserve">involucrando </w:t>
      </w:r>
      <w:r w:rsidR="00362834" w:rsidRPr="007F2045">
        <w:rPr>
          <w:rFonts w:ascii="Times New Roman" w:hAnsi="Times New Roman"/>
          <w:sz w:val="28"/>
          <w:szCs w:val="28"/>
          <w:lang w:val="es-CO"/>
        </w:rPr>
        <w:t>tanto el decreto declarativo como los decretos</w:t>
      </w:r>
      <w:r w:rsidR="00585035" w:rsidRPr="007F2045">
        <w:rPr>
          <w:rFonts w:ascii="Times New Roman" w:hAnsi="Times New Roman"/>
          <w:sz w:val="28"/>
          <w:szCs w:val="28"/>
          <w:lang w:val="es-CO"/>
        </w:rPr>
        <w:t xml:space="preserve"> de desarrollo</w:t>
      </w:r>
      <w:r w:rsidR="0002240F" w:rsidRPr="007F2045">
        <w:rPr>
          <w:rFonts w:ascii="Times New Roman" w:hAnsi="Times New Roman"/>
          <w:sz w:val="28"/>
          <w:szCs w:val="28"/>
          <w:lang w:val="es-CO"/>
        </w:rPr>
        <w:t>,</w:t>
      </w:r>
      <w:r w:rsidR="00362834" w:rsidRPr="007F2045">
        <w:rPr>
          <w:rFonts w:ascii="Times New Roman" w:hAnsi="Times New Roman"/>
          <w:sz w:val="28"/>
          <w:szCs w:val="28"/>
          <w:lang w:val="es-CO"/>
        </w:rPr>
        <w:t xml:space="preserve"> a través de los cuales se </w:t>
      </w:r>
      <w:r w:rsidR="0002240F" w:rsidRPr="007F2045">
        <w:rPr>
          <w:rFonts w:ascii="Times New Roman" w:hAnsi="Times New Roman"/>
          <w:sz w:val="28"/>
          <w:szCs w:val="28"/>
          <w:lang w:val="es-CO"/>
        </w:rPr>
        <w:t>adoptan</w:t>
      </w:r>
      <w:r w:rsidR="00362834" w:rsidRPr="007F2045">
        <w:rPr>
          <w:rFonts w:ascii="Times New Roman" w:hAnsi="Times New Roman"/>
          <w:sz w:val="28"/>
          <w:szCs w:val="28"/>
          <w:lang w:val="es-CO"/>
        </w:rPr>
        <w:t xml:space="preserve"> medidas </w:t>
      </w:r>
      <w:r w:rsidR="00A344DD" w:rsidRPr="007F2045">
        <w:rPr>
          <w:rFonts w:ascii="Times New Roman" w:hAnsi="Times New Roman"/>
          <w:sz w:val="28"/>
          <w:szCs w:val="28"/>
          <w:lang w:val="es-CO"/>
        </w:rPr>
        <w:t>extraordinarias.</w:t>
      </w:r>
    </w:p>
    <w:p w14:paraId="2C904CCA" w14:textId="77777777" w:rsidR="009D4A27" w:rsidRPr="007F2045" w:rsidRDefault="009D4A27" w:rsidP="001B5728">
      <w:pPr>
        <w:pStyle w:val="Prrafodelista"/>
        <w:spacing w:after="0" w:line="240" w:lineRule="auto"/>
        <w:rPr>
          <w:rFonts w:ascii="Times New Roman" w:hAnsi="Times New Roman"/>
          <w:sz w:val="28"/>
          <w:szCs w:val="28"/>
          <w:lang w:val="es-CO"/>
        </w:rPr>
      </w:pPr>
    </w:p>
    <w:p w14:paraId="36DEB933" w14:textId="77777777" w:rsidR="009B3B6A" w:rsidRPr="007F2045" w:rsidRDefault="009D4A27" w:rsidP="001B5728">
      <w:pPr>
        <w:pStyle w:val="Prrafodelista"/>
        <w:numPr>
          <w:ilvl w:val="0"/>
          <w:numId w:val="2"/>
        </w:numPr>
        <w:tabs>
          <w:tab w:val="left" w:pos="426"/>
          <w:tab w:val="left" w:pos="567"/>
        </w:tabs>
        <w:spacing w:after="0" w:line="240" w:lineRule="auto"/>
        <w:ind w:left="0" w:firstLine="0"/>
        <w:rPr>
          <w:rFonts w:ascii="Times New Roman" w:hAnsi="Times New Roman"/>
          <w:sz w:val="28"/>
          <w:szCs w:val="28"/>
          <w:lang w:val="es-CO"/>
        </w:rPr>
      </w:pPr>
      <w:r w:rsidRPr="007F2045">
        <w:rPr>
          <w:rFonts w:ascii="Times New Roman" w:hAnsi="Times New Roman"/>
          <w:sz w:val="28"/>
          <w:szCs w:val="28"/>
        </w:rPr>
        <w:t>En esa dirección, apenas iniciando los años 90, la sentencia C-004 de 1992, reconoció la competencia de la Corte para controlar la constitucionalidad del decreto declarativo. Se trató de un cambio frente a la visión que de tiempo atrás había sostenido la Corte Suprema de Justicia, en el sentido de que dicho decreto era un acto político no sometido a control material. Para esta Corte, las decisiones del ejecutivo no podrían estar por encima de la Constitución, por lo cual era necesario que también fueran objeto de control. Sostuvo que “</w:t>
      </w:r>
      <w:r w:rsidRPr="007F2045">
        <w:rPr>
          <w:rFonts w:ascii="Times New Roman" w:hAnsi="Times New Roman"/>
          <w:sz w:val="28"/>
          <w:szCs w:val="28"/>
          <w:shd w:val="clear" w:color="auto" w:fill="FFFFFF"/>
        </w:rPr>
        <w:t>es claro e indudable que por virtud de lo dispuesto en los artículos 4o., 214, 215, 228 y 241-7, de la nueva Carta Política, el control del decreto que declara el estado de emergencia es integral lo cual supone que sea imperativamente de mérito y no simplemente de forma”. Señaló entonces que</w:t>
      </w:r>
      <w:r w:rsidR="009B3B6A" w:rsidRPr="007F2045">
        <w:rPr>
          <w:rFonts w:ascii="Times New Roman" w:hAnsi="Times New Roman"/>
          <w:sz w:val="28"/>
          <w:szCs w:val="28"/>
          <w:shd w:val="clear" w:color="auto" w:fill="FFFFFF"/>
        </w:rPr>
        <w:t>:</w:t>
      </w:r>
    </w:p>
    <w:p w14:paraId="1973AEE0" w14:textId="77777777" w:rsidR="009B3B6A" w:rsidRPr="007F2045" w:rsidRDefault="009B3B6A" w:rsidP="001B5728">
      <w:pPr>
        <w:pStyle w:val="Prrafodelista"/>
        <w:spacing w:after="0" w:line="240" w:lineRule="auto"/>
        <w:rPr>
          <w:rFonts w:ascii="Times New Roman" w:hAnsi="Times New Roman"/>
          <w:sz w:val="28"/>
          <w:szCs w:val="28"/>
          <w:shd w:val="clear" w:color="auto" w:fill="FFFFFF"/>
        </w:rPr>
      </w:pPr>
    </w:p>
    <w:p w14:paraId="06087695" w14:textId="77777777" w:rsidR="009D4A27" w:rsidRPr="007F2045" w:rsidRDefault="009D4A27" w:rsidP="001B5728">
      <w:pPr>
        <w:pStyle w:val="Prrafodelista"/>
        <w:tabs>
          <w:tab w:val="left" w:pos="284"/>
          <w:tab w:val="left" w:pos="567"/>
        </w:tabs>
        <w:spacing w:after="0" w:line="240" w:lineRule="auto"/>
        <w:ind w:left="567" w:right="616"/>
        <w:rPr>
          <w:rFonts w:ascii="Times New Roman" w:eastAsia="Times New Roman" w:hAnsi="Times New Roman"/>
          <w:lang w:val="es-CO"/>
        </w:rPr>
      </w:pPr>
      <w:r w:rsidRPr="007F2045">
        <w:rPr>
          <w:rFonts w:ascii="Times New Roman" w:eastAsia="Times New Roman" w:hAnsi="Times New Roman"/>
          <w:lang w:val="es-CO"/>
        </w:rPr>
        <w:t xml:space="preserve">“si la Corte elude el control material de los decretos que declaran un estado de excepción, ello significaría que las facultades del presidente de la República en esta materia serían supraconstitucionales. Y más aún: que esta Corte podría tolerar la actividad inconstitucional del </w:t>
      </w:r>
      <w:r w:rsidR="001B5728" w:rsidRPr="007F2045">
        <w:rPr>
          <w:rFonts w:ascii="Times New Roman" w:eastAsia="Times New Roman" w:hAnsi="Times New Roman"/>
          <w:lang w:val="es-CO"/>
        </w:rPr>
        <w:t>e</w:t>
      </w:r>
      <w:r w:rsidRPr="007F2045">
        <w:rPr>
          <w:rFonts w:ascii="Times New Roman" w:eastAsia="Times New Roman" w:hAnsi="Times New Roman"/>
          <w:lang w:val="es-CO"/>
        </w:rPr>
        <w:t>jecutivo renunciando así a su deber de restablecer el imperio del Estatuto Supremo”.</w:t>
      </w:r>
    </w:p>
    <w:p w14:paraId="0DB9F63E" w14:textId="77777777" w:rsidR="009D4A27" w:rsidRPr="007F2045" w:rsidRDefault="009D4A27" w:rsidP="001B5728">
      <w:pPr>
        <w:pStyle w:val="Prrafodelista"/>
        <w:tabs>
          <w:tab w:val="left" w:pos="426"/>
          <w:tab w:val="left" w:pos="567"/>
        </w:tabs>
        <w:spacing w:after="0" w:line="240" w:lineRule="auto"/>
        <w:ind w:left="0"/>
        <w:rPr>
          <w:rFonts w:ascii="Times New Roman" w:hAnsi="Times New Roman"/>
          <w:sz w:val="28"/>
          <w:szCs w:val="28"/>
          <w:lang w:val="es-CO"/>
        </w:rPr>
      </w:pPr>
    </w:p>
    <w:p w14:paraId="32286045" w14:textId="77777777" w:rsidR="007D78D3" w:rsidRPr="007F2045" w:rsidRDefault="000253F9" w:rsidP="001B5728">
      <w:pPr>
        <w:pStyle w:val="Prrafodelista"/>
        <w:numPr>
          <w:ilvl w:val="0"/>
          <w:numId w:val="2"/>
        </w:numPr>
        <w:tabs>
          <w:tab w:val="left" w:pos="426"/>
          <w:tab w:val="left" w:pos="567"/>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Desde ese momento, tal y como lo evidencia la jurisprudencia constitucional</w:t>
      </w:r>
      <w:r w:rsidR="00613F58" w:rsidRPr="007F2045">
        <w:rPr>
          <w:rFonts w:ascii="Times New Roman" w:hAnsi="Times New Roman"/>
          <w:sz w:val="28"/>
          <w:szCs w:val="28"/>
          <w:lang w:val="es-CO"/>
        </w:rPr>
        <w:t>,</w:t>
      </w:r>
      <w:r w:rsidRPr="007F2045">
        <w:rPr>
          <w:rFonts w:ascii="Times New Roman" w:hAnsi="Times New Roman"/>
          <w:sz w:val="28"/>
          <w:szCs w:val="28"/>
          <w:lang w:val="es-CO"/>
        </w:rPr>
        <w:t xml:space="preserve"> la Corte ha realizado un examen riguroso y preciso del ejercicio de las facultades de excepción. S</w:t>
      </w:r>
      <w:r w:rsidR="007D78D3" w:rsidRPr="007F2045">
        <w:rPr>
          <w:rFonts w:ascii="Times New Roman" w:hAnsi="Times New Roman"/>
          <w:sz w:val="28"/>
          <w:szCs w:val="28"/>
          <w:lang w:val="es-CO"/>
        </w:rPr>
        <w:t xml:space="preserve">egún las estadísticas publicadas en la página Web de esta Corporación, en el control de constitucionalidad de estados de excepción, </w:t>
      </w:r>
      <w:r w:rsidR="00613F58" w:rsidRPr="007F2045">
        <w:rPr>
          <w:rFonts w:ascii="Times New Roman" w:hAnsi="Times New Roman"/>
          <w:sz w:val="28"/>
          <w:szCs w:val="28"/>
          <w:lang w:val="es-CO"/>
        </w:rPr>
        <w:t>este Tribunal</w:t>
      </w:r>
      <w:r w:rsidR="007D78D3" w:rsidRPr="007F2045">
        <w:rPr>
          <w:rFonts w:ascii="Times New Roman" w:hAnsi="Times New Roman"/>
          <w:sz w:val="28"/>
          <w:szCs w:val="28"/>
          <w:lang w:val="es-CO"/>
        </w:rPr>
        <w:t xml:space="preserve"> ha declarado inexequible el 30% de los decretos declaratorios (9 de 30)</w:t>
      </w:r>
      <w:r w:rsidR="007D78D3" w:rsidRPr="007F2045">
        <w:rPr>
          <w:rFonts w:ascii="Times New Roman" w:hAnsi="Times New Roman"/>
          <w:szCs w:val="28"/>
          <w:vertAlign w:val="superscript"/>
          <w:lang w:val="es-CO"/>
        </w:rPr>
        <w:footnoteReference w:id="18"/>
      </w:r>
      <w:r w:rsidR="007D78D3" w:rsidRPr="007F2045">
        <w:rPr>
          <w:rFonts w:ascii="Times New Roman" w:hAnsi="Times New Roman"/>
          <w:sz w:val="28"/>
          <w:szCs w:val="28"/>
          <w:lang w:val="es-CO"/>
        </w:rPr>
        <w:t xml:space="preserve">. Asimismo, a manera de ejemplo, durante los dos </w:t>
      </w:r>
      <w:r w:rsidR="007D78D3" w:rsidRPr="007F2045">
        <w:rPr>
          <w:rFonts w:ascii="Times New Roman" w:hAnsi="Times New Roman"/>
          <w:sz w:val="28"/>
          <w:szCs w:val="28"/>
          <w:lang w:val="es-CO"/>
        </w:rPr>
        <w:lastRenderedPageBreak/>
        <w:t>estados de emergencia económica, social y ecológica declarados por causa del COVID-19, la Corte analizó 115 decretos legislativos de desarrollo, de los cuales el 44,4% fue declarado exequible parcial o condicionadamente (51 de 115), y el 6,1% inexequible (7 de 115)</w:t>
      </w:r>
      <w:r w:rsidR="007D78D3" w:rsidRPr="007F2045">
        <w:rPr>
          <w:rFonts w:ascii="Times New Roman" w:hAnsi="Times New Roman"/>
          <w:szCs w:val="28"/>
          <w:vertAlign w:val="superscript"/>
          <w:lang w:val="es-CO"/>
        </w:rPr>
        <w:footnoteReference w:id="19"/>
      </w:r>
      <w:r w:rsidR="007D78D3" w:rsidRPr="007F2045">
        <w:rPr>
          <w:rFonts w:ascii="Times New Roman" w:hAnsi="Times New Roman"/>
          <w:sz w:val="28"/>
          <w:szCs w:val="28"/>
          <w:lang w:val="es-CO"/>
        </w:rPr>
        <w:t xml:space="preserve">. </w:t>
      </w:r>
    </w:p>
    <w:p w14:paraId="5202164D" w14:textId="77777777" w:rsidR="00C64C2D" w:rsidRPr="007F2045" w:rsidRDefault="00C64C2D" w:rsidP="001B5728">
      <w:pPr>
        <w:pStyle w:val="Prrafodelista"/>
        <w:spacing w:after="0" w:line="240" w:lineRule="auto"/>
        <w:rPr>
          <w:rFonts w:ascii="Times New Roman" w:hAnsi="Times New Roman"/>
          <w:sz w:val="28"/>
          <w:szCs w:val="28"/>
          <w:lang w:val="es-CO"/>
        </w:rPr>
      </w:pPr>
    </w:p>
    <w:p w14:paraId="351E5CA5" w14:textId="77777777" w:rsidR="009873C3" w:rsidRPr="007F2045" w:rsidRDefault="00C64C2D" w:rsidP="001B5728">
      <w:pPr>
        <w:pStyle w:val="Prrafodelista"/>
        <w:numPr>
          <w:ilvl w:val="0"/>
          <w:numId w:val="2"/>
        </w:numPr>
        <w:tabs>
          <w:tab w:val="left" w:pos="426"/>
          <w:tab w:val="left" w:pos="567"/>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En ese contexto, </w:t>
      </w:r>
      <w:r w:rsidR="00966232" w:rsidRPr="007F2045">
        <w:rPr>
          <w:rFonts w:ascii="Times New Roman" w:hAnsi="Times New Roman"/>
          <w:sz w:val="28"/>
          <w:szCs w:val="28"/>
          <w:lang w:val="es-CO"/>
        </w:rPr>
        <w:t xml:space="preserve">la solicitud de suspensión provisional que hoy </w:t>
      </w:r>
      <w:r w:rsidR="00803166" w:rsidRPr="007F2045">
        <w:rPr>
          <w:rFonts w:ascii="Times New Roman" w:hAnsi="Times New Roman"/>
          <w:sz w:val="28"/>
          <w:szCs w:val="28"/>
          <w:lang w:val="es-CO"/>
        </w:rPr>
        <w:t xml:space="preserve">se </w:t>
      </w:r>
      <w:r w:rsidR="00966232" w:rsidRPr="007F2045">
        <w:rPr>
          <w:rFonts w:ascii="Times New Roman" w:hAnsi="Times New Roman"/>
          <w:sz w:val="28"/>
          <w:szCs w:val="28"/>
          <w:lang w:val="es-CO"/>
        </w:rPr>
        <w:t>analiza</w:t>
      </w:r>
      <w:r w:rsidR="00803166" w:rsidRPr="007F2045">
        <w:rPr>
          <w:rFonts w:ascii="Times New Roman" w:hAnsi="Times New Roman"/>
          <w:sz w:val="28"/>
          <w:szCs w:val="28"/>
          <w:lang w:val="es-CO"/>
        </w:rPr>
        <w:t xml:space="preserve"> lleva a la </w:t>
      </w:r>
      <w:r w:rsidR="00966232" w:rsidRPr="007F2045">
        <w:rPr>
          <w:rFonts w:ascii="Times New Roman" w:hAnsi="Times New Roman"/>
          <w:sz w:val="28"/>
          <w:szCs w:val="28"/>
          <w:lang w:val="es-CO"/>
        </w:rPr>
        <w:t xml:space="preserve">Corte a preguntarse si una medida de esta naturaleza es esencial para asegurar el deber que tiene como </w:t>
      </w:r>
      <w:r w:rsidR="00865163" w:rsidRPr="007F2045">
        <w:rPr>
          <w:rFonts w:ascii="Times New Roman" w:hAnsi="Times New Roman"/>
          <w:sz w:val="28"/>
          <w:szCs w:val="28"/>
          <w:lang w:val="es-CO"/>
        </w:rPr>
        <w:t>T</w:t>
      </w:r>
      <w:r w:rsidR="00966232" w:rsidRPr="007F2045">
        <w:rPr>
          <w:rFonts w:ascii="Times New Roman" w:hAnsi="Times New Roman"/>
          <w:sz w:val="28"/>
          <w:szCs w:val="28"/>
          <w:lang w:val="es-CO"/>
        </w:rPr>
        <w:t>ribunal de evitar excesos del ejecutivo en el uso de los poderes excepcionales</w:t>
      </w:r>
      <w:r w:rsidR="00114051" w:rsidRPr="007F2045">
        <w:rPr>
          <w:rFonts w:ascii="Times New Roman" w:hAnsi="Times New Roman"/>
          <w:szCs w:val="28"/>
          <w:vertAlign w:val="superscript"/>
          <w:lang w:val="es-CO"/>
        </w:rPr>
        <w:footnoteReference w:id="20"/>
      </w:r>
      <w:r w:rsidR="00966232" w:rsidRPr="007F2045">
        <w:rPr>
          <w:rFonts w:ascii="Times New Roman" w:hAnsi="Times New Roman"/>
          <w:sz w:val="28"/>
          <w:szCs w:val="28"/>
          <w:lang w:val="es-CO"/>
        </w:rPr>
        <w:t xml:space="preserve">. </w:t>
      </w:r>
      <w:r w:rsidR="00114051" w:rsidRPr="007F2045">
        <w:rPr>
          <w:rFonts w:ascii="Times New Roman" w:hAnsi="Times New Roman"/>
          <w:sz w:val="28"/>
          <w:szCs w:val="28"/>
          <w:lang w:val="es-CO"/>
        </w:rPr>
        <w:t>En los años 90, hizo una reflexión similar</w:t>
      </w:r>
      <w:r w:rsidR="0002240F" w:rsidRPr="007F2045">
        <w:rPr>
          <w:rFonts w:ascii="Times New Roman" w:hAnsi="Times New Roman"/>
          <w:sz w:val="28"/>
          <w:szCs w:val="28"/>
          <w:lang w:val="es-CO"/>
        </w:rPr>
        <w:t>,</w:t>
      </w:r>
      <w:r w:rsidRPr="007F2045">
        <w:rPr>
          <w:rFonts w:ascii="Times New Roman" w:hAnsi="Times New Roman"/>
          <w:sz w:val="28"/>
          <w:szCs w:val="28"/>
          <w:lang w:val="es-CO"/>
        </w:rPr>
        <w:t xml:space="preserve"> </w:t>
      </w:r>
      <w:r w:rsidR="00114051" w:rsidRPr="007F2045">
        <w:rPr>
          <w:rFonts w:ascii="Times New Roman" w:hAnsi="Times New Roman"/>
          <w:sz w:val="28"/>
          <w:szCs w:val="28"/>
          <w:lang w:val="es-CO"/>
        </w:rPr>
        <w:t>al cabo de la cual</w:t>
      </w:r>
      <w:r w:rsidR="00966232" w:rsidRPr="007F2045">
        <w:rPr>
          <w:rFonts w:ascii="Times New Roman" w:hAnsi="Times New Roman"/>
          <w:sz w:val="28"/>
          <w:szCs w:val="28"/>
          <w:lang w:val="es-CO"/>
        </w:rPr>
        <w:t xml:space="preserve"> </w:t>
      </w:r>
      <w:r w:rsidRPr="007F2045">
        <w:rPr>
          <w:rFonts w:ascii="Times New Roman" w:hAnsi="Times New Roman"/>
          <w:sz w:val="28"/>
          <w:szCs w:val="28"/>
          <w:lang w:val="es-CO"/>
        </w:rPr>
        <w:t>entendió</w:t>
      </w:r>
      <w:r w:rsidR="00966232" w:rsidRPr="007F2045">
        <w:rPr>
          <w:rFonts w:ascii="Times New Roman" w:hAnsi="Times New Roman"/>
          <w:sz w:val="28"/>
          <w:szCs w:val="28"/>
          <w:lang w:val="es-CO"/>
        </w:rPr>
        <w:t xml:space="preserve"> </w:t>
      </w:r>
      <w:r w:rsidRPr="007F2045">
        <w:rPr>
          <w:rFonts w:ascii="Times New Roman" w:hAnsi="Times New Roman"/>
          <w:sz w:val="28"/>
          <w:szCs w:val="28"/>
          <w:lang w:val="es-CO"/>
        </w:rPr>
        <w:t xml:space="preserve">que, a la luz de la Constitución, los límites a los estados de excepción implicaban una afirmación de </w:t>
      </w:r>
      <w:r w:rsidR="00701783" w:rsidRPr="007F2045">
        <w:rPr>
          <w:rFonts w:ascii="Times New Roman" w:hAnsi="Times New Roman"/>
          <w:sz w:val="28"/>
          <w:szCs w:val="28"/>
          <w:lang w:val="es-CO"/>
        </w:rPr>
        <w:t xml:space="preserve">su </w:t>
      </w:r>
      <w:r w:rsidRPr="007F2045">
        <w:rPr>
          <w:rFonts w:ascii="Times New Roman" w:hAnsi="Times New Roman"/>
          <w:sz w:val="28"/>
          <w:szCs w:val="28"/>
          <w:lang w:val="es-CO"/>
        </w:rPr>
        <w:t>competencia para examinar</w:t>
      </w:r>
      <w:r w:rsidR="00075143" w:rsidRPr="007F2045">
        <w:rPr>
          <w:rFonts w:ascii="Times New Roman" w:hAnsi="Times New Roman"/>
          <w:sz w:val="28"/>
          <w:szCs w:val="28"/>
          <w:lang w:val="es-CO"/>
        </w:rPr>
        <w:t xml:space="preserve"> de fondo y no solo de forma</w:t>
      </w:r>
      <w:r w:rsidRPr="007F2045">
        <w:rPr>
          <w:rFonts w:ascii="Times New Roman" w:hAnsi="Times New Roman"/>
          <w:sz w:val="28"/>
          <w:szCs w:val="28"/>
          <w:lang w:val="es-CO"/>
        </w:rPr>
        <w:t xml:space="preserve"> los decretos declaratorios</w:t>
      </w:r>
      <w:r w:rsidR="00114051" w:rsidRPr="007F2045">
        <w:rPr>
          <w:rFonts w:ascii="Times New Roman" w:hAnsi="Times New Roman"/>
          <w:sz w:val="28"/>
          <w:szCs w:val="28"/>
          <w:lang w:val="es-CO"/>
        </w:rPr>
        <w:t xml:space="preserve">, </w:t>
      </w:r>
      <w:r w:rsidRPr="007F2045">
        <w:rPr>
          <w:rFonts w:ascii="Times New Roman" w:hAnsi="Times New Roman"/>
          <w:sz w:val="28"/>
          <w:szCs w:val="28"/>
          <w:lang w:val="es-CO"/>
        </w:rPr>
        <w:t>aunque</w:t>
      </w:r>
      <w:r w:rsidR="00701783" w:rsidRPr="007F2045">
        <w:rPr>
          <w:rFonts w:ascii="Times New Roman" w:hAnsi="Times New Roman"/>
          <w:sz w:val="28"/>
          <w:szCs w:val="28"/>
          <w:lang w:val="es-CO"/>
        </w:rPr>
        <w:t xml:space="preserve"> e</w:t>
      </w:r>
      <w:r w:rsidR="002D6E13" w:rsidRPr="007F2045">
        <w:rPr>
          <w:rFonts w:ascii="Times New Roman" w:hAnsi="Times New Roman"/>
          <w:sz w:val="28"/>
          <w:szCs w:val="28"/>
          <w:lang w:val="es-CO"/>
        </w:rPr>
        <w:t>llo</w:t>
      </w:r>
      <w:r w:rsidR="003C2461" w:rsidRPr="007F2045">
        <w:rPr>
          <w:rFonts w:ascii="Times New Roman" w:hAnsi="Times New Roman"/>
          <w:sz w:val="28"/>
          <w:szCs w:val="28"/>
          <w:lang w:val="es-CO"/>
        </w:rPr>
        <w:t xml:space="preserve"> no estuviera expresado de manera explícita en el texto constitucional</w:t>
      </w:r>
      <w:r w:rsidR="007D75CD" w:rsidRPr="007F2045">
        <w:rPr>
          <w:rFonts w:ascii="Times New Roman" w:hAnsi="Times New Roman"/>
          <w:szCs w:val="28"/>
          <w:vertAlign w:val="superscript"/>
          <w:lang w:val="es-CO"/>
        </w:rPr>
        <w:footnoteReference w:id="21"/>
      </w:r>
      <w:r w:rsidR="00114051" w:rsidRPr="007F2045">
        <w:rPr>
          <w:rFonts w:ascii="Times New Roman" w:hAnsi="Times New Roman"/>
          <w:sz w:val="28"/>
          <w:szCs w:val="28"/>
          <w:lang w:val="es-CO"/>
        </w:rPr>
        <w:t xml:space="preserve">. </w:t>
      </w:r>
      <w:r w:rsidR="00027608" w:rsidRPr="007F2045">
        <w:rPr>
          <w:rFonts w:ascii="Times New Roman" w:hAnsi="Times New Roman"/>
          <w:sz w:val="28"/>
          <w:szCs w:val="28"/>
          <w:lang w:val="es-CO"/>
        </w:rPr>
        <w:t>Ahora, l</w:t>
      </w:r>
      <w:r w:rsidR="001833AD" w:rsidRPr="007F2045">
        <w:rPr>
          <w:rFonts w:ascii="Times New Roman" w:hAnsi="Times New Roman"/>
          <w:sz w:val="28"/>
          <w:szCs w:val="28"/>
          <w:lang w:val="es-CO"/>
        </w:rPr>
        <w:t xml:space="preserve">a </w:t>
      </w:r>
      <w:r w:rsidR="009873C3" w:rsidRPr="007F2045">
        <w:rPr>
          <w:rFonts w:ascii="Times New Roman" w:hAnsi="Times New Roman"/>
          <w:sz w:val="28"/>
          <w:szCs w:val="28"/>
          <w:lang w:val="es-CO"/>
        </w:rPr>
        <w:t xml:space="preserve">respuesta </w:t>
      </w:r>
      <w:r w:rsidR="00114051" w:rsidRPr="007F2045">
        <w:rPr>
          <w:rFonts w:ascii="Times New Roman" w:hAnsi="Times New Roman"/>
          <w:sz w:val="28"/>
          <w:szCs w:val="28"/>
          <w:lang w:val="es-CO"/>
        </w:rPr>
        <w:t xml:space="preserve">a </w:t>
      </w:r>
      <w:r w:rsidR="00027608" w:rsidRPr="007F2045">
        <w:rPr>
          <w:rFonts w:ascii="Times New Roman" w:hAnsi="Times New Roman"/>
          <w:sz w:val="28"/>
          <w:szCs w:val="28"/>
          <w:lang w:val="es-CO"/>
        </w:rPr>
        <w:t xml:space="preserve">la </w:t>
      </w:r>
      <w:r w:rsidR="00114051" w:rsidRPr="007F2045">
        <w:rPr>
          <w:rFonts w:ascii="Times New Roman" w:hAnsi="Times New Roman"/>
          <w:sz w:val="28"/>
          <w:szCs w:val="28"/>
          <w:lang w:val="es-CO"/>
        </w:rPr>
        <w:t xml:space="preserve">pregunta </w:t>
      </w:r>
      <w:r w:rsidR="00027608" w:rsidRPr="007F2045">
        <w:rPr>
          <w:rFonts w:ascii="Times New Roman" w:hAnsi="Times New Roman"/>
          <w:sz w:val="28"/>
          <w:szCs w:val="28"/>
          <w:lang w:val="es-CO"/>
        </w:rPr>
        <w:t xml:space="preserve">formulada </w:t>
      </w:r>
      <w:r w:rsidR="009873C3" w:rsidRPr="007F2045">
        <w:rPr>
          <w:rFonts w:ascii="Times New Roman" w:hAnsi="Times New Roman"/>
          <w:sz w:val="28"/>
          <w:szCs w:val="28"/>
          <w:lang w:val="es-CO"/>
        </w:rPr>
        <w:t>debe considerar dis</w:t>
      </w:r>
      <w:r w:rsidR="00B25328" w:rsidRPr="007F2045">
        <w:rPr>
          <w:rFonts w:ascii="Times New Roman" w:hAnsi="Times New Roman"/>
          <w:sz w:val="28"/>
          <w:szCs w:val="28"/>
          <w:lang w:val="es-CO"/>
        </w:rPr>
        <w:t xml:space="preserve">tintos </w:t>
      </w:r>
      <w:r w:rsidR="000A4EDC" w:rsidRPr="007F2045">
        <w:rPr>
          <w:rFonts w:ascii="Times New Roman" w:hAnsi="Times New Roman"/>
          <w:sz w:val="28"/>
          <w:szCs w:val="28"/>
          <w:lang w:val="es-CO"/>
        </w:rPr>
        <w:t xml:space="preserve">elementos constitucionales </w:t>
      </w:r>
      <w:r w:rsidR="00AC17D8" w:rsidRPr="007F2045">
        <w:rPr>
          <w:rFonts w:ascii="Times New Roman" w:hAnsi="Times New Roman"/>
          <w:sz w:val="28"/>
          <w:szCs w:val="28"/>
          <w:lang w:val="es-CO"/>
        </w:rPr>
        <w:t>en</w:t>
      </w:r>
      <w:r w:rsidR="004F2152" w:rsidRPr="007F2045">
        <w:rPr>
          <w:rFonts w:ascii="Times New Roman" w:hAnsi="Times New Roman"/>
          <w:sz w:val="28"/>
          <w:szCs w:val="28"/>
          <w:lang w:val="es-CO"/>
        </w:rPr>
        <w:t xml:space="preserve"> tensión</w:t>
      </w:r>
      <w:r w:rsidR="00AC17D8" w:rsidRPr="007F2045">
        <w:rPr>
          <w:rFonts w:ascii="Times New Roman" w:hAnsi="Times New Roman"/>
          <w:sz w:val="28"/>
          <w:szCs w:val="28"/>
          <w:lang w:val="es-CO"/>
        </w:rPr>
        <w:t xml:space="preserve">. </w:t>
      </w:r>
      <w:r w:rsidR="000A4EDC" w:rsidRPr="007F2045">
        <w:rPr>
          <w:rFonts w:ascii="Times New Roman" w:hAnsi="Times New Roman"/>
          <w:sz w:val="28"/>
          <w:szCs w:val="28"/>
          <w:lang w:val="es-CO"/>
        </w:rPr>
        <w:t xml:space="preserve"> </w:t>
      </w:r>
    </w:p>
    <w:p w14:paraId="68D4E328" w14:textId="77777777" w:rsidR="00245586" w:rsidRPr="007F2045" w:rsidRDefault="00245586" w:rsidP="001B5728">
      <w:pPr>
        <w:pStyle w:val="Prrafodelista"/>
        <w:spacing w:after="0" w:line="240" w:lineRule="auto"/>
        <w:rPr>
          <w:rFonts w:ascii="Times New Roman" w:hAnsi="Times New Roman"/>
          <w:sz w:val="28"/>
          <w:szCs w:val="28"/>
          <w:lang w:val="es-CO"/>
        </w:rPr>
      </w:pPr>
    </w:p>
    <w:p w14:paraId="4A1B5EBB" w14:textId="77777777" w:rsidR="007D78D3" w:rsidRPr="007F2045" w:rsidRDefault="00027608" w:rsidP="001B5728">
      <w:pPr>
        <w:pStyle w:val="Prrafodelista"/>
        <w:numPr>
          <w:ilvl w:val="0"/>
          <w:numId w:val="2"/>
        </w:numPr>
        <w:tabs>
          <w:tab w:val="left" w:pos="426"/>
          <w:tab w:val="left" w:pos="567"/>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Lo primero, es que</w:t>
      </w:r>
      <w:r w:rsidR="006E1617" w:rsidRPr="007F2045">
        <w:rPr>
          <w:rFonts w:ascii="Times New Roman" w:hAnsi="Times New Roman"/>
          <w:sz w:val="28"/>
          <w:szCs w:val="28"/>
          <w:lang w:val="es-CO"/>
        </w:rPr>
        <w:t xml:space="preserve"> </w:t>
      </w:r>
      <w:r w:rsidR="00E83787" w:rsidRPr="007F2045">
        <w:rPr>
          <w:rFonts w:ascii="Times New Roman" w:hAnsi="Times New Roman"/>
          <w:sz w:val="28"/>
          <w:szCs w:val="28"/>
          <w:lang w:val="es-CO"/>
        </w:rPr>
        <w:t>–</w:t>
      </w:r>
      <w:r w:rsidR="006E1617" w:rsidRPr="007F2045">
        <w:rPr>
          <w:rFonts w:ascii="Times New Roman" w:hAnsi="Times New Roman"/>
          <w:sz w:val="28"/>
          <w:szCs w:val="28"/>
          <w:lang w:val="es-CO"/>
        </w:rPr>
        <w:t xml:space="preserve">en virtud de la celeridad procesal, que </w:t>
      </w:r>
      <w:r w:rsidR="00C94F68" w:rsidRPr="007F2045">
        <w:rPr>
          <w:rFonts w:ascii="Times New Roman" w:hAnsi="Times New Roman"/>
          <w:sz w:val="28"/>
          <w:szCs w:val="28"/>
          <w:lang w:val="es-CO"/>
        </w:rPr>
        <w:t>implica</w:t>
      </w:r>
      <w:r w:rsidR="006E1617" w:rsidRPr="007F2045">
        <w:rPr>
          <w:rFonts w:ascii="Times New Roman" w:hAnsi="Times New Roman"/>
          <w:sz w:val="28"/>
          <w:szCs w:val="28"/>
          <w:lang w:val="es-CO"/>
        </w:rPr>
        <w:t xml:space="preserve"> la resolución oportuna de los asuntos y </w:t>
      </w:r>
      <w:r w:rsidR="00C94F68" w:rsidRPr="007F2045">
        <w:rPr>
          <w:rFonts w:ascii="Times New Roman" w:hAnsi="Times New Roman"/>
          <w:sz w:val="28"/>
          <w:szCs w:val="28"/>
          <w:lang w:val="es-CO"/>
        </w:rPr>
        <w:t xml:space="preserve">forma </w:t>
      </w:r>
      <w:r w:rsidR="006E1617" w:rsidRPr="007F2045">
        <w:rPr>
          <w:rFonts w:ascii="Times New Roman" w:hAnsi="Times New Roman"/>
          <w:sz w:val="28"/>
          <w:szCs w:val="28"/>
          <w:lang w:val="es-CO"/>
        </w:rPr>
        <w:t>parte del derecho de acceso a la administración de justicia</w:t>
      </w:r>
      <w:r w:rsidR="006E1617" w:rsidRPr="007F2045">
        <w:rPr>
          <w:rFonts w:ascii="Times New Roman" w:hAnsi="Times New Roman"/>
          <w:szCs w:val="28"/>
          <w:vertAlign w:val="superscript"/>
          <w:lang w:val="es-CO"/>
        </w:rPr>
        <w:footnoteReference w:id="22"/>
      </w:r>
      <w:r w:rsidR="00E83787" w:rsidRPr="007F2045">
        <w:rPr>
          <w:rFonts w:ascii="Times New Roman" w:hAnsi="Times New Roman"/>
          <w:sz w:val="28"/>
          <w:szCs w:val="28"/>
          <w:lang w:val="es-CO"/>
        </w:rPr>
        <w:t>–</w:t>
      </w:r>
      <w:r w:rsidR="006E1617" w:rsidRPr="007F2045">
        <w:rPr>
          <w:rFonts w:ascii="Times New Roman" w:hAnsi="Times New Roman"/>
          <w:sz w:val="28"/>
          <w:szCs w:val="28"/>
          <w:lang w:val="es-CO"/>
        </w:rPr>
        <w:t xml:space="preserve"> </w:t>
      </w:r>
      <w:r w:rsidRPr="007F2045">
        <w:rPr>
          <w:rFonts w:ascii="Times New Roman" w:hAnsi="Times New Roman"/>
          <w:sz w:val="28"/>
          <w:szCs w:val="28"/>
          <w:lang w:val="es-CO"/>
        </w:rPr>
        <w:t>e</w:t>
      </w:r>
      <w:r w:rsidR="001833AD" w:rsidRPr="007F2045">
        <w:rPr>
          <w:rFonts w:ascii="Times New Roman" w:hAnsi="Times New Roman"/>
          <w:sz w:val="28"/>
          <w:szCs w:val="28"/>
          <w:lang w:val="es-CO"/>
        </w:rPr>
        <w:t xml:space="preserve">n un estado de excepción </w:t>
      </w:r>
      <w:r w:rsidR="00245586" w:rsidRPr="007F2045">
        <w:rPr>
          <w:rFonts w:ascii="Times New Roman" w:hAnsi="Times New Roman"/>
          <w:sz w:val="28"/>
          <w:szCs w:val="28"/>
          <w:lang w:val="es-CO"/>
        </w:rPr>
        <w:t xml:space="preserve">la justicia no puede llegar tarde, más aún </w:t>
      </w:r>
      <w:r w:rsidR="005F2F8F" w:rsidRPr="007F2045">
        <w:rPr>
          <w:rFonts w:ascii="Times New Roman" w:hAnsi="Times New Roman"/>
          <w:sz w:val="28"/>
          <w:szCs w:val="28"/>
          <w:lang w:val="es-CO"/>
        </w:rPr>
        <w:t xml:space="preserve">cuando lo que está en juego es la protección de </w:t>
      </w:r>
      <w:r w:rsidR="00245586" w:rsidRPr="007F2045">
        <w:rPr>
          <w:rFonts w:ascii="Times New Roman" w:hAnsi="Times New Roman"/>
          <w:sz w:val="28"/>
          <w:szCs w:val="28"/>
          <w:lang w:val="es-CO"/>
        </w:rPr>
        <w:t xml:space="preserve">los principios y pilares que sustentan la Constitución, como lo son </w:t>
      </w:r>
      <w:r w:rsidR="001833AD" w:rsidRPr="007F2045">
        <w:rPr>
          <w:rFonts w:ascii="Times New Roman" w:hAnsi="Times New Roman"/>
          <w:sz w:val="28"/>
          <w:szCs w:val="28"/>
          <w:lang w:val="es-CO"/>
        </w:rPr>
        <w:t xml:space="preserve">el régimen </w:t>
      </w:r>
      <w:r w:rsidR="00245586" w:rsidRPr="007F2045">
        <w:rPr>
          <w:rFonts w:ascii="Times New Roman" w:hAnsi="Times New Roman"/>
          <w:sz w:val="28"/>
          <w:szCs w:val="28"/>
          <w:lang w:val="es-CO"/>
        </w:rPr>
        <w:t>democr</w:t>
      </w:r>
      <w:r w:rsidR="001833AD" w:rsidRPr="007F2045">
        <w:rPr>
          <w:rFonts w:ascii="Times New Roman" w:hAnsi="Times New Roman"/>
          <w:sz w:val="28"/>
          <w:szCs w:val="28"/>
          <w:lang w:val="es-CO"/>
        </w:rPr>
        <w:t>ático</w:t>
      </w:r>
      <w:r w:rsidR="00245586" w:rsidRPr="007F2045">
        <w:rPr>
          <w:rFonts w:ascii="Times New Roman" w:hAnsi="Times New Roman"/>
          <w:sz w:val="28"/>
          <w:szCs w:val="28"/>
          <w:lang w:val="es-CO"/>
        </w:rPr>
        <w:t xml:space="preserve">, el respeto </w:t>
      </w:r>
      <w:r w:rsidR="00471E21" w:rsidRPr="007F2045">
        <w:rPr>
          <w:rFonts w:ascii="Times New Roman" w:hAnsi="Times New Roman"/>
          <w:sz w:val="28"/>
          <w:szCs w:val="28"/>
          <w:lang w:val="es-CO"/>
        </w:rPr>
        <w:t>por</w:t>
      </w:r>
      <w:r w:rsidR="003309BD" w:rsidRPr="007F2045">
        <w:rPr>
          <w:rFonts w:ascii="Times New Roman" w:hAnsi="Times New Roman"/>
          <w:sz w:val="28"/>
          <w:szCs w:val="28"/>
          <w:lang w:val="es-CO"/>
        </w:rPr>
        <w:t xml:space="preserve"> las competencias</w:t>
      </w:r>
      <w:r w:rsidR="00D61592" w:rsidRPr="007F2045">
        <w:rPr>
          <w:rFonts w:ascii="Times New Roman" w:hAnsi="Times New Roman"/>
          <w:sz w:val="28"/>
          <w:szCs w:val="28"/>
          <w:lang w:val="es-CO"/>
        </w:rPr>
        <w:t xml:space="preserve"> constitucionales</w:t>
      </w:r>
      <w:r w:rsidR="003309BD" w:rsidRPr="007F2045">
        <w:rPr>
          <w:rFonts w:ascii="Times New Roman" w:hAnsi="Times New Roman"/>
          <w:sz w:val="28"/>
          <w:szCs w:val="28"/>
          <w:lang w:val="es-CO"/>
        </w:rPr>
        <w:t xml:space="preserve"> </w:t>
      </w:r>
      <w:r w:rsidR="00D61592" w:rsidRPr="007F2045">
        <w:rPr>
          <w:rFonts w:ascii="Times New Roman" w:hAnsi="Times New Roman"/>
          <w:sz w:val="28"/>
          <w:szCs w:val="28"/>
          <w:lang w:val="es-CO"/>
        </w:rPr>
        <w:t xml:space="preserve">de </w:t>
      </w:r>
      <w:r w:rsidR="00C50C25" w:rsidRPr="007F2045">
        <w:rPr>
          <w:rFonts w:ascii="Times New Roman" w:hAnsi="Times New Roman"/>
          <w:sz w:val="28"/>
          <w:szCs w:val="28"/>
          <w:lang w:val="es-CO"/>
        </w:rPr>
        <w:t>los demás poderes o la protección de los derechos fundamentales</w:t>
      </w:r>
      <w:r w:rsidR="006E1617" w:rsidRPr="007F2045">
        <w:rPr>
          <w:rFonts w:ascii="Times New Roman" w:hAnsi="Times New Roman"/>
          <w:sz w:val="28"/>
          <w:szCs w:val="28"/>
          <w:lang w:val="es-CO"/>
        </w:rPr>
        <w:t xml:space="preserve">. </w:t>
      </w:r>
      <w:r w:rsidR="00C50C25" w:rsidRPr="007F2045">
        <w:rPr>
          <w:rFonts w:ascii="Times New Roman" w:hAnsi="Times New Roman"/>
          <w:sz w:val="28"/>
          <w:szCs w:val="28"/>
          <w:lang w:val="es-CO"/>
        </w:rPr>
        <w:t xml:space="preserve">Por ejemplo, si un Gobierno declara un estado de excepción y con base en él detiene a personas indiscriminadamente, sin ningún tipo de garantía del debido proceso o usando </w:t>
      </w:r>
      <w:r w:rsidR="002B5781" w:rsidRPr="007F2045">
        <w:rPr>
          <w:rFonts w:ascii="Times New Roman" w:hAnsi="Times New Roman"/>
          <w:sz w:val="28"/>
          <w:szCs w:val="28"/>
          <w:lang w:val="es-CO"/>
        </w:rPr>
        <w:t xml:space="preserve">de manera arbitraria </w:t>
      </w:r>
      <w:r w:rsidR="00C50C25" w:rsidRPr="007F2045">
        <w:rPr>
          <w:rFonts w:ascii="Times New Roman" w:hAnsi="Times New Roman"/>
          <w:sz w:val="28"/>
          <w:szCs w:val="28"/>
          <w:lang w:val="es-CO"/>
        </w:rPr>
        <w:t xml:space="preserve">la fuerza, quedaría completamente desprotegida </w:t>
      </w:r>
      <w:r w:rsidR="0051037B" w:rsidRPr="007F2045">
        <w:rPr>
          <w:rFonts w:ascii="Times New Roman" w:hAnsi="Times New Roman"/>
          <w:sz w:val="28"/>
          <w:szCs w:val="28"/>
          <w:lang w:val="es-CO"/>
        </w:rPr>
        <w:t>la garantía de los derechos y la vigencia de la Constitución</w:t>
      </w:r>
      <w:r w:rsidR="001F5367" w:rsidRPr="007F2045">
        <w:rPr>
          <w:rFonts w:ascii="Times New Roman" w:hAnsi="Times New Roman"/>
          <w:sz w:val="28"/>
          <w:szCs w:val="28"/>
          <w:lang w:val="es-CO"/>
        </w:rPr>
        <w:t xml:space="preserve">. </w:t>
      </w:r>
      <w:r w:rsidR="00E476C4" w:rsidRPr="007F2045">
        <w:rPr>
          <w:rFonts w:ascii="Times New Roman" w:hAnsi="Times New Roman"/>
          <w:sz w:val="28"/>
          <w:szCs w:val="28"/>
          <w:lang w:val="es-CO"/>
        </w:rPr>
        <w:t>Lo propio puede ocurrir cuando, sin fundamento alguno</w:t>
      </w:r>
      <w:r w:rsidR="00AE0E54" w:rsidRPr="007F2045">
        <w:rPr>
          <w:rFonts w:ascii="Times New Roman" w:hAnsi="Times New Roman"/>
          <w:sz w:val="28"/>
          <w:szCs w:val="28"/>
          <w:lang w:val="es-CO"/>
        </w:rPr>
        <w:t>,</w:t>
      </w:r>
      <w:r w:rsidR="00E476C4" w:rsidRPr="007F2045">
        <w:rPr>
          <w:rFonts w:ascii="Times New Roman" w:hAnsi="Times New Roman"/>
          <w:sz w:val="28"/>
          <w:szCs w:val="28"/>
          <w:lang w:val="es-CO"/>
        </w:rPr>
        <w:t xml:space="preserve"> el presidente de la República se </w:t>
      </w:r>
      <w:proofErr w:type="spellStart"/>
      <w:r w:rsidR="00E476C4" w:rsidRPr="007F2045">
        <w:rPr>
          <w:rFonts w:ascii="Times New Roman" w:hAnsi="Times New Roman"/>
          <w:sz w:val="28"/>
          <w:szCs w:val="28"/>
          <w:lang w:val="es-CO"/>
        </w:rPr>
        <w:t>autohabilita</w:t>
      </w:r>
      <w:proofErr w:type="spellEnd"/>
      <w:r w:rsidR="00E476C4" w:rsidRPr="007F2045">
        <w:rPr>
          <w:rFonts w:ascii="Times New Roman" w:hAnsi="Times New Roman"/>
          <w:sz w:val="28"/>
          <w:szCs w:val="28"/>
          <w:lang w:val="es-CO"/>
        </w:rPr>
        <w:t xml:space="preserve"> para</w:t>
      </w:r>
      <w:r w:rsidR="00AE0E54" w:rsidRPr="007F2045">
        <w:rPr>
          <w:rFonts w:ascii="Times New Roman" w:hAnsi="Times New Roman"/>
          <w:sz w:val="28"/>
          <w:szCs w:val="28"/>
          <w:lang w:val="es-CO"/>
        </w:rPr>
        <w:t xml:space="preserve"> ejercer </w:t>
      </w:r>
      <w:r w:rsidRPr="007F2045">
        <w:rPr>
          <w:rFonts w:ascii="Times New Roman" w:hAnsi="Times New Roman"/>
          <w:sz w:val="28"/>
          <w:szCs w:val="28"/>
          <w:lang w:val="es-CO"/>
        </w:rPr>
        <w:t xml:space="preserve">la </w:t>
      </w:r>
      <w:r w:rsidR="00AE0E54" w:rsidRPr="007F2045">
        <w:rPr>
          <w:rFonts w:ascii="Times New Roman" w:hAnsi="Times New Roman"/>
          <w:sz w:val="28"/>
          <w:szCs w:val="28"/>
          <w:lang w:val="es-CO"/>
        </w:rPr>
        <w:t>función legislativa</w:t>
      </w:r>
      <w:r w:rsidR="00E476C4" w:rsidRPr="007F2045">
        <w:rPr>
          <w:rFonts w:ascii="Times New Roman" w:hAnsi="Times New Roman"/>
          <w:sz w:val="28"/>
          <w:szCs w:val="28"/>
          <w:lang w:val="es-CO"/>
        </w:rPr>
        <w:t xml:space="preserve"> y sujeta a los ciudadanos a reglas expedidas al amparo de una situación excepcional fingida, opaca o apenas aparente. </w:t>
      </w:r>
      <w:r w:rsidR="0051037B" w:rsidRPr="007F2045">
        <w:rPr>
          <w:rFonts w:ascii="Times New Roman" w:hAnsi="Times New Roman"/>
          <w:sz w:val="28"/>
          <w:szCs w:val="28"/>
          <w:lang w:val="es-CO"/>
        </w:rPr>
        <w:t xml:space="preserve">Permitir </w:t>
      </w:r>
      <w:r w:rsidR="001833AD" w:rsidRPr="007F2045">
        <w:rPr>
          <w:rFonts w:ascii="Times New Roman" w:hAnsi="Times New Roman"/>
          <w:sz w:val="28"/>
          <w:szCs w:val="28"/>
          <w:lang w:val="es-CO"/>
        </w:rPr>
        <w:t>estos abusos</w:t>
      </w:r>
      <w:r w:rsidR="0051037B" w:rsidRPr="007F2045">
        <w:rPr>
          <w:rFonts w:ascii="Times New Roman" w:hAnsi="Times New Roman"/>
          <w:sz w:val="28"/>
          <w:szCs w:val="28"/>
          <w:lang w:val="es-CO"/>
        </w:rPr>
        <w:t xml:space="preserve">, en espera </w:t>
      </w:r>
      <w:r w:rsidR="00AE0E54" w:rsidRPr="007F2045">
        <w:rPr>
          <w:rFonts w:ascii="Times New Roman" w:hAnsi="Times New Roman"/>
          <w:sz w:val="28"/>
          <w:szCs w:val="28"/>
          <w:lang w:val="es-CO"/>
        </w:rPr>
        <w:t xml:space="preserve">de </w:t>
      </w:r>
      <w:r w:rsidR="0051037B" w:rsidRPr="007F2045">
        <w:rPr>
          <w:rFonts w:ascii="Times New Roman" w:hAnsi="Times New Roman"/>
          <w:sz w:val="28"/>
          <w:szCs w:val="28"/>
          <w:lang w:val="es-CO"/>
        </w:rPr>
        <w:t xml:space="preserve">que la Corte </w:t>
      </w:r>
      <w:r w:rsidR="0002240F" w:rsidRPr="007F2045">
        <w:rPr>
          <w:rFonts w:ascii="Times New Roman" w:hAnsi="Times New Roman"/>
          <w:sz w:val="28"/>
          <w:szCs w:val="28"/>
          <w:lang w:val="es-CO"/>
        </w:rPr>
        <w:t>adopte</w:t>
      </w:r>
      <w:r w:rsidR="0051037B" w:rsidRPr="007F2045">
        <w:rPr>
          <w:rFonts w:ascii="Times New Roman" w:hAnsi="Times New Roman"/>
          <w:sz w:val="28"/>
          <w:szCs w:val="28"/>
          <w:lang w:val="es-CO"/>
        </w:rPr>
        <w:t xml:space="preserve"> una decisión de fondo sobre la constitucionalidad de estas medidas, sería aceptar </w:t>
      </w:r>
      <w:r w:rsidR="0002240F" w:rsidRPr="007F2045">
        <w:rPr>
          <w:rFonts w:ascii="Times New Roman" w:hAnsi="Times New Roman"/>
          <w:sz w:val="28"/>
          <w:szCs w:val="28"/>
          <w:lang w:val="es-CO"/>
        </w:rPr>
        <w:t xml:space="preserve">que, al menos por un tiempo, la Constitución admite </w:t>
      </w:r>
      <w:r w:rsidR="0051037B" w:rsidRPr="007F2045">
        <w:rPr>
          <w:rFonts w:ascii="Times New Roman" w:hAnsi="Times New Roman"/>
          <w:sz w:val="28"/>
          <w:szCs w:val="28"/>
          <w:lang w:val="es-CO"/>
        </w:rPr>
        <w:t xml:space="preserve">la vigencia de un orden completamente contrario a </w:t>
      </w:r>
      <w:r w:rsidR="0002240F" w:rsidRPr="007F2045">
        <w:rPr>
          <w:rFonts w:ascii="Times New Roman" w:hAnsi="Times New Roman"/>
          <w:sz w:val="28"/>
          <w:szCs w:val="28"/>
          <w:lang w:val="es-CO"/>
        </w:rPr>
        <w:t>sus mandatos</w:t>
      </w:r>
      <w:r w:rsidR="0051037B" w:rsidRPr="007F2045">
        <w:rPr>
          <w:rFonts w:ascii="Times New Roman" w:hAnsi="Times New Roman"/>
          <w:sz w:val="28"/>
          <w:szCs w:val="28"/>
          <w:lang w:val="es-CO"/>
        </w:rPr>
        <w:t xml:space="preserve">. Sería casi como avalar </w:t>
      </w:r>
      <w:r w:rsidR="00E0696A" w:rsidRPr="007F2045">
        <w:rPr>
          <w:rFonts w:ascii="Times New Roman" w:hAnsi="Times New Roman"/>
          <w:sz w:val="28"/>
          <w:szCs w:val="28"/>
          <w:lang w:val="es-CO"/>
        </w:rPr>
        <w:t>que los ciudadanos quedaran sometidos a un estado de excepción espurio y</w:t>
      </w:r>
      <w:r w:rsidR="00CA0906" w:rsidRPr="007F2045">
        <w:rPr>
          <w:rFonts w:ascii="Times New Roman" w:hAnsi="Times New Roman"/>
          <w:sz w:val="28"/>
          <w:szCs w:val="28"/>
          <w:lang w:val="es-CO"/>
        </w:rPr>
        <w:t xml:space="preserve"> </w:t>
      </w:r>
      <w:r w:rsidR="00003CD8" w:rsidRPr="007F2045">
        <w:rPr>
          <w:rFonts w:ascii="Times New Roman" w:hAnsi="Times New Roman"/>
          <w:sz w:val="28"/>
          <w:szCs w:val="28"/>
          <w:lang w:val="es-CO"/>
        </w:rPr>
        <w:t>tuvieran que</w:t>
      </w:r>
      <w:r w:rsidR="00CA0906" w:rsidRPr="007F2045">
        <w:rPr>
          <w:rFonts w:ascii="Times New Roman" w:hAnsi="Times New Roman"/>
          <w:sz w:val="28"/>
          <w:szCs w:val="28"/>
          <w:lang w:val="es-CO"/>
        </w:rPr>
        <w:t xml:space="preserve"> </w:t>
      </w:r>
      <w:r w:rsidR="00975C92" w:rsidRPr="007F2045">
        <w:rPr>
          <w:rFonts w:ascii="Times New Roman" w:hAnsi="Times New Roman"/>
          <w:sz w:val="28"/>
          <w:szCs w:val="28"/>
          <w:lang w:val="es-CO"/>
        </w:rPr>
        <w:t xml:space="preserve">soportar </w:t>
      </w:r>
      <w:r w:rsidR="00003CD8" w:rsidRPr="007F2045">
        <w:rPr>
          <w:rFonts w:ascii="Times New Roman" w:hAnsi="Times New Roman"/>
          <w:sz w:val="28"/>
          <w:szCs w:val="28"/>
          <w:lang w:val="es-CO"/>
        </w:rPr>
        <w:t xml:space="preserve">los </w:t>
      </w:r>
      <w:r w:rsidR="00B32548" w:rsidRPr="007F2045">
        <w:rPr>
          <w:rFonts w:ascii="Times New Roman" w:hAnsi="Times New Roman"/>
          <w:sz w:val="28"/>
          <w:szCs w:val="28"/>
          <w:lang w:val="es-CO"/>
        </w:rPr>
        <w:t>efectos sobre sus derechos y libertades</w:t>
      </w:r>
      <w:r w:rsidR="0089416F" w:rsidRPr="007F2045">
        <w:rPr>
          <w:rFonts w:ascii="Times New Roman" w:hAnsi="Times New Roman"/>
          <w:sz w:val="28"/>
          <w:szCs w:val="28"/>
          <w:lang w:val="es-CO"/>
        </w:rPr>
        <w:t xml:space="preserve">, aunque ello </w:t>
      </w:r>
      <w:r w:rsidR="00D272EE" w:rsidRPr="007F2045">
        <w:rPr>
          <w:rFonts w:ascii="Times New Roman" w:hAnsi="Times New Roman"/>
          <w:sz w:val="28"/>
          <w:szCs w:val="28"/>
          <w:lang w:val="es-CO"/>
        </w:rPr>
        <w:t>fuera</w:t>
      </w:r>
      <w:r w:rsidR="0089416F" w:rsidRPr="007F2045">
        <w:rPr>
          <w:rFonts w:ascii="Times New Roman" w:hAnsi="Times New Roman"/>
          <w:sz w:val="28"/>
          <w:szCs w:val="28"/>
          <w:lang w:val="es-CO"/>
        </w:rPr>
        <w:t xml:space="preserve"> </w:t>
      </w:r>
      <w:r w:rsidR="00696AD5" w:rsidRPr="007F2045">
        <w:rPr>
          <w:rFonts w:ascii="Times New Roman" w:hAnsi="Times New Roman"/>
          <w:sz w:val="28"/>
          <w:szCs w:val="28"/>
          <w:lang w:val="es-CO"/>
        </w:rPr>
        <w:t xml:space="preserve">totalmente </w:t>
      </w:r>
      <w:r w:rsidR="0051037B" w:rsidRPr="007F2045">
        <w:rPr>
          <w:rFonts w:ascii="Times New Roman" w:hAnsi="Times New Roman"/>
          <w:sz w:val="28"/>
          <w:szCs w:val="28"/>
          <w:lang w:val="es-CO"/>
        </w:rPr>
        <w:t>inconstituciona</w:t>
      </w:r>
      <w:r w:rsidR="00107921" w:rsidRPr="007F2045">
        <w:rPr>
          <w:rFonts w:ascii="Times New Roman" w:hAnsi="Times New Roman"/>
          <w:sz w:val="28"/>
          <w:szCs w:val="28"/>
          <w:lang w:val="es-CO"/>
        </w:rPr>
        <w:t>l</w:t>
      </w:r>
      <w:r w:rsidR="0051037B" w:rsidRPr="007F2045">
        <w:rPr>
          <w:rFonts w:ascii="Times New Roman" w:hAnsi="Times New Roman"/>
          <w:sz w:val="28"/>
          <w:szCs w:val="28"/>
          <w:lang w:val="es-CO"/>
        </w:rPr>
        <w:t xml:space="preserve">, </w:t>
      </w:r>
      <w:r w:rsidR="00696AD5" w:rsidRPr="007F2045">
        <w:rPr>
          <w:rFonts w:ascii="Times New Roman" w:hAnsi="Times New Roman"/>
          <w:sz w:val="28"/>
          <w:szCs w:val="28"/>
          <w:lang w:val="es-CO"/>
        </w:rPr>
        <w:t xml:space="preserve">en función del tiempo que le lleva a la Corte </w:t>
      </w:r>
      <w:r w:rsidR="007C4893" w:rsidRPr="007F2045">
        <w:rPr>
          <w:rFonts w:ascii="Times New Roman" w:hAnsi="Times New Roman"/>
          <w:sz w:val="28"/>
          <w:szCs w:val="28"/>
          <w:lang w:val="es-CO"/>
        </w:rPr>
        <w:t>proferir la sentencia</w:t>
      </w:r>
      <w:r w:rsidR="004350FF" w:rsidRPr="007F2045">
        <w:rPr>
          <w:rFonts w:ascii="Times New Roman" w:hAnsi="Times New Roman"/>
          <w:szCs w:val="28"/>
          <w:vertAlign w:val="superscript"/>
          <w:lang w:val="es-CO"/>
        </w:rPr>
        <w:footnoteReference w:id="23"/>
      </w:r>
      <w:r w:rsidR="00107921" w:rsidRPr="007F2045">
        <w:rPr>
          <w:rFonts w:ascii="Times New Roman" w:hAnsi="Times New Roman"/>
          <w:sz w:val="28"/>
          <w:szCs w:val="28"/>
          <w:lang w:val="es-CO"/>
        </w:rPr>
        <w:t xml:space="preserve">. </w:t>
      </w:r>
    </w:p>
    <w:p w14:paraId="170E06AD" w14:textId="77777777" w:rsidR="009F22A3" w:rsidRPr="007F2045" w:rsidRDefault="009F22A3" w:rsidP="001B5728">
      <w:pPr>
        <w:pStyle w:val="Prrafodelista"/>
        <w:tabs>
          <w:tab w:val="left" w:pos="426"/>
          <w:tab w:val="left" w:pos="567"/>
        </w:tabs>
        <w:spacing w:after="0" w:line="240" w:lineRule="auto"/>
        <w:ind w:left="0"/>
        <w:rPr>
          <w:rFonts w:ascii="Times New Roman" w:hAnsi="Times New Roman"/>
          <w:lang w:val="es-CO"/>
        </w:rPr>
      </w:pPr>
    </w:p>
    <w:p w14:paraId="1022CD0E" w14:textId="77777777" w:rsidR="00615CDE" w:rsidRPr="007F2045" w:rsidRDefault="00615CDE" w:rsidP="001B5728">
      <w:pPr>
        <w:pStyle w:val="Prrafodelista"/>
        <w:numPr>
          <w:ilvl w:val="0"/>
          <w:numId w:val="2"/>
        </w:numPr>
        <w:tabs>
          <w:tab w:val="left" w:pos="426"/>
          <w:tab w:val="left" w:pos="567"/>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Sin embargo, la cuestión de la suspensión provisional, en estados de excepción, también lleva a hacerse otras preguntas complejas envueltas en la naturaleza de los poderes excepcionales</w:t>
      </w:r>
      <w:r w:rsidRPr="007F2045">
        <w:rPr>
          <w:rFonts w:ascii="Times New Roman" w:hAnsi="Times New Roman"/>
          <w:lang w:val="es-CO"/>
        </w:rPr>
        <w:t>.</w:t>
      </w:r>
      <w:r w:rsidRPr="007F2045">
        <w:rPr>
          <w:rFonts w:ascii="Times New Roman" w:hAnsi="Times New Roman"/>
          <w:sz w:val="28"/>
          <w:szCs w:val="28"/>
          <w:lang w:val="es-CO"/>
        </w:rPr>
        <w:t xml:space="preserve"> Como lo puso de presente la sentencia C-179 de 1994, en estos estados se presenta una paradoja: ellos, que pueden suponer una restricción de los elementos centrales del Estado de Derecho (tales como la separación de poderes, el principio de democrático y </w:t>
      </w:r>
      <w:r w:rsidR="0034594F" w:rsidRPr="007F2045">
        <w:rPr>
          <w:rFonts w:ascii="Times New Roman" w:hAnsi="Times New Roman"/>
          <w:sz w:val="28"/>
          <w:szCs w:val="28"/>
          <w:lang w:val="es-CO"/>
        </w:rPr>
        <w:t xml:space="preserve">la </w:t>
      </w:r>
      <w:r w:rsidRPr="007F2045">
        <w:rPr>
          <w:rFonts w:ascii="Times New Roman" w:hAnsi="Times New Roman"/>
          <w:sz w:val="28"/>
          <w:szCs w:val="28"/>
          <w:lang w:val="es-CO"/>
        </w:rPr>
        <w:t xml:space="preserve">vigencia de los derechos fundamentales), se justifican precisamente para protegerlos. Una emergencia </w:t>
      </w:r>
      <w:r w:rsidR="0034594F" w:rsidRPr="007F2045">
        <w:rPr>
          <w:rFonts w:ascii="Times New Roman" w:hAnsi="Times New Roman"/>
          <w:sz w:val="28"/>
          <w:szCs w:val="28"/>
          <w:lang w:val="es-CO"/>
        </w:rPr>
        <w:t>reclama respuestas</w:t>
      </w:r>
      <w:r w:rsidRPr="007F2045">
        <w:rPr>
          <w:rFonts w:ascii="Times New Roman" w:hAnsi="Times New Roman"/>
          <w:sz w:val="28"/>
          <w:szCs w:val="28"/>
          <w:lang w:val="es-CO"/>
        </w:rPr>
        <w:t xml:space="preserve"> con medidas de urgencia, también, precisamente, para no llegar tarde. Si la Corte suspende una declaratoria de excepción o no permite aplicar medidas excepcionales mientras ella decide, es posible que interfiera a la vez en la posibilidad de responder cabalmente a una situación excepcional, a saber, una agresión extranjera, una alteración significativa del orden público o una grave perturbación del orden económico, social o ecológico.</w:t>
      </w:r>
    </w:p>
    <w:p w14:paraId="22213A06" w14:textId="77777777" w:rsidR="00615CDE" w:rsidRPr="007F2045" w:rsidRDefault="00615CDE" w:rsidP="001B5728">
      <w:pPr>
        <w:pStyle w:val="Prrafodelista"/>
        <w:spacing w:after="0" w:line="240" w:lineRule="auto"/>
        <w:rPr>
          <w:rFonts w:ascii="Times New Roman" w:hAnsi="Times New Roman"/>
          <w:sz w:val="28"/>
          <w:szCs w:val="28"/>
          <w:lang w:val="es-CO"/>
        </w:rPr>
      </w:pPr>
    </w:p>
    <w:p w14:paraId="6FBBCAE6" w14:textId="77777777" w:rsidR="00357991" w:rsidRPr="007F2045" w:rsidRDefault="00975875" w:rsidP="001B5728">
      <w:pPr>
        <w:pStyle w:val="Prrafodelista"/>
        <w:numPr>
          <w:ilvl w:val="0"/>
          <w:numId w:val="2"/>
        </w:numPr>
        <w:tabs>
          <w:tab w:val="left" w:pos="426"/>
          <w:tab w:val="left" w:pos="567"/>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La </w:t>
      </w:r>
      <w:r w:rsidR="009F22A3" w:rsidRPr="007F2045">
        <w:rPr>
          <w:rFonts w:ascii="Times New Roman" w:hAnsi="Times New Roman"/>
          <w:sz w:val="28"/>
          <w:szCs w:val="28"/>
          <w:lang w:val="es-CO"/>
        </w:rPr>
        <w:t xml:space="preserve">respuesta </w:t>
      </w:r>
      <w:r w:rsidR="000E0929" w:rsidRPr="007F2045">
        <w:rPr>
          <w:rFonts w:ascii="Times New Roman" w:hAnsi="Times New Roman"/>
          <w:sz w:val="28"/>
          <w:szCs w:val="28"/>
          <w:lang w:val="es-CO"/>
        </w:rPr>
        <w:t>a est</w:t>
      </w:r>
      <w:r w:rsidR="00C644A0" w:rsidRPr="007F2045">
        <w:rPr>
          <w:rFonts w:ascii="Times New Roman" w:hAnsi="Times New Roman"/>
          <w:sz w:val="28"/>
          <w:szCs w:val="28"/>
          <w:lang w:val="es-CO"/>
        </w:rPr>
        <w:t>a</w:t>
      </w:r>
      <w:r w:rsidR="009B1F43" w:rsidRPr="007F2045">
        <w:rPr>
          <w:rFonts w:ascii="Times New Roman" w:hAnsi="Times New Roman"/>
          <w:sz w:val="28"/>
          <w:szCs w:val="28"/>
          <w:lang w:val="es-CO"/>
        </w:rPr>
        <w:t>s</w:t>
      </w:r>
      <w:r w:rsidR="00C644A0" w:rsidRPr="007F2045">
        <w:rPr>
          <w:rFonts w:ascii="Times New Roman" w:hAnsi="Times New Roman"/>
          <w:sz w:val="28"/>
          <w:szCs w:val="28"/>
          <w:lang w:val="es-CO"/>
        </w:rPr>
        <w:t xml:space="preserve"> tensi</w:t>
      </w:r>
      <w:r w:rsidR="009B1F43" w:rsidRPr="007F2045">
        <w:rPr>
          <w:rFonts w:ascii="Times New Roman" w:hAnsi="Times New Roman"/>
          <w:sz w:val="28"/>
          <w:szCs w:val="28"/>
          <w:lang w:val="es-CO"/>
        </w:rPr>
        <w:t>ones</w:t>
      </w:r>
      <w:r w:rsidR="00C644A0" w:rsidRPr="007F2045">
        <w:rPr>
          <w:rFonts w:ascii="Times New Roman" w:hAnsi="Times New Roman"/>
          <w:sz w:val="28"/>
          <w:szCs w:val="28"/>
          <w:lang w:val="es-CO"/>
        </w:rPr>
        <w:t xml:space="preserve"> </w:t>
      </w:r>
      <w:r w:rsidR="001912EC" w:rsidRPr="007F2045">
        <w:rPr>
          <w:rFonts w:ascii="Times New Roman" w:hAnsi="Times New Roman"/>
          <w:sz w:val="28"/>
          <w:szCs w:val="28"/>
          <w:lang w:val="es-CO"/>
        </w:rPr>
        <w:t>constitucional</w:t>
      </w:r>
      <w:r w:rsidR="009B1F43" w:rsidRPr="007F2045">
        <w:rPr>
          <w:rFonts w:ascii="Times New Roman" w:hAnsi="Times New Roman"/>
          <w:sz w:val="28"/>
          <w:szCs w:val="28"/>
          <w:lang w:val="es-CO"/>
        </w:rPr>
        <w:t>es</w:t>
      </w:r>
      <w:r w:rsidR="000E0929" w:rsidRPr="007F2045">
        <w:rPr>
          <w:rFonts w:ascii="Times New Roman" w:hAnsi="Times New Roman"/>
          <w:sz w:val="28"/>
          <w:szCs w:val="28"/>
          <w:lang w:val="es-CO"/>
        </w:rPr>
        <w:t xml:space="preserve"> </w:t>
      </w:r>
      <w:r w:rsidR="00C01751" w:rsidRPr="007F2045">
        <w:rPr>
          <w:rFonts w:ascii="Times New Roman" w:hAnsi="Times New Roman"/>
          <w:sz w:val="28"/>
          <w:szCs w:val="28"/>
          <w:lang w:val="es-CO"/>
        </w:rPr>
        <w:t xml:space="preserve">debe orientarse a la búsqueda de un punto de equilibrio que, de un lado, permita al juez evitar que un uso abusivo </w:t>
      </w:r>
      <w:r w:rsidR="001429F3" w:rsidRPr="007F2045">
        <w:rPr>
          <w:rFonts w:ascii="Times New Roman" w:hAnsi="Times New Roman"/>
          <w:sz w:val="28"/>
          <w:szCs w:val="28"/>
          <w:lang w:val="es-CO"/>
        </w:rPr>
        <w:t xml:space="preserve">o insostenible </w:t>
      </w:r>
      <w:r w:rsidR="00C01751" w:rsidRPr="007F2045">
        <w:rPr>
          <w:rFonts w:ascii="Times New Roman" w:hAnsi="Times New Roman"/>
          <w:sz w:val="28"/>
          <w:szCs w:val="28"/>
          <w:lang w:val="es-CO"/>
        </w:rPr>
        <w:t xml:space="preserve">de los </w:t>
      </w:r>
      <w:r w:rsidR="00357991" w:rsidRPr="007F2045">
        <w:rPr>
          <w:rFonts w:ascii="Times New Roman" w:hAnsi="Times New Roman"/>
          <w:sz w:val="28"/>
          <w:szCs w:val="28"/>
          <w:lang w:val="es-CO"/>
        </w:rPr>
        <w:t xml:space="preserve">estados de excepción </w:t>
      </w:r>
      <w:r w:rsidR="00C01751" w:rsidRPr="007F2045">
        <w:rPr>
          <w:rFonts w:ascii="Times New Roman" w:hAnsi="Times New Roman"/>
          <w:sz w:val="28"/>
          <w:szCs w:val="28"/>
          <w:lang w:val="es-CO"/>
        </w:rPr>
        <w:t>genere</w:t>
      </w:r>
      <w:r w:rsidR="00357991" w:rsidRPr="007F2045">
        <w:rPr>
          <w:rFonts w:ascii="Times New Roman" w:hAnsi="Times New Roman"/>
          <w:sz w:val="28"/>
          <w:szCs w:val="28"/>
          <w:lang w:val="es-CO"/>
        </w:rPr>
        <w:t xml:space="preserve"> perjuicios graves e irreversibles antes de que pueda </w:t>
      </w:r>
      <w:r w:rsidR="00C01751" w:rsidRPr="007F2045">
        <w:rPr>
          <w:rFonts w:ascii="Times New Roman" w:hAnsi="Times New Roman"/>
          <w:sz w:val="28"/>
          <w:szCs w:val="28"/>
          <w:lang w:val="es-CO"/>
        </w:rPr>
        <w:t>adoptarse una decisión</w:t>
      </w:r>
      <w:r w:rsidR="00357991" w:rsidRPr="007F2045">
        <w:rPr>
          <w:rFonts w:ascii="Times New Roman" w:hAnsi="Times New Roman"/>
          <w:sz w:val="28"/>
          <w:szCs w:val="28"/>
          <w:lang w:val="es-CO"/>
        </w:rPr>
        <w:t xml:space="preserve"> de fondo</w:t>
      </w:r>
      <w:r w:rsidR="00C01751" w:rsidRPr="007F2045">
        <w:rPr>
          <w:rFonts w:ascii="Times New Roman" w:hAnsi="Times New Roman"/>
          <w:sz w:val="28"/>
          <w:szCs w:val="28"/>
          <w:lang w:val="es-CO"/>
        </w:rPr>
        <w:t xml:space="preserve"> y, de otro, </w:t>
      </w:r>
      <w:r w:rsidR="00357991" w:rsidRPr="007F2045">
        <w:rPr>
          <w:rFonts w:ascii="Times New Roman" w:hAnsi="Times New Roman"/>
          <w:sz w:val="28"/>
          <w:szCs w:val="28"/>
          <w:lang w:val="es-CO"/>
        </w:rPr>
        <w:t xml:space="preserve">no </w:t>
      </w:r>
      <w:r w:rsidR="00C01751" w:rsidRPr="007F2045">
        <w:rPr>
          <w:rFonts w:ascii="Times New Roman" w:hAnsi="Times New Roman"/>
          <w:sz w:val="28"/>
          <w:szCs w:val="28"/>
          <w:lang w:val="es-CO"/>
        </w:rPr>
        <w:t>implique una</w:t>
      </w:r>
      <w:r w:rsidR="00357991" w:rsidRPr="007F2045">
        <w:rPr>
          <w:rFonts w:ascii="Times New Roman" w:hAnsi="Times New Roman"/>
          <w:sz w:val="28"/>
          <w:szCs w:val="28"/>
          <w:lang w:val="es-CO"/>
        </w:rPr>
        <w:t xml:space="preserve"> obstrucción </w:t>
      </w:r>
      <w:r w:rsidR="00C01751" w:rsidRPr="007F2045">
        <w:rPr>
          <w:rFonts w:ascii="Times New Roman" w:hAnsi="Times New Roman"/>
          <w:sz w:val="28"/>
          <w:szCs w:val="28"/>
          <w:lang w:val="es-CO"/>
        </w:rPr>
        <w:t xml:space="preserve">indebida </w:t>
      </w:r>
      <w:r w:rsidR="00357991" w:rsidRPr="007F2045">
        <w:rPr>
          <w:rFonts w:ascii="Times New Roman" w:hAnsi="Times New Roman"/>
          <w:sz w:val="28"/>
          <w:szCs w:val="28"/>
          <w:lang w:val="es-CO"/>
        </w:rPr>
        <w:t>a las respuestas de emergencia</w:t>
      </w:r>
      <w:r w:rsidR="001429F3" w:rsidRPr="007F2045">
        <w:rPr>
          <w:rFonts w:ascii="Times New Roman" w:hAnsi="Times New Roman"/>
          <w:sz w:val="28"/>
          <w:szCs w:val="28"/>
          <w:lang w:val="es-CO"/>
        </w:rPr>
        <w:t xml:space="preserve">, </w:t>
      </w:r>
      <w:r w:rsidR="00357991" w:rsidRPr="007F2045">
        <w:rPr>
          <w:rFonts w:ascii="Times New Roman" w:hAnsi="Times New Roman"/>
          <w:sz w:val="28"/>
          <w:szCs w:val="28"/>
          <w:lang w:val="es-CO"/>
        </w:rPr>
        <w:t xml:space="preserve">cuando estas </w:t>
      </w:r>
      <w:r w:rsidR="00C01751" w:rsidRPr="007F2045">
        <w:rPr>
          <w:rFonts w:ascii="Times New Roman" w:hAnsi="Times New Roman"/>
          <w:sz w:val="28"/>
          <w:szCs w:val="28"/>
          <w:lang w:val="es-CO"/>
        </w:rPr>
        <w:t xml:space="preserve">resulten </w:t>
      </w:r>
      <w:r w:rsidR="00357991" w:rsidRPr="007F2045">
        <w:rPr>
          <w:rFonts w:ascii="Times New Roman" w:hAnsi="Times New Roman"/>
          <w:sz w:val="28"/>
          <w:szCs w:val="28"/>
          <w:lang w:val="es-CO"/>
        </w:rPr>
        <w:t>necesarias</w:t>
      </w:r>
      <w:r w:rsidR="00C01751" w:rsidRPr="007F2045">
        <w:rPr>
          <w:rFonts w:ascii="Times New Roman" w:hAnsi="Times New Roman"/>
          <w:sz w:val="28"/>
          <w:szCs w:val="28"/>
          <w:lang w:val="es-CO"/>
        </w:rPr>
        <w:t xml:space="preserve"> y estén constitucionalmente justificadas</w:t>
      </w:r>
      <w:r w:rsidR="00357991" w:rsidRPr="007F2045">
        <w:rPr>
          <w:rFonts w:ascii="Times New Roman" w:hAnsi="Times New Roman"/>
          <w:sz w:val="28"/>
          <w:szCs w:val="28"/>
          <w:lang w:val="es-CO"/>
        </w:rPr>
        <w:t xml:space="preserve">. </w:t>
      </w:r>
      <w:r w:rsidR="00AE0E54" w:rsidRPr="007F2045">
        <w:rPr>
          <w:rFonts w:ascii="Times New Roman" w:hAnsi="Times New Roman"/>
          <w:sz w:val="28"/>
          <w:szCs w:val="28"/>
          <w:lang w:val="es-CO"/>
        </w:rPr>
        <w:t>Dicho de otra forma, debe proscribir el exceso</w:t>
      </w:r>
      <w:r w:rsidR="0034594F" w:rsidRPr="007F2045">
        <w:rPr>
          <w:rFonts w:ascii="Times New Roman" w:hAnsi="Times New Roman"/>
          <w:sz w:val="28"/>
          <w:szCs w:val="28"/>
          <w:lang w:val="es-CO"/>
        </w:rPr>
        <w:t>,</w:t>
      </w:r>
      <w:r w:rsidR="00AE0E54" w:rsidRPr="007F2045">
        <w:rPr>
          <w:rFonts w:ascii="Times New Roman" w:hAnsi="Times New Roman"/>
          <w:sz w:val="28"/>
          <w:szCs w:val="28"/>
          <w:lang w:val="es-CO"/>
        </w:rPr>
        <w:t xml:space="preserve"> sin anular la efectividad</w:t>
      </w:r>
      <w:r w:rsidR="007B1807" w:rsidRPr="007F2045">
        <w:rPr>
          <w:rFonts w:ascii="Times New Roman" w:hAnsi="Times New Roman"/>
          <w:sz w:val="28"/>
          <w:szCs w:val="28"/>
          <w:lang w:val="es-CO"/>
        </w:rPr>
        <w:t xml:space="preserve"> para responder a la situación excepcional</w:t>
      </w:r>
      <w:r w:rsidR="00AE0E54" w:rsidRPr="007F2045">
        <w:rPr>
          <w:rFonts w:ascii="Times New Roman" w:hAnsi="Times New Roman"/>
          <w:sz w:val="28"/>
          <w:szCs w:val="28"/>
          <w:lang w:val="es-CO"/>
        </w:rPr>
        <w:t>.</w:t>
      </w:r>
    </w:p>
    <w:p w14:paraId="1263C7C7" w14:textId="77777777" w:rsidR="00C01751" w:rsidRPr="007F2045" w:rsidRDefault="00C01751" w:rsidP="001B5728">
      <w:pPr>
        <w:pStyle w:val="Prrafodelista"/>
        <w:tabs>
          <w:tab w:val="left" w:pos="426"/>
          <w:tab w:val="left" w:pos="567"/>
        </w:tabs>
        <w:spacing w:after="0" w:line="240" w:lineRule="auto"/>
        <w:ind w:left="0"/>
        <w:rPr>
          <w:rFonts w:ascii="Times New Roman" w:hAnsi="Times New Roman"/>
          <w:sz w:val="28"/>
          <w:szCs w:val="28"/>
          <w:lang w:val="es-CO"/>
        </w:rPr>
      </w:pPr>
    </w:p>
    <w:p w14:paraId="18F3D844" w14:textId="77777777" w:rsidR="00CD7E9C" w:rsidRPr="007F2045" w:rsidRDefault="00C01751" w:rsidP="001B5728">
      <w:pPr>
        <w:pStyle w:val="Prrafodelista"/>
        <w:numPr>
          <w:ilvl w:val="0"/>
          <w:numId w:val="2"/>
        </w:numPr>
        <w:tabs>
          <w:tab w:val="left" w:pos="426"/>
          <w:tab w:val="left" w:pos="567"/>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En cuanto a la primera dimensión, esto es,</w:t>
      </w:r>
      <w:r w:rsidR="00357991" w:rsidRPr="007F2045">
        <w:rPr>
          <w:rFonts w:ascii="Times New Roman" w:hAnsi="Times New Roman"/>
          <w:sz w:val="28"/>
          <w:szCs w:val="28"/>
          <w:lang w:val="es-CO"/>
        </w:rPr>
        <w:t xml:space="preserve"> la</w:t>
      </w:r>
      <w:r w:rsidR="00441D4F" w:rsidRPr="007F2045">
        <w:rPr>
          <w:rFonts w:ascii="Times New Roman" w:hAnsi="Times New Roman"/>
          <w:sz w:val="28"/>
          <w:szCs w:val="28"/>
          <w:lang w:val="es-CO"/>
        </w:rPr>
        <w:t xml:space="preserve"> necesidad de </w:t>
      </w:r>
      <w:r w:rsidRPr="007F2045">
        <w:rPr>
          <w:rFonts w:ascii="Times New Roman" w:hAnsi="Times New Roman"/>
          <w:sz w:val="28"/>
          <w:szCs w:val="28"/>
          <w:lang w:val="es-CO"/>
        </w:rPr>
        <w:t xml:space="preserve">evitar que el control judicial resulte tardío ante un uso abusivo </w:t>
      </w:r>
      <w:r w:rsidR="00BC65FB" w:rsidRPr="007F2045">
        <w:rPr>
          <w:rFonts w:ascii="Times New Roman" w:hAnsi="Times New Roman"/>
          <w:sz w:val="28"/>
          <w:szCs w:val="28"/>
          <w:lang w:val="es-CO"/>
        </w:rPr>
        <w:t xml:space="preserve">o insostenible </w:t>
      </w:r>
      <w:r w:rsidRPr="007F2045">
        <w:rPr>
          <w:rFonts w:ascii="Times New Roman" w:hAnsi="Times New Roman"/>
          <w:sz w:val="28"/>
          <w:szCs w:val="28"/>
          <w:lang w:val="es-CO"/>
        </w:rPr>
        <w:t xml:space="preserve">de un estado de excepción que produzca efectos graves e irreversibles, se impone que el juez cuente con </w:t>
      </w:r>
      <w:r w:rsidR="00761562" w:rsidRPr="007F2045">
        <w:rPr>
          <w:rFonts w:ascii="Times New Roman" w:hAnsi="Times New Roman"/>
          <w:sz w:val="28"/>
          <w:szCs w:val="28"/>
          <w:lang w:val="es-CO"/>
        </w:rPr>
        <w:t xml:space="preserve">herramientas </w:t>
      </w:r>
      <w:r w:rsidR="00441D4F" w:rsidRPr="007F2045">
        <w:rPr>
          <w:rFonts w:ascii="Times New Roman" w:hAnsi="Times New Roman"/>
          <w:sz w:val="28"/>
          <w:szCs w:val="28"/>
          <w:lang w:val="es-CO"/>
        </w:rPr>
        <w:t>procesales</w:t>
      </w:r>
      <w:r w:rsidR="00804815" w:rsidRPr="007F2045">
        <w:rPr>
          <w:rFonts w:ascii="Times New Roman" w:hAnsi="Times New Roman"/>
          <w:sz w:val="28"/>
          <w:szCs w:val="28"/>
          <w:lang w:val="es-CO"/>
        </w:rPr>
        <w:t xml:space="preserve"> </w:t>
      </w:r>
      <w:r w:rsidRPr="007F2045">
        <w:rPr>
          <w:rFonts w:ascii="Times New Roman" w:hAnsi="Times New Roman"/>
          <w:sz w:val="28"/>
          <w:szCs w:val="28"/>
          <w:lang w:val="es-CO"/>
        </w:rPr>
        <w:t>idóneas que le permitan intervenir oportunamente</w:t>
      </w:r>
      <w:r w:rsidR="004350FF" w:rsidRPr="007F2045">
        <w:rPr>
          <w:rFonts w:ascii="Times New Roman" w:hAnsi="Times New Roman"/>
          <w:szCs w:val="28"/>
          <w:vertAlign w:val="superscript"/>
          <w:lang w:val="es-CO"/>
        </w:rPr>
        <w:footnoteReference w:id="24"/>
      </w:r>
      <w:r w:rsidRPr="007F2045">
        <w:rPr>
          <w:rFonts w:ascii="Times New Roman" w:hAnsi="Times New Roman"/>
          <w:sz w:val="28"/>
          <w:szCs w:val="28"/>
          <w:lang w:val="es-CO"/>
        </w:rPr>
        <w:t>. Ello cobra especial relevancia si se tiene en cuenta que el carácter reglado, excepcional y limitado de los estados de excepción solo se garantiza de manera efectiva a través de mecanismos estrictos de control. Sin instrumentos cautelares adecuados, el control de constitucionalidad de los estados de excepción corre el riesgo de tornarse meramente formal frente a medidas cuyos efectos se despliegan y consolidan con rapidez.</w:t>
      </w:r>
    </w:p>
    <w:p w14:paraId="5DBC5A4E" w14:textId="77777777" w:rsidR="00C01751" w:rsidRPr="007F2045" w:rsidRDefault="00C01751" w:rsidP="001B5728">
      <w:pPr>
        <w:spacing w:after="0" w:line="240" w:lineRule="auto"/>
        <w:rPr>
          <w:rFonts w:ascii="Times New Roman" w:hAnsi="Times New Roman"/>
          <w:sz w:val="28"/>
          <w:szCs w:val="28"/>
          <w:lang w:val="es-CO"/>
        </w:rPr>
      </w:pPr>
    </w:p>
    <w:p w14:paraId="1DE1459E" w14:textId="77777777" w:rsidR="00F70139" w:rsidRPr="007F2045" w:rsidRDefault="002F3CBE" w:rsidP="001B5728">
      <w:pPr>
        <w:pStyle w:val="Prrafodelista"/>
        <w:numPr>
          <w:ilvl w:val="0"/>
          <w:numId w:val="2"/>
        </w:numPr>
        <w:tabs>
          <w:tab w:val="left" w:pos="426"/>
          <w:tab w:val="left" w:pos="567"/>
        </w:tabs>
        <w:spacing w:after="0" w:line="240" w:lineRule="auto"/>
        <w:ind w:left="0" w:firstLine="0"/>
        <w:rPr>
          <w:rFonts w:ascii="Times New Roman" w:hAnsi="Times New Roman"/>
          <w:kern w:val="0"/>
          <w:sz w:val="28"/>
          <w:szCs w:val="28"/>
          <w:lang w:val="es-CO"/>
        </w:rPr>
      </w:pPr>
      <w:r w:rsidRPr="007F2045">
        <w:rPr>
          <w:rFonts w:ascii="Times New Roman" w:hAnsi="Times New Roman"/>
          <w:kern w:val="0"/>
          <w:sz w:val="28"/>
          <w:szCs w:val="28"/>
          <w:lang w:val="es-CO"/>
        </w:rPr>
        <w:t>Precisamente</w:t>
      </w:r>
      <w:r w:rsidR="00F70139" w:rsidRPr="007F2045">
        <w:rPr>
          <w:rFonts w:ascii="Times New Roman" w:hAnsi="Times New Roman"/>
          <w:kern w:val="0"/>
          <w:sz w:val="28"/>
          <w:szCs w:val="28"/>
          <w:lang w:val="es-CO"/>
        </w:rPr>
        <w:t xml:space="preserve">, si en el ámbito general es claro que las autoridades </w:t>
      </w:r>
      <w:r w:rsidR="00F70139" w:rsidRPr="007F2045">
        <w:rPr>
          <w:rFonts w:ascii="Times New Roman" w:hAnsi="Times New Roman"/>
          <w:sz w:val="28"/>
          <w:szCs w:val="28"/>
          <w:lang w:val="es-CO"/>
        </w:rPr>
        <w:t>judiciales</w:t>
      </w:r>
      <w:r w:rsidR="00F70139" w:rsidRPr="007F2045">
        <w:rPr>
          <w:rFonts w:ascii="Times New Roman" w:hAnsi="Times New Roman"/>
          <w:kern w:val="0"/>
          <w:sz w:val="28"/>
          <w:szCs w:val="28"/>
          <w:lang w:val="es-CO"/>
        </w:rPr>
        <w:t xml:space="preserve">, en el curso de distintos procesos, </w:t>
      </w:r>
      <w:r w:rsidR="009E09C3" w:rsidRPr="007F2045">
        <w:rPr>
          <w:rFonts w:ascii="Times New Roman" w:hAnsi="Times New Roman"/>
          <w:kern w:val="0"/>
          <w:sz w:val="28"/>
          <w:szCs w:val="28"/>
          <w:lang w:val="es-CO"/>
        </w:rPr>
        <w:t>pueden</w:t>
      </w:r>
      <w:r w:rsidR="00F70139" w:rsidRPr="007F2045">
        <w:rPr>
          <w:rFonts w:ascii="Times New Roman" w:hAnsi="Times New Roman"/>
          <w:kern w:val="0"/>
          <w:sz w:val="28"/>
          <w:szCs w:val="28"/>
          <w:lang w:val="es-CO"/>
        </w:rPr>
        <w:t xml:space="preserve"> adoptar medidas cautelares </w:t>
      </w:r>
      <w:r w:rsidR="00C70CEB" w:rsidRPr="007F2045">
        <w:rPr>
          <w:rFonts w:ascii="Times New Roman" w:hAnsi="Times New Roman"/>
          <w:kern w:val="0"/>
          <w:sz w:val="28"/>
          <w:szCs w:val="28"/>
          <w:lang w:val="es-CO"/>
        </w:rPr>
        <w:t>–</w:t>
      </w:r>
      <w:r w:rsidR="00F70139" w:rsidRPr="007F2045">
        <w:rPr>
          <w:rFonts w:ascii="Times New Roman" w:hAnsi="Times New Roman"/>
          <w:kern w:val="0"/>
          <w:sz w:val="28"/>
          <w:szCs w:val="28"/>
          <w:lang w:val="es-CO"/>
        </w:rPr>
        <w:t>como la suspensión provisional</w:t>
      </w:r>
      <w:r w:rsidR="00C70CEB" w:rsidRPr="007F2045">
        <w:rPr>
          <w:rFonts w:ascii="Times New Roman" w:hAnsi="Times New Roman"/>
          <w:kern w:val="0"/>
          <w:sz w:val="28"/>
          <w:szCs w:val="28"/>
          <w:lang w:val="es-CO"/>
        </w:rPr>
        <w:t>–</w:t>
      </w:r>
      <w:r w:rsidR="00F70139" w:rsidRPr="007F2045">
        <w:rPr>
          <w:rFonts w:ascii="Times New Roman" w:hAnsi="Times New Roman"/>
          <w:kern w:val="0"/>
          <w:sz w:val="28"/>
          <w:szCs w:val="28"/>
          <w:lang w:val="es-CO"/>
        </w:rPr>
        <w:t xml:space="preserve"> con el fin de asegurar la efectividad de un derecho o del resultado definitivo de una decisión, con mayor razón, en virtud del principio de supremacía constitucional (art. 4 CP), debe reconocerse que la Corte Constitucional, en tanto órgano encargado de la guarda e</w:t>
      </w:r>
      <w:r w:rsidR="009E09C3" w:rsidRPr="007F2045">
        <w:rPr>
          <w:rFonts w:ascii="Times New Roman" w:hAnsi="Times New Roman"/>
          <w:kern w:val="0"/>
          <w:sz w:val="28"/>
          <w:szCs w:val="28"/>
          <w:lang w:val="es-CO"/>
        </w:rPr>
        <w:t xml:space="preserve"> </w:t>
      </w:r>
      <w:r w:rsidR="00F70139" w:rsidRPr="007F2045">
        <w:rPr>
          <w:rFonts w:ascii="Times New Roman" w:hAnsi="Times New Roman"/>
          <w:kern w:val="0"/>
          <w:sz w:val="28"/>
          <w:szCs w:val="28"/>
          <w:lang w:val="es-CO"/>
        </w:rPr>
        <w:t>integridad</w:t>
      </w:r>
      <w:r w:rsidR="009E09C3" w:rsidRPr="007F2045">
        <w:rPr>
          <w:rFonts w:ascii="Times New Roman" w:hAnsi="Times New Roman"/>
          <w:kern w:val="0"/>
          <w:sz w:val="28"/>
          <w:szCs w:val="28"/>
          <w:lang w:val="es-CO"/>
        </w:rPr>
        <w:t xml:space="preserve"> </w:t>
      </w:r>
      <w:r w:rsidR="00F70139" w:rsidRPr="007F2045">
        <w:rPr>
          <w:rFonts w:ascii="Times New Roman" w:hAnsi="Times New Roman"/>
          <w:kern w:val="0"/>
          <w:sz w:val="28"/>
          <w:szCs w:val="28"/>
          <w:lang w:val="es-CO"/>
        </w:rPr>
        <w:t xml:space="preserve">de la Constitución (art. 241 </w:t>
      </w:r>
      <w:r w:rsidR="00F70139" w:rsidRPr="007F2045">
        <w:rPr>
          <w:rFonts w:ascii="Times New Roman" w:hAnsi="Times New Roman"/>
          <w:i/>
          <w:iCs/>
          <w:kern w:val="0"/>
          <w:sz w:val="28"/>
          <w:szCs w:val="28"/>
          <w:lang w:val="es-CO"/>
        </w:rPr>
        <w:t>ibidem</w:t>
      </w:r>
      <w:r w:rsidR="00F70139" w:rsidRPr="007F2045">
        <w:rPr>
          <w:rFonts w:ascii="Times New Roman" w:hAnsi="Times New Roman"/>
          <w:kern w:val="0"/>
          <w:sz w:val="28"/>
          <w:szCs w:val="28"/>
          <w:lang w:val="es-CO"/>
        </w:rPr>
        <w:t xml:space="preserve">), está facultada para suspender temporalmente los efectos de las normas sometidas a control que, </w:t>
      </w:r>
      <w:r w:rsidR="00F70139" w:rsidRPr="007F2045">
        <w:rPr>
          <w:rFonts w:ascii="Times New Roman" w:hAnsi="Times New Roman"/>
          <w:i/>
          <w:iCs/>
          <w:kern w:val="0"/>
          <w:sz w:val="28"/>
          <w:szCs w:val="28"/>
          <w:lang w:val="es-CO"/>
        </w:rPr>
        <w:t>prima facie</w:t>
      </w:r>
      <w:r w:rsidR="00F70139" w:rsidRPr="007F2045">
        <w:rPr>
          <w:rFonts w:ascii="Times New Roman" w:hAnsi="Times New Roman"/>
          <w:kern w:val="0"/>
          <w:sz w:val="28"/>
          <w:szCs w:val="28"/>
          <w:lang w:val="es-CO"/>
        </w:rPr>
        <w:t>, generen afectaciones</w:t>
      </w:r>
      <w:r w:rsidR="00DB6C48" w:rsidRPr="007F2045">
        <w:rPr>
          <w:rFonts w:ascii="Times New Roman" w:hAnsi="Times New Roman"/>
          <w:kern w:val="0"/>
          <w:sz w:val="28"/>
          <w:szCs w:val="28"/>
          <w:lang w:val="es-CO"/>
        </w:rPr>
        <w:t xml:space="preserve"> intensas</w:t>
      </w:r>
      <w:r w:rsidR="00F70139" w:rsidRPr="007F2045">
        <w:rPr>
          <w:rFonts w:ascii="Times New Roman" w:hAnsi="Times New Roman"/>
          <w:kern w:val="0"/>
          <w:sz w:val="28"/>
          <w:szCs w:val="28"/>
          <w:lang w:val="es-CO"/>
        </w:rPr>
        <w:t xml:space="preserve"> al principio democrático, a la separación de poderes o a los derechos </w:t>
      </w:r>
      <w:r w:rsidR="00F70139" w:rsidRPr="007F2045">
        <w:rPr>
          <w:rFonts w:ascii="Times New Roman" w:hAnsi="Times New Roman"/>
          <w:kern w:val="0"/>
          <w:sz w:val="28"/>
          <w:szCs w:val="28"/>
          <w:lang w:val="es-CO"/>
        </w:rPr>
        <w:lastRenderedPageBreak/>
        <w:t>fundamentales</w:t>
      </w:r>
      <w:r w:rsidR="00DB6C48" w:rsidRPr="007F2045">
        <w:rPr>
          <w:rFonts w:ascii="Times New Roman" w:hAnsi="Times New Roman"/>
          <w:kern w:val="0"/>
          <w:sz w:val="28"/>
          <w:szCs w:val="28"/>
          <w:lang w:val="es-CO"/>
        </w:rPr>
        <w:t xml:space="preserve"> o</w:t>
      </w:r>
      <w:r w:rsidR="009B3B6A" w:rsidRPr="007F2045">
        <w:rPr>
          <w:rFonts w:ascii="Times New Roman" w:hAnsi="Times New Roman"/>
          <w:kern w:val="0"/>
          <w:sz w:val="28"/>
          <w:szCs w:val="28"/>
          <w:lang w:val="es-CO"/>
        </w:rPr>
        <w:t xml:space="preserve"> que busquen romper principios axiales </w:t>
      </w:r>
      <w:r w:rsidR="00E0509C" w:rsidRPr="007F2045">
        <w:rPr>
          <w:rFonts w:ascii="Times New Roman" w:hAnsi="Times New Roman"/>
          <w:kern w:val="0"/>
          <w:sz w:val="28"/>
          <w:szCs w:val="28"/>
          <w:lang w:val="es-CO"/>
        </w:rPr>
        <w:t>de la Constitución</w:t>
      </w:r>
      <w:r w:rsidR="00F70139" w:rsidRPr="007F2045">
        <w:rPr>
          <w:rFonts w:ascii="Times New Roman" w:hAnsi="Times New Roman"/>
          <w:kern w:val="0"/>
          <w:sz w:val="28"/>
          <w:szCs w:val="28"/>
          <w:lang w:val="es-CO"/>
        </w:rPr>
        <w:t xml:space="preserve">. En esa medida, la suspensión provisional en el control abstracto de constitucionalidad se convierte en una herramienta funcional </w:t>
      </w:r>
      <w:r w:rsidR="009E09C3" w:rsidRPr="007F2045">
        <w:rPr>
          <w:rFonts w:ascii="Times New Roman" w:hAnsi="Times New Roman"/>
          <w:kern w:val="0"/>
          <w:sz w:val="28"/>
          <w:szCs w:val="28"/>
          <w:lang w:val="es-CO"/>
        </w:rPr>
        <w:t>par</w:t>
      </w:r>
      <w:r w:rsidR="00F70139" w:rsidRPr="007F2045">
        <w:rPr>
          <w:rFonts w:ascii="Times New Roman" w:hAnsi="Times New Roman"/>
          <w:kern w:val="0"/>
          <w:sz w:val="28"/>
          <w:szCs w:val="28"/>
          <w:lang w:val="es-CO"/>
        </w:rPr>
        <w:t>a la defensa inmediata de la Constitución, que fortalece el carácter efectivo de su supremacía y que, en esa dirección</w:t>
      </w:r>
      <w:r w:rsidR="00557EBB" w:rsidRPr="007F2045">
        <w:rPr>
          <w:rFonts w:ascii="Times New Roman" w:hAnsi="Times New Roman"/>
          <w:kern w:val="0"/>
          <w:sz w:val="28"/>
          <w:szCs w:val="28"/>
          <w:lang w:val="es-CO"/>
        </w:rPr>
        <w:t>,</w:t>
      </w:r>
      <w:r w:rsidR="00F70139" w:rsidRPr="007F2045">
        <w:rPr>
          <w:rFonts w:ascii="Times New Roman" w:hAnsi="Times New Roman"/>
          <w:kern w:val="0"/>
          <w:sz w:val="28"/>
          <w:szCs w:val="28"/>
          <w:lang w:val="es-CO"/>
        </w:rPr>
        <w:t xml:space="preserve"> asegura la existencia de un sistema de justicia constitucional </w:t>
      </w:r>
      <w:r w:rsidR="00557EBB" w:rsidRPr="007F2045">
        <w:rPr>
          <w:rFonts w:ascii="Times New Roman" w:hAnsi="Times New Roman"/>
          <w:kern w:val="0"/>
          <w:sz w:val="28"/>
          <w:szCs w:val="28"/>
          <w:lang w:val="es-CO"/>
        </w:rPr>
        <w:t xml:space="preserve">completo </w:t>
      </w:r>
      <w:r w:rsidR="00F70139" w:rsidRPr="007F2045">
        <w:rPr>
          <w:rFonts w:ascii="Times New Roman" w:hAnsi="Times New Roman"/>
          <w:kern w:val="0"/>
          <w:sz w:val="28"/>
          <w:szCs w:val="28"/>
          <w:lang w:val="es-CO"/>
        </w:rPr>
        <w:t>e integral.</w:t>
      </w:r>
    </w:p>
    <w:p w14:paraId="66388BB9" w14:textId="77777777" w:rsidR="009E09C3" w:rsidRPr="007F2045" w:rsidRDefault="009E09C3" w:rsidP="001B5728">
      <w:pPr>
        <w:pStyle w:val="Prrafodelista"/>
        <w:tabs>
          <w:tab w:val="left" w:pos="426"/>
          <w:tab w:val="left" w:pos="567"/>
        </w:tabs>
        <w:spacing w:after="0" w:line="240" w:lineRule="auto"/>
        <w:ind w:left="0"/>
        <w:rPr>
          <w:rFonts w:ascii="Times New Roman" w:hAnsi="Times New Roman"/>
          <w:kern w:val="0"/>
          <w:sz w:val="28"/>
          <w:szCs w:val="28"/>
          <w:lang w:val="es-CO"/>
        </w:rPr>
      </w:pPr>
    </w:p>
    <w:p w14:paraId="2255236E" w14:textId="77777777" w:rsidR="00123F90" w:rsidRPr="007F2045" w:rsidRDefault="009219F8" w:rsidP="001B5728">
      <w:pPr>
        <w:pStyle w:val="Prrafodelista"/>
        <w:numPr>
          <w:ilvl w:val="0"/>
          <w:numId w:val="2"/>
        </w:numPr>
        <w:tabs>
          <w:tab w:val="left" w:pos="426"/>
          <w:tab w:val="left" w:pos="567"/>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Por su parte</w:t>
      </w:r>
      <w:r w:rsidR="000C5D6E" w:rsidRPr="007F2045">
        <w:rPr>
          <w:rFonts w:ascii="Times New Roman" w:hAnsi="Times New Roman"/>
          <w:sz w:val="28"/>
          <w:szCs w:val="28"/>
          <w:lang w:val="es-CO"/>
        </w:rPr>
        <w:t>, la segunda dimensión de la tensión exige afirmar que esta potestad cautelar debe ejercerse con particular prudencia en estados de excepción. La suspensión provisional no puede convertirse en un</w:t>
      </w:r>
      <w:r w:rsidR="004C57D4" w:rsidRPr="007F2045">
        <w:rPr>
          <w:rFonts w:ascii="Times New Roman" w:hAnsi="Times New Roman"/>
          <w:sz w:val="28"/>
          <w:szCs w:val="28"/>
          <w:lang w:val="es-CO"/>
        </w:rPr>
        <w:t xml:space="preserve"> </w:t>
      </w:r>
      <w:r w:rsidR="000C5D6E" w:rsidRPr="007F2045">
        <w:rPr>
          <w:rFonts w:ascii="Times New Roman" w:hAnsi="Times New Roman"/>
          <w:sz w:val="28"/>
          <w:szCs w:val="28"/>
          <w:lang w:val="es-CO"/>
        </w:rPr>
        <w:t xml:space="preserve">mecanismo que, de manera automática, </w:t>
      </w:r>
      <w:r w:rsidR="00557EBB" w:rsidRPr="007F2045">
        <w:rPr>
          <w:rFonts w:ascii="Times New Roman" w:hAnsi="Times New Roman"/>
          <w:sz w:val="28"/>
          <w:szCs w:val="28"/>
          <w:lang w:val="es-CO"/>
        </w:rPr>
        <w:t>interrumpa</w:t>
      </w:r>
      <w:r w:rsidR="000C5D6E" w:rsidRPr="007F2045">
        <w:rPr>
          <w:rFonts w:ascii="Times New Roman" w:hAnsi="Times New Roman"/>
          <w:sz w:val="28"/>
          <w:szCs w:val="28"/>
          <w:lang w:val="es-CO"/>
        </w:rPr>
        <w:t xml:space="preserve"> la respuesta institucional frente a hechos graves y extraordinarios que demandan actuaciones rápidas y eficaces. Por ello, su adopción debe ser </w:t>
      </w:r>
      <w:r w:rsidR="009F22A3" w:rsidRPr="007F2045">
        <w:rPr>
          <w:rFonts w:ascii="Times New Roman" w:hAnsi="Times New Roman"/>
          <w:sz w:val="28"/>
          <w:szCs w:val="28"/>
          <w:lang w:val="es-CO"/>
        </w:rPr>
        <w:t xml:space="preserve">excepcional y </w:t>
      </w:r>
      <w:r w:rsidR="000C5D6E" w:rsidRPr="007F2045">
        <w:rPr>
          <w:rFonts w:ascii="Times New Roman" w:hAnsi="Times New Roman"/>
          <w:sz w:val="28"/>
          <w:szCs w:val="28"/>
          <w:lang w:val="es-CO"/>
        </w:rPr>
        <w:t>estar precedida de un análisis estricto que permita concluir que, de no adoptarse la suspensión provisional, pueden</w:t>
      </w:r>
      <w:r w:rsidR="009F22A3" w:rsidRPr="007F2045">
        <w:rPr>
          <w:rFonts w:ascii="Times New Roman" w:hAnsi="Times New Roman"/>
          <w:sz w:val="28"/>
          <w:szCs w:val="28"/>
          <w:lang w:val="es-CO"/>
        </w:rPr>
        <w:t xml:space="preserve"> verse gravemente comprometidos principios</w:t>
      </w:r>
      <w:r w:rsidR="00557EBB" w:rsidRPr="007F2045">
        <w:rPr>
          <w:rFonts w:ascii="Times New Roman" w:hAnsi="Times New Roman"/>
          <w:sz w:val="28"/>
          <w:szCs w:val="28"/>
          <w:lang w:val="es-CO"/>
        </w:rPr>
        <w:t xml:space="preserve"> o valores </w:t>
      </w:r>
      <w:r w:rsidR="00600772" w:rsidRPr="007F2045">
        <w:rPr>
          <w:rFonts w:ascii="Times New Roman" w:hAnsi="Times New Roman"/>
          <w:sz w:val="28"/>
          <w:szCs w:val="28"/>
          <w:lang w:val="es-CO"/>
        </w:rPr>
        <w:t>esenciales</w:t>
      </w:r>
      <w:r w:rsidR="00557EBB" w:rsidRPr="007F2045">
        <w:rPr>
          <w:rFonts w:ascii="Times New Roman" w:hAnsi="Times New Roman"/>
          <w:sz w:val="28"/>
          <w:szCs w:val="28"/>
          <w:lang w:val="es-CO"/>
        </w:rPr>
        <w:t xml:space="preserve"> y estructurales</w:t>
      </w:r>
      <w:r w:rsidR="00600772" w:rsidRPr="007F2045">
        <w:rPr>
          <w:rFonts w:ascii="Times New Roman" w:hAnsi="Times New Roman"/>
          <w:sz w:val="28"/>
          <w:szCs w:val="28"/>
          <w:lang w:val="es-CO"/>
        </w:rPr>
        <w:t xml:space="preserve"> </w:t>
      </w:r>
      <w:r w:rsidR="009F22A3" w:rsidRPr="007F2045">
        <w:rPr>
          <w:rFonts w:ascii="Times New Roman" w:hAnsi="Times New Roman"/>
          <w:sz w:val="28"/>
          <w:szCs w:val="28"/>
          <w:lang w:val="es-CO"/>
        </w:rPr>
        <w:t>para el ordenamiento constitucional, como la vigencia</w:t>
      </w:r>
      <w:r w:rsidR="00557EBB" w:rsidRPr="007F2045">
        <w:rPr>
          <w:rFonts w:ascii="Times New Roman" w:hAnsi="Times New Roman"/>
          <w:sz w:val="28"/>
          <w:szCs w:val="28"/>
          <w:lang w:val="es-CO"/>
        </w:rPr>
        <w:t xml:space="preserve"> y el respeto</w:t>
      </w:r>
      <w:r w:rsidR="009F22A3" w:rsidRPr="007F2045">
        <w:rPr>
          <w:rFonts w:ascii="Times New Roman" w:hAnsi="Times New Roman"/>
          <w:sz w:val="28"/>
          <w:szCs w:val="28"/>
          <w:lang w:val="es-CO"/>
        </w:rPr>
        <w:t xml:space="preserve"> de los derechos </w:t>
      </w:r>
      <w:r w:rsidR="00600772" w:rsidRPr="007F2045">
        <w:rPr>
          <w:rFonts w:ascii="Times New Roman" w:hAnsi="Times New Roman"/>
          <w:sz w:val="28"/>
          <w:szCs w:val="28"/>
          <w:lang w:val="es-CO"/>
        </w:rPr>
        <w:t xml:space="preserve">fundamentales </w:t>
      </w:r>
      <w:r w:rsidR="000C5D6E" w:rsidRPr="007F2045">
        <w:rPr>
          <w:rFonts w:ascii="Times New Roman" w:hAnsi="Times New Roman"/>
          <w:sz w:val="28"/>
          <w:szCs w:val="28"/>
          <w:lang w:val="es-CO"/>
        </w:rPr>
        <w:t>o</w:t>
      </w:r>
      <w:r w:rsidR="009F22A3" w:rsidRPr="007F2045">
        <w:rPr>
          <w:rFonts w:ascii="Times New Roman" w:hAnsi="Times New Roman"/>
          <w:sz w:val="28"/>
          <w:szCs w:val="28"/>
          <w:lang w:val="es-CO"/>
        </w:rPr>
        <w:t xml:space="preserve"> el orden democrático.</w:t>
      </w:r>
      <w:r w:rsidR="007B323E" w:rsidRPr="007F2045">
        <w:rPr>
          <w:rFonts w:ascii="Times New Roman" w:hAnsi="Times New Roman"/>
          <w:sz w:val="28"/>
          <w:szCs w:val="28"/>
          <w:lang w:val="es-CO"/>
        </w:rPr>
        <w:t xml:space="preserve"> </w:t>
      </w:r>
      <w:r w:rsidR="004C57D4" w:rsidRPr="007F2045">
        <w:rPr>
          <w:rFonts w:ascii="Times New Roman" w:hAnsi="Times New Roman"/>
          <w:sz w:val="28"/>
          <w:szCs w:val="28"/>
          <w:lang w:val="es-CO"/>
        </w:rPr>
        <w:t xml:space="preserve">Esto implica </w:t>
      </w:r>
      <w:r w:rsidR="00557EBB" w:rsidRPr="007F2045">
        <w:rPr>
          <w:rFonts w:ascii="Times New Roman" w:hAnsi="Times New Roman"/>
          <w:sz w:val="28"/>
          <w:szCs w:val="28"/>
          <w:lang w:val="es-CO"/>
        </w:rPr>
        <w:t xml:space="preserve">admitir </w:t>
      </w:r>
      <w:r w:rsidR="004C57D4" w:rsidRPr="007F2045">
        <w:rPr>
          <w:rFonts w:ascii="Times New Roman" w:hAnsi="Times New Roman"/>
          <w:sz w:val="28"/>
          <w:szCs w:val="28"/>
          <w:lang w:val="es-CO"/>
        </w:rPr>
        <w:t>que</w:t>
      </w:r>
      <w:r w:rsidR="007B323E" w:rsidRPr="007F2045">
        <w:rPr>
          <w:rFonts w:ascii="Times New Roman" w:hAnsi="Times New Roman"/>
          <w:sz w:val="28"/>
          <w:szCs w:val="28"/>
          <w:lang w:val="es-CO"/>
        </w:rPr>
        <w:t xml:space="preserve"> la figura de la suspensión provisional le otorga al tribunal constitucional </w:t>
      </w:r>
      <w:r w:rsidR="00557EBB" w:rsidRPr="007F2045">
        <w:rPr>
          <w:rFonts w:ascii="Times New Roman" w:hAnsi="Times New Roman"/>
          <w:sz w:val="28"/>
          <w:szCs w:val="28"/>
          <w:lang w:val="es-CO"/>
        </w:rPr>
        <w:t>una enorme responsabilidad</w:t>
      </w:r>
      <w:r w:rsidR="007B323E" w:rsidRPr="007F2045">
        <w:rPr>
          <w:rFonts w:ascii="Times New Roman" w:hAnsi="Times New Roman"/>
          <w:sz w:val="28"/>
          <w:szCs w:val="28"/>
          <w:lang w:val="es-CO"/>
        </w:rPr>
        <w:t xml:space="preserve"> que</w:t>
      </w:r>
      <w:r w:rsidR="00A3532C" w:rsidRPr="007F2045">
        <w:rPr>
          <w:rFonts w:ascii="Times New Roman" w:hAnsi="Times New Roman"/>
          <w:sz w:val="28"/>
          <w:szCs w:val="28"/>
          <w:lang w:val="es-CO"/>
        </w:rPr>
        <w:t>, correlativamente,</w:t>
      </w:r>
      <w:r w:rsidR="007B323E" w:rsidRPr="007F2045">
        <w:rPr>
          <w:rFonts w:ascii="Times New Roman" w:hAnsi="Times New Roman"/>
          <w:sz w:val="28"/>
          <w:szCs w:val="28"/>
          <w:lang w:val="es-CO"/>
        </w:rPr>
        <w:t xml:space="preserve"> exige </w:t>
      </w:r>
      <w:r w:rsidR="000C5D6E" w:rsidRPr="007F2045">
        <w:rPr>
          <w:rFonts w:ascii="Times New Roman" w:hAnsi="Times New Roman"/>
          <w:sz w:val="28"/>
          <w:szCs w:val="28"/>
          <w:lang w:val="es-CO"/>
        </w:rPr>
        <w:t>un ejercicio riguroso de autocontención</w:t>
      </w:r>
      <w:r w:rsidR="00380074" w:rsidRPr="007F2045">
        <w:rPr>
          <w:rFonts w:ascii="Times New Roman" w:hAnsi="Times New Roman"/>
          <w:szCs w:val="28"/>
          <w:vertAlign w:val="superscript"/>
          <w:lang w:val="es-CO"/>
        </w:rPr>
        <w:footnoteReference w:id="25"/>
      </w:r>
      <w:r w:rsidR="007B323E" w:rsidRPr="007F2045">
        <w:rPr>
          <w:rFonts w:ascii="Times New Roman" w:hAnsi="Times New Roman"/>
          <w:sz w:val="28"/>
          <w:szCs w:val="28"/>
          <w:lang w:val="es-CO"/>
        </w:rPr>
        <w:t>.</w:t>
      </w:r>
      <w:r w:rsidR="00FC3EAF" w:rsidRPr="007F2045">
        <w:rPr>
          <w:rFonts w:ascii="Times New Roman" w:hAnsi="Times New Roman"/>
          <w:sz w:val="28"/>
          <w:szCs w:val="28"/>
          <w:lang w:val="es-CO"/>
        </w:rPr>
        <w:t xml:space="preserve"> </w:t>
      </w:r>
      <w:r w:rsidR="000C5D6E" w:rsidRPr="007F2045">
        <w:rPr>
          <w:rFonts w:ascii="Times New Roman" w:hAnsi="Times New Roman"/>
          <w:sz w:val="28"/>
          <w:szCs w:val="28"/>
          <w:lang w:val="es-CO"/>
        </w:rPr>
        <w:t xml:space="preserve">Esta </w:t>
      </w:r>
      <w:r w:rsidR="004C57D4" w:rsidRPr="007F2045">
        <w:rPr>
          <w:rFonts w:ascii="Times New Roman" w:hAnsi="Times New Roman"/>
          <w:sz w:val="28"/>
          <w:szCs w:val="28"/>
          <w:lang w:val="es-CO"/>
        </w:rPr>
        <w:t>consideración adquiere especial importancia en el contexto de los estados de excepción, en especial</w:t>
      </w:r>
      <w:r w:rsidR="00557EBB" w:rsidRPr="007F2045">
        <w:rPr>
          <w:rFonts w:ascii="Times New Roman" w:hAnsi="Times New Roman"/>
          <w:sz w:val="28"/>
          <w:szCs w:val="28"/>
          <w:lang w:val="es-CO"/>
        </w:rPr>
        <w:t>, de</w:t>
      </w:r>
      <w:r w:rsidR="004C57D4" w:rsidRPr="007F2045">
        <w:rPr>
          <w:rFonts w:ascii="Times New Roman" w:hAnsi="Times New Roman"/>
          <w:sz w:val="28"/>
          <w:szCs w:val="28"/>
          <w:lang w:val="es-CO"/>
        </w:rPr>
        <w:t xml:space="preserve"> los</w:t>
      </w:r>
      <w:r w:rsidR="00557EBB" w:rsidRPr="007F2045">
        <w:rPr>
          <w:rFonts w:ascii="Times New Roman" w:hAnsi="Times New Roman"/>
          <w:sz w:val="28"/>
          <w:szCs w:val="28"/>
          <w:lang w:val="es-CO"/>
        </w:rPr>
        <w:t xml:space="preserve"> decretos declarativos de los</w:t>
      </w:r>
      <w:r w:rsidR="004C57D4" w:rsidRPr="007F2045">
        <w:rPr>
          <w:rFonts w:ascii="Times New Roman" w:hAnsi="Times New Roman"/>
          <w:sz w:val="28"/>
          <w:szCs w:val="28"/>
          <w:lang w:val="es-CO"/>
        </w:rPr>
        <w:t xml:space="preserve"> estados de emergencia, pues en su centro está la protección de la población frente a amenazas graves </w:t>
      </w:r>
      <w:r w:rsidR="00AF14A6" w:rsidRPr="007F2045">
        <w:rPr>
          <w:rFonts w:ascii="Times New Roman" w:hAnsi="Times New Roman"/>
          <w:szCs w:val="28"/>
          <w:vertAlign w:val="superscript"/>
          <w:lang w:val="es-CO"/>
        </w:rPr>
        <w:footnoteReference w:id="26"/>
      </w:r>
      <w:r w:rsidR="00A214AE" w:rsidRPr="007F2045">
        <w:rPr>
          <w:rFonts w:ascii="Times New Roman" w:hAnsi="Times New Roman"/>
          <w:sz w:val="28"/>
          <w:szCs w:val="28"/>
          <w:lang w:val="es-CO"/>
        </w:rPr>
        <w:t>.</w:t>
      </w:r>
    </w:p>
    <w:p w14:paraId="373D0A07" w14:textId="77777777" w:rsidR="004C57D4" w:rsidRPr="007F2045" w:rsidRDefault="004C57D4" w:rsidP="001B5728">
      <w:pPr>
        <w:spacing w:after="0" w:line="240" w:lineRule="auto"/>
        <w:rPr>
          <w:rFonts w:ascii="Times New Roman" w:hAnsi="Times New Roman"/>
          <w:sz w:val="28"/>
          <w:szCs w:val="28"/>
          <w:lang w:val="es-CO"/>
        </w:rPr>
      </w:pPr>
    </w:p>
    <w:p w14:paraId="3BB68AEE" w14:textId="77777777" w:rsidR="007B323E" w:rsidRPr="007F2045" w:rsidRDefault="007B323E" w:rsidP="001B5728">
      <w:pPr>
        <w:pStyle w:val="Prrafodelista"/>
        <w:numPr>
          <w:ilvl w:val="0"/>
          <w:numId w:val="2"/>
        </w:numPr>
        <w:tabs>
          <w:tab w:val="left" w:pos="426"/>
          <w:tab w:val="left" w:pos="567"/>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Planteadas las discusiones que se desprenden de la solicitud de suspensión provisional</w:t>
      </w:r>
      <w:r w:rsidR="009E09C3" w:rsidRPr="007F2045">
        <w:rPr>
          <w:rFonts w:ascii="Times New Roman" w:hAnsi="Times New Roman"/>
          <w:sz w:val="28"/>
          <w:szCs w:val="28"/>
          <w:lang w:val="es-CO"/>
        </w:rPr>
        <w:t xml:space="preserve"> elevad</w:t>
      </w:r>
      <w:r w:rsidR="00E83787" w:rsidRPr="007F2045">
        <w:rPr>
          <w:rFonts w:ascii="Times New Roman" w:hAnsi="Times New Roman"/>
          <w:sz w:val="28"/>
          <w:szCs w:val="28"/>
          <w:lang w:val="es-CO"/>
        </w:rPr>
        <w:t>a</w:t>
      </w:r>
      <w:r w:rsidR="009E09C3" w:rsidRPr="007F2045">
        <w:rPr>
          <w:rFonts w:ascii="Times New Roman" w:hAnsi="Times New Roman"/>
          <w:sz w:val="28"/>
          <w:szCs w:val="28"/>
          <w:lang w:val="es-CO"/>
        </w:rPr>
        <w:t xml:space="preserve"> por uno de los magistrados que componen la Sala Plena</w:t>
      </w:r>
      <w:r w:rsidRPr="007F2045">
        <w:rPr>
          <w:rFonts w:ascii="Times New Roman" w:hAnsi="Times New Roman"/>
          <w:sz w:val="28"/>
          <w:szCs w:val="28"/>
          <w:lang w:val="es-CO"/>
        </w:rPr>
        <w:t xml:space="preserve">, se procede a </w:t>
      </w:r>
      <w:r w:rsidR="00634407" w:rsidRPr="007F2045">
        <w:rPr>
          <w:rFonts w:ascii="Times New Roman" w:hAnsi="Times New Roman"/>
          <w:sz w:val="28"/>
          <w:szCs w:val="28"/>
          <w:lang w:val="es-CO"/>
        </w:rPr>
        <w:t xml:space="preserve">analizar </w:t>
      </w:r>
      <w:r w:rsidR="00A214AE" w:rsidRPr="007F2045">
        <w:rPr>
          <w:rFonts w:ascii="Times New Roman" w:hAnsi="Times New Roman"/>
          <w:sz w:val="28"/>
          <w:szCs w:val="28"/>
          <w:lang w:val="es-CO"/>
        </w:rPr>
        <w:t xml:space="preserve">si es posible extender la figura de suspensión provisional, desarrollada en el </w:t>
      </w:r>
      <w:r w:rsidR="00EC37BB" w:rsidRPr="007F2045">
        <w:rPr>
          <w:rFonts w:ascii="Times New Roman" w:hAnsi="Times New Roman"/>
          <w:sz w:val="28"/>
          <w:szCs w:val="28"/>
          <w:lang w:val="es-CO"/>
        </w:rPr>
        <w:t>auto 272 de 2023</w:t>
      </w:r>
      <w:r w:rsidR="00A214AE" w:rsidRPr="007F2045">
        <w:rPr>
          <w:rFonts w:ascii="Times New Roman" w:hAnsi="Times New Roman"/>
          <w:sz w:val="28"/>
          <w:szCs w:val="28"/>
          <w:lang w:val="es-CO"/>
        </w:rPr>
        <w:t>,</w:t>
      </w:r>
      <w:r w:rsidR="00EC37BB" w:rsidRPr="007F2045">
        <w:rPr>
          <w:rFonts w:ascii="Times New Roman" w:hAnsi="Times New Roman"/>
          <w:sz w:val="28"/>
          <w:szCs w:val="28"/>
          <w:lang w:val="es-CO"/>
        </w:rPr>
        <w:t xml:space="preserve"> a los decretos </w:t>
      </w:r>
      <w:r w:rsidR="007A6D59" w:rsidRPr="007F2045">
        <w:rPr>
          <w:rFonts w:ascii="Times New Roman" w:hAnsi="Times New Roman"/>
          <w:sz w:val="28"/>
          <w:szCs w:val="28"/>
          <w:lang w:val="es-CO"/>
        </w:rPr>
        <w:t>declaratorios de un estado de excepción</w:t>
      </w:r>
      <w:r w:rsidR="001F1F47" w:rsidRPr="007F2045">
        <w:rPr>
          <w:rFonts w:ascii="Times New Roman" w:hAnsi="Times New Roman"/>
          <w:sz w:val="28"/>
          <w:szCs w:val="28"/>
          <w:lang w:val="es-CO"/>
        </w:rPr>
        <w:t xml:space="preserve">, en particular, </w:t>
      </w:r>
      <w:r w:rsidR="00940E0A" w:rsidRPr="007F2045">
        <w:rPr>
          <w:rFonts w:ascii="Times New Roman" w:hAnsi="Times New Roman"/>
          <w:sz w:val="28"/>
          <w:szCs w:val="28"/>
          <w:lang w:val="es-CO"/>
        </w:rPr>
        <w:t xml:space="preserve">a </w:t>
      </w:r>
      <w:r w:rsidR="001F1F47" w:rsidRPr="007F2045">
        <w:rPr>
          <w:rFonts w:ascii="Times New Roman" w:hAnsi="Times New Roman"/>
          <w:sz w:val="28"/>
          <w:szCs w:val="28"/>
          <w:lang w:val="es-CO"/>
        </w:rPr>
        <w:t xml:space="preserve">uno de emergencia económica, social y ecológica. </w:t>
      </w:r>
    </w:p>
    <w:p w14:paraId="64FCA4E0" w14:textId="77777777" w:rsidR="00B10E6B" w:rsidRPr="007F2045" w:rsidRDefault="00B10E6B" w:rsidP="001B5728">
      <w:pPr>
        <w:widowControl w:val="0"/>
        <w:tabs>
          <w:tab w:val="left" w:pos="284"/>
          <w:tab w:val="left" w:pos="426"/>
        </w:tabs>
        <w:autoSpaceDE w:val="0"/>
        <w:autoSpaceDN w:val="0"/>
        <w:adjustRightInd w:val="0"/>
        <w:spacing w:after="0" w:line="240" w:lineRule="auto"/>
        <w:rPr>
          <w:rFonts w:ascii="Times New Roman" w:eastAsia="MS Mincho" w:hAnsi="Times New Roman"/>
          <w:sz w:val="28"/>
          <w:szCs w:val="28"/>
          <w:lang w:val="es-CO" w:eastAsia="es-MX"/>
        </w:rPr>
      </w:pPr>
    </w:p>
    <w:p w14:paraId="4B4E0C1A" w14:textId="77777777" w:rsidR="00684A8D" w:rsidRPr="007F2045" w:rsidRDefault="00745559" w:rsidP="001B5728">
      <w:pPr>
        <w:pStyle w:val="Ttulo2"/>
        <w:numPr>
          <w:ilvl w:val="0"/>
          <w:numId w:val="0"/>
        </w:numPr>
        <w:ind w:left="1134" w:hanging="425"/>
        <w:rPr>
          <w:lang w:val="es-CO"/>
        </w:rPr>
      </w:pPr>
      <w:r w:rsidRPr="007F2045">
        <w:rPr>
          <w:lang w:val="es-CO"/>
        </w:rPr>
        <w:t>4.</w:t>
      </w:r>
      <w:r w:rsidRPr="007F2045">
        <w:rPr>
          <w:lang w:val="es-CO"/>
        </w:rPr>
        <w:tab/>
        <w:t xml:space="preserve"> </w:t>
      </w:r>
      <w:r w:rsidR="00684A8D" w:rsidRPr="007F2045">
        <w:rPr>
          <w:lang w:val="es-CO"/>
        </w:rPr>
        <w:t xml:space="preserve">La posibilidad de suspender provisionalmente </w:t>
      </w:r>
      <w:r w:rsidR="004262D4" w:rsidRPr="007F2045">
        <w:rPr>
          <w:lang w:val="es-CO"/>
        </w:rPr>
        <w:t xml:space="preserve">los </w:t>
      </w:r>
      <w:r w:rsidR="00684A8D" w:rsidRPr="007F2045">
        <w:rPr>
          <w:lang w:val="es-CO"/>
        </w:rPr>
        <w:t>decreto</w:t>
      </w:r>
      <w:r w:rsidR="004262D4" w:rsidRPr="007F2045">
        <w:rPr>
          <w:lang w:val="es-CO"/>
        </w:rPr>
        <w:t>s</w:t>
      </w:r>
      <w:r w:rsidR="00684A8D" w:rsidRPr="007F2045">
        <w:rPr>
          <w:lang w:val="es-CO"/>
        </w:rPr>
        <w:t xml:space="preserve"> </w:t>
      </w:r>
      <w:r w:rsidR="004262D4" w:rsidRPr="007F2045">
        <w:rPr>
          <w:lang w:val="es-CO"/>
        </w:rPr>
        <w:t xml:space="preserve">que declaran un estado de emergencia y los que se expiden con fundamento en este, </w:t>
      </w:r>
      <w:r w:rsidR="00684A8D" w:rsidRPr="007F2045">
        <w:rPr>
          <w:lang w:val="es-CO"/>
        </w:rPr>
        <w:t xml:space="preserve">en </w:t>
      </w:r>
      <w:r w:rsidR="004262D4" w:rsidRPr="007F2045">
        <w:rPr>
          <w:lang w:val="es-CO"/>
        </w:rPr>
        <w:t>los términos d</w:t>
      </w:r>
      <w:r w:rsidR="00684A8D" w:rsidRPr="007F2045">
        <w:rPr>
          <w:lang w:val="es-CO"/>
        </w:rPr>
        <w:t>el artículo 215 de la Constitución</w:t>
      </w:r>
    </w:p>
    <w:p w14:paraId="0C331C69" w14:textId="77777777" w:rsidR="00684A8D" w:rsidRPr="007F2045" w:rsidRDefault="00684A8D" w:rsidP="001B5728">
      <w:pPr>
        <w:pStyle w:val="Prrafodelista"/>
        <w:spacing w:after="0" w:line="240" w:lineRule="auto"/>
        <w:rPr>
          <w:rFonts w:ascii="Times New Roman" w:hAnsi="Times New Roman"/>
          <w:b/>
          <w:sz w:val="28"/>
          <w:szCs w:val="28"/>
          <w:lang w:val="es-CO"/>
        </w:rPr>
      </w:pPr>
    </w:p>
    <w:p w14:paraId="1FD5AF41" w14:textId="77777777" w:rsidR="00684A8D" w:rsidRPr="007F2045" w:rsidRDefault="00A214AE" w:rsidP="001B5728">
      <w:pPr>
        <w:widowControl w:val="0"/>
        <w:numPr>
          <w:ilvl w:val="0"/>
          <w:numId w:val="2"/>
        </w:numPr>
        <w:tabs>
          <w:tab w:val="left" w:pos="284"/>
          <w:tab w:val="left" w:pos="426"/>
        </w:tabs>
        <w:autoSpaceDE w:val="0"/>
        <w:autoSpaceDN w:val="0"/>
        <w:adjustRightInd w:val="0"/>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Como arriba se indicó, a</w:t>
      </w:r>
      <w:r w:rsidR="00684A8D" w:rsidRPr="007F2045">
        <w:rPr>
          <w:rFonts w:ascii="Times New Roman" w:hAnsi="Times New Roman"/>
          <w:sz w:val="28"/>
          <w:szCs w:val="28"/>
          <w:lang w:val="es-CO"/>
        </w:rPr>
        <w:t xml:space="preserve"> partir del </w:t>
      </w:r>
      <w:r w:rsidR="00561D94" w:rsidRPr="007F2045">
        <w:rPr>
          <w:rFonts w:ascii="Times New Roman" w:hAnsi="Times New Roman"/>
          <w:sz w:val="28"/>
          <w:szCs w:val="28"/>
          <w:lang w:val="es-CO"/>
        </w:rPr>
        <w:t>a</w:t>
      </w:r>
      <w:r w:rsidR="00684A8D" w:rsidRPr="007F2045">
        <w:rPr>
          <w:rFonts w:ascii="Times New Roman" w:hAnsi="Times New Roman"/>
          <w:sz w:val="28"/>
          <w:szCs w:val="28"/>
          <w:lang w:val="es-CO"/>
        </w:rPr>
        <w:t xml:space="preserve">uto 272 de 2023, se identificó en el ordenamiento una regla derivada del artículo 4 de la Constitución que prevé la facultad excepcional de esta Corte para suspender provisionalmente normas sometidas al control abstracto de constitucionalidad, mientras se resuelve </w:t>
      </w:r>
      <w:r w:rsidR="004262D4" w:rsidRPr="007F2045">
        <w:rPr>
          <w:rFonts w:ascii="Times New Roman" w:hAnsi="Times New Roman"/>
          <w:sz w:val="28"/>
          <w:szCs w:val="28"/>
          <w:lang w:val="es-CO"/>
        </w:rPr>
        <w:t xml:space="preserve">de manera </w:t>
      </w:r>
      <w:r w:rsidR="00684A8D" w:rsidRPr="007F2045">
        <w:rPr>
          <w:rFonts w:ascii="Times New Roman" w:hAnsi="Times New Roman"/>
          <w:sz w:val="28"/>
          <w:szCs w:val="28"/>
          <w:lang w:val="es-CO"/>
        </w:rPr>
        <w:t xml:space="preserve">definitiva </w:t>
      </w:r>
      <w:r w:rsidR="00DA715D" w:rsidRPr="007F2045">
        <w:rPr>
          <w:rFonts w:ascii="Times New Roman" w:hAnsi="Times New Roman"/>
          <w:sz w:val="28"/>
          <w:szCs w:val="28"/>
          <w:lang w:val="es-CO"/>
        </w:rPr>
        <w:t>sobre</w:t>
      </w:r>
      <w:r w:rsidR="004262D4" w:rsidRPr="007F2045">
        <w:rPr>
          <w:rFonts w:ascii="Times New Roman" w:hAnsi="Times New Roman"/>
          <w:sz w:val="28"/>
          <w:szCs w:val="28"/>
          <w:lang w:val="es-CO"/>
        </w:rPr>
        <w:t xml:space="preserve"> </w:t>
      </w:r>
      <w:r w:rsidR="00684A8D" w:rsidRPr="007F2045">
        <w:rPr>
          <w:rFonts w:ascii="Times New Roman" w:hAnsi="Times New Roman"/>
          <w:sz w:val="28"/>
          <w:szCs w:val="28"/>
          <w:lang w:val="es-CO"/>
        </w:rPr>
        <w:t xml:space="preserve">su validez. </w:t>
      </w:r>
      <w:r w:rsidRPr="007F2045">
        <w:rPr>
          <w:rFonts w:ascii="Times New Roman" w:hAnsi="Times New Roman"/>
          <w:sz w:val="28"/>
          <w:szCs w:val="28"/>
          <w:lang w:val="es-CO"/>
        </w:rPr>
        <w:t>En</w:t>
      </w:r>
      <w:r w:rsidR="00684A8D" w:rsidRPr="007F2045">
        <w:rPr>
          <w:rFonts w:ascii="Times New Roman" w:hAnsi="Times New Roman"/>
          <w:sz w:val="28"/>
          <w:szCs w:val="28"/>
          <w:lang w:val="es-CO"/>
        </w:rPr>
        <w:t xml:space="preserve"> dicha providencia</w:t>
      </w:r>
      <w:r w:rsidRPr="007F2045">
        <w:rPr>
          <w:rFonts w:ascii="Times New Roman" w:hAnsi="Times New Roman"/>
          <w:sz w:val="28"/>
          <w:szCs w:val="28"/>
          <w:lang w:val="es-CO"/>
        </w:rPr>
        <w:t>, la Corte indicó que</w:t>
      </w:r>
      <w:r w:rsidR="00684A8D" w:rsidRPr="007F2045">
        <w:rPr>
          <w:rFonts w:ascii="Times New Roman" w:hAnsi="Times New Roman"/>
          <w:sz w:val="28"/>
          <w:szCs w:val="28"/>
          <w:lang w:val="es-CO"/>
        </w:rPr>
        <w:t xml:space="preserve"> no se trata de una competencia genérica</w:t>
      </w:r>
      <w:r w:rsidR="004262D4" w:rsidRPr="007F2045">
        <w:rPr>
          <w:rFonts w:ascii="Times New Roman" w:hAnsi="Times New Roman"/>
          <w:sz w:val="28"/>
          <w:szCs w:val="28"/>
          <w:lang w:val="es-CO"/>
        </w:rPr>
        <w:t>,</w:t>
      </w:r>
      <w:r w:rsidR="00684A8D" w:rsidRPr="007F2045">
        <w:rPr>
          <w:rFonts w:ascii="Times New Roman" w:hAnsi="Times New Roman"/>
          <w:sz w:val="28"/>
          <w:szCs w:val="28"/>
          <w:lang w:val="es-CO"/>
        </w:rPr>
        <w:t xml:space="preserve"> sino de un mecanismo </w:t>
      </w:r>
      <w:r w:rsidRPr="007F2045">
        <w:rPr>
          <w:rFonts w:ascii="Times New Roman" w:hAnsi="Times New Roman"/>
          <w:sz w:val="28"/>
          <w:szCs w:val="28"/>
          <w:lang w:val="es-CO"/>
        </w:rPr>
        <w:t>de procedencia excepcional</w:t>
      </w:r>
      <w:r w:rsidR="00684A8D" w:rsidRPr="007F2045">
        <w:rPr>
          <w:rFonts w:ascii="Times New Roman" w:hAnsi="Times New Roman"/>
          <w:sz w:val="28"/>
          <w:szCs w:val="28"/>
          <w:lang w:val="es-CO"/>
        </w:rPr>
        <w:t xml:space="preserve"> frente a normas que</w:t>
      </w:r>
      <w:r w:rsidRPr="007F2045">
        <w:rPr>
          <w:rFonts w:ascii="Times New Roman" w:hAnsi="Times New Roman"/>
          <w:sz w:val="28"/>
          <w:szCs w:val="28"/>
          <w:lang w:val="es-CO"/>
        </w:rPr>
        <w:t>,</w:t>
      </w:r>
      <w:r w:rsidR="00684A8D" w:rsidRPr="007F2045">
        <w:rPr>
          <w:rFonts w:ascii="Times New Roman" w:hAnsi="Times New Roman"/>
          <w:sz w:val="28"/>
          <w:szCs w:val="28"/>
          <w:lang w:val="es-CO"/>
        </w:rPr>
        <w:t xml:space="preserve"> a primera vista</w:t>
      </w:r>
      <w:r w:rsidR="004262D4" w:rsidRPr="007F2045">
        <w:rPr>
          <w:rFonts w:ascii="Times New Roman" w:hAnsi="Times New Roman"/>
          <w:sz w:val="28"/>
          <w:szCs w:val="28"/>
          <w:lang w:val="es-CO"/>
        </w:rPr>
        <w:t xml:space="preserve">, </w:t>
      </w:r>
      <w:r w:rsidR="00684A8D" w:rsidRPr="007F2045">
        <w:rPr>
          <w:rFonts w:ascii="Times New Roman" w:hAnsi="Times New Roman"/>
          <w:sz w:val="28"/>
          <w:szCs w:val="28"/>
          <w:lang w:val="es-CO"/>
        </w:rPr>
        <w:t xml:space="preserve">lucen manifiestamente </w:t>
      </w:r>
      <w:r w:rsidR="004262D4" w:rsidRPr="007F2045">
        <w:rPr>
          <w:rFonts w:ascii="Times New Roman" w:hAnsi="Times New Roman"/>
          <w:sz w:val="28"/>
          <w:szCs w:val="28"/>
          <w:lang w:val="es-CO"/>
        </w:rPr>
        <w:t>incompatibles con la Constitución</w:t>
      </w:r>
      <w:r w:rsidRPr="007F2045">
        <w:rPr>
          <w:rFonts w:ascii="Times New Roman" w:hAnsi="Times New Roman"/>
          <w:sz w:val="28"/>
          <w:szCs w:val="28"/>
          <w:lang w:val="es-CO"/>
        </w:rPr>
        <w:t xml:space="preserve">, con el fin de </w:t>
      </w:r>
      <w:r w:rsidR="00684A8D" w:rsidRPr="007F2045">
        <w:rPr>
          <w:rFonts w:ascii="Times New Roman" w:hAnsi="Times New Roman"/>
          <w:sz w:val="28"/>
          <w:szCs w:val="28"/>
          <w:lang w:val="es-CO"/>
        </w:rPr>
        <w:t xml:space="preserve">evitar la elusión del control constitucional o la consumación de potenciales efectos irremediables. </w:t>
      </w:r>
      <w:r w:rsidRPr="007F2045">
        <w:rPr>
          <w:rFonts w:ascii="Times New Roman" w:hAnsi="Times New Roman"/>
          <w:sz w:val="28"/>
          <w:szCs w:val="28"/>
          <w:lang w:val="es-CO"/>
        </w:rPr>
        <w:t xml:space="preserve">Bajo esa lógica, en </w:t>
      </w:r>
      <w:r w:rsidR="00684A8D" w:rsidRPr="007F2045">
        <w:rPr>
          <w:rFonts w:ascii="Times New Roman" w:hAnsi="Times New Roman"/>
          <w:sz w:val="28"/>
          <w:szCs w:val="28"/>
          <w:lang w:val="es-CO"/>
        </w:rPr>
        <w:t xml:space="preserve">este apartado, la Corte resolverá si la facultad de suspensión provisional es aplicable a los decretos declarativos y de desarrollo de </w:t>
      </w:r>
      <w:r w:rsidR="006B7347" w:rsidRPr="007F2045">
        <w:rPr>
          <w:rFonts w:ascii="Times New Roman" w:hAnsi="Times New Roman"/>
          <w:sz w:val="28"/>
          <w:szCs w:val="28"/>
          <w:lang w:val="es-CO"/>
        </w:rPr>
        <w:t xml:space="preserve">un </w:t>
      </w:r>
      <w:r w:rsidR="00684A8D" w:rsidRPr="007F2045">
        <w:rPr>
          <w:rFonts w:ascii="Times New Roman" w:hAnsi="Times New Roman"/>
          <w:sz w:val="28"/>
          <w:szCs w:val="28"/>
          <w:lang w:val="es-CO"/>
        </w:rPr>
        <w:t>estado de excepción proferidos por el presidente de la República</w:t>
      </w:r>
      <w:r w:rsidR="00DA715D" w:rsidRPr="007F2045">
        <w:rPr>
          <w:rFonts w:ascii="Times New Roman" w:hAnsi="Times New Roman"/>
          <w:sz w:val="28"/>
          <w:szCs w:val="28"/>
          <w:lang w:val="es-CO"/>
        </w:rPr>
        <w:t>,</w:t>
      </w:r>
      <w:r w:rsidR="00684A8D" w:rsidRPr="007F2045">
        <w:rPr>
          <w:rFonts w:ascii="Times New Roman" w:hAnsi="Times New Roman"/>
          <w:sz w:val="28"/>
          <w:szCs w:val="28"/>
          <w:lang w:val="es-CO"/>
        </w:rPr>
        <w:t xml:space="preserve"> con fundamento en </w:t>
      </w:r>
      <w:r w:rsidR="00684A8D" w:rsidRPr="007F2045">
        <w:rPr>
          <w:rFonts w:ascii="Times New Roman" w:hAnsi="Times New Roman"/>
          <w:sz w:val="28"/>
          <w:szCs w:val="28"/>
          <w:lang w:val="es-CO"/>
        </w:rPr>
        <w:lastRenderedPageBreak/>
        <w:t>el artículo 215 de la Constitución</w:t>
      </w:r>
      <w:r w:rsidR="00DA715D" w:rsidRPr="007F2045">
        <w:rPr>
          <w:rFonts w:ascii="Times New Roman" w:hAnsi="Times New Roman"/>
          <w:szCs w:val="28"/>
          <w:vertAlign w:val="superscript"/>
          <w:lang w:val="es-CO"/>
        </w:rPr>
        <w:footnoteReference w:id="27"/>
      </w:r>
      <w:r w:rsidR="00684A8D" w:rsidRPr="007F2045">
        <w:rPr>
          <w:rFonts w:ascii="Times New Roman" w:hAnsi="Times New Roman"/>
          <w:sz w:val="28"/>
          <w:szCs w:val="28"/>
          <w:lang w:val="es-CO"/>
        </w:rPr>
        <w:t>.</w:t>
      </w:r>
    </w:p>
    <w:p w14:paraId="63B1128C" w14:textId="77777777" w:rsidR="00684A8D" w:rsidRPr="007F2045" w:rsidRDefault="00684A8D" w:rsidP="001B5728">
      <w:pPr>
        <w:widowControl w:val="0"/>
        <w:tabs>
          <w:tab w:val="left" w:pos="284"/>
          <w:tab w:val="left" w:pos="426"/>
        </w:tabs>
        <w:autoSpaceDE w:val="0"/>
        <w:autoSpaceDN w:val="0"/>
        <w:adjustRightInd w:val="0"/>
        <w:spacing w:after="0" w:line="240" w:lineRule="auto"/>
        <w:rPr>
          <w:rFonts w:ascii="Times New Roman" w:hAnsi="Times New Roman"/>
          <w:sz w:val="28"/>
          <w:szCs w:val="28"/>
          <w:lang w:val="es-CO"/>
        </w:rPr>
      </w:pPr>
    </w:p>
    <w:p w14:paraId="1B217F12" w14:textId="77777777" w:rsidR="00602EF0" w:rsidRPr="007F2045" w:rsidRDefault="004E03E2" w:rsidP="001B5728">
      <w:pPr>
        <w:pStyle w:val="Prrafodelista"/>
        <w:numPr>
          <w:ilvl w:val="0"/>
          <w:numId w:val="2"/>
        </w:numPr>
        <w:tabs>
          <w:tab w:val="left" w:pos="426"/>
        </w:tabs>
        <w:spacing w:after="0" w:line="240" w:lineRule="auto"/>
        <w:ind w:left="0" w:firstLine="0"/>
        <w:rPr>
          <w:lang w:val="es-CO"/>
        </w:rPr>
      </w:pPr>
      <w:r w:rsidRPr="007F2045">
        <w:rPr>
          <w:rFonts w:ascii="Times New Roman" w:hAnsi="Times New Roman"/>
          <w:sz w:val="28"/>
          <w:szCs w:val="28"/>
          <w:lang w:val="es-CO"/>
        </w:rPr>
        <w:t xml:space="preserve"> </w:t>
      </w:r>
      <w:r w:rsidR="00AA0D43" w:rsidRPr="007F2045">
        <w:rPr>
          <w:rFonts w:ascii="Times New Roman" w:hAnsi="Times New Roman"/>
          <w:sz w:val="28"/>
          <w:szCs w:val="28"/>
          <w:lang w:val="es-CO"/>
        </w:rPr>
        <w:t>Para tal efecto, y a</w:t>
      </w:r>
      <w:r w:rsidR="00684A8D" w:rsidRPr="007F2045">
        <w:rPr>
          <w:rFonts w:ascii="Times New Roman" w:hAnsi="Times New Roman"/>
          <w:sz w:val="28"/>
          <w:szCs w:val="28"/>
          <w:lang w:val="es-CO"/>
        </w:rPr>
        <w:t>unque en el presente caso no se está ante una demanda de inconstitucionalidad</w:t>
      </w:r>
      <w:r w:rsidR="00DA715D" w:rsidRPr="007F2045">
        <w:rPr>
          <w:rFonts w:ascii="Times New Roman" w:hAnsi="Times New Roman"/>
          <w:sz w:val="28"/>
          <w:szCs w:val="28"/>
          <w:lang w:val="es-CO"/>
        </w:rPr>
        <w:t>,</w:t>
      </w:r>
      <w:r w:rsidR="00684A8D" w:rsidRPr="007F2045">
        <w:rPr>
          <w:rFonts w:ascii="Times New Roman" w:hAnsi="Times New Roman"/>
          <w:sz w:val="28"/>
          <w:szCs w:val="28"/>
          <w:lang w:val="es-CO"/>
        </w:rPr>
        <w:t xml:space="preserve"> </w:t>
      </w:r>
      <w:r w:rsidR="00A214AE" w:rsidRPr="007F2045">
        <w:rPr>
          <w:rFonts w:ascii="Times New Roman" w:hAnsi="Times New Roman"/>
          <w:sz w:val="28"/>
          <w:szCs w:val="28"/>
          <w:lang w:val="es-CO"/>
        </w:rPr>
        <w:t>el análisis de la Corte debe iniciar por</w:t>
      </w:r>
      <w:r w:rsidR="00684A8D" w:rsidRPr="007F2045">
        <w:rPr>
          <w:rFonts w:ascii="Times New Roman" w:hAnsi="Times New Roman"/>
          <w:sz w:val="28"/>
          <w:szCs w:val="28"/>
          <w:lang w:val="es-CO"/>
        </w:rPr>
        <w:t xml:space="preserve"> verificar si </w:t>
      </w:r>
      <w:r w:rsidR="00A214AE" w:rsidRPr="007F2045">
        <w:rPr>
          <w:rFonts w:ascii="Times New Roman" w:hAnsi="Times New Roman"/>
          <w:sz w:val="28"/>
          <w:szCs w:val="28"/>
          <w:lang w:val="es-CO"/>
        </w:rPr>
        <w:t xml:space="preserve">frente a la figura de </w:t>
      </w:r>
      <w:r w:rsidR="007B1807" w:rsidRPr="007F2045">
        <w:rPr>
          <w:rFonts w:ascii="Times New Roman" w:hAnsi="Times New Roman"/>
          <w:sz w:val="28"/>
          <w:szCs w:val="28"/>
          <w:lang w:val="es-CO"/>
        </w:rPr>
        <w:t xml:space="preserve">la </w:t>
      </w:r>
      <w:r w:rsidR="00A214AE" w:rsidRPr="007F2045">
        <w:rPr>
          <w:rFonts w:ascii="Times New Roman" w:hAnsi="Times New Roman"/>
          <w:sz w:val="28"/>
          <w:szCs w:val="28"/>
          <w:lang w:val="es-CO"/>
        </w:rPr>
        <w:t>suspensión provisional en los estados de excepción se ha presentado la cosa juzgada</w:t>
      </w:r>
      <w:r w:rsidR="001B5728" w:rsidRPr="007F2045">
        <w:rPr>
          <w:rFonts w:ascii="Times New Roman" w:hAnsi="Times New Roman"/>
          <w:sz w:val="28"/>
          <w:szCs w:val="28"/>
          <w:lang w:val="es-CO"/>
        </w:rPr>
        <w:t>. La pregunta es relevante no solo porque en la referida sentencia C-179 de 1994, esta Corporación declaró inexequible una norma del proyecto de ley estatutaria de estados de excepción (PLEEE) que le atribuía la facultad de suspender provisionalmente medidas adoptadas a su amparo, sino también porque el auto 272 de 2023 se refirió a ese pronunciamiento al establecer las condiciones de aplicación de esta figura</w:t>
      </w:r>
      <w:r w:rsidR="001B5728" w:rsidRPr="007F2045">
        <w:rPr>
          <w:rFonts w:ascii="Times New Roman" w:hAnsi="Times New Roman"/>
          <w:vertAlign w:val="superscript"/>
          <w:lang w:val="es-CO"/>
        </w:rPr>
        <w:footnoteReference w:id="28"/>
      </w:r>
      <w:r w:rsidR="001B5728" w:rsidRPr="007F2045">
        <w:rPr>
          <w:rFonts w:ascii="Times New Roman" w:hAnsi="Times New Roman"/>
          <w:sz w:val="28"/>
          <w:szCs w:val="28"/>
          <w:lang w:val="es-CO"/>
        </w:rPr>
        <w:t xml:space="preserve">. </w:t>
      </w:r>
      <w:r w:rsidR="006248AA" w:rsidRPr="007F2045">
        <w:rPr>
          <w:rFonts w:ascii="Times New Roman" w:hAnsi="Times New Roman"/>
          <w:sz w:val="28"/>
          <w:szCs w:val="28"/>
          <w:lang w:val="es-CO"/>
        </w:rPr>
        <w:t xml:space="preserve">Sin embargo, como se pasará a explicar, el alcance de esa </w:t>
      </w:r>
      <w:r w:rsidRPr="007F2045">
        <w:rPr>
          <w:rFonts w:ascii="Times New Roman" w:hAnsi="Times New Roman"/>
          <w:sz w:val="28"/>
          <w:szCs w:val="28"/>
          <w:lang w:val="es-CO"/>
        </w:rPr>
        <w:t>decisión</w:t>
      </w:r>
      <w:r w:rsidR="006248AA" w:rsidRPr="007F2045">
        <w:rPr>
          <w:rFonts w:ascii="Times New Roman" w:hAnsi="Times New Roman"/>
          <w:sz w:val="28"/>
          <w:szCs w:val="28"/>
          <w:lang w:val="es-CO"/>
        </w:rPr>
        <w:t xml:space="preserve"> no impide que la Corte ejerza, en el presente caso, la facultad cautelar cuyo fundamento se examina. </w:t>
      </w:r>
    </w:p>
    <w:p w14:paraId="6F1492D4" w14:textId="77777777" w:rsidR="00684A8D" w:rsidRPr="007F2045" w:rsidRDefault="00684A8D" w:rsidP="001B5728">
      <w:pPr>
        <w:widowControl w:val="0"/>
        <w:tabs>
          <w:tab w:val="left" w:pos="284"/>
          <w:tab w:val="left" w:pos="426"/>
        </w:tabs>
        <w:autoSpaceDE w:val="0"/>
        <w:autoSpaceDN w:val="0"/>
        <w:adjustRightInd w:val="0"/>
        <w:spacing w:after="0" w:line="240" w:lineRule="auto"/>
        <w:rPr>
          <w:rFonts w:ascii="Times New Roman" w:hAnsi="Times New Roman"/>
          <w:sz w:val="28"/>
          <w:szCs w:val="28"/>
          <w:lang w:val="es-CO"/>
        </w:rPr>
      </w:pPr>
    </w:p>
    <w:p w14:paraId="0351BF30" w14:textId="77777777" w:rsidR="00684A8D" w:rsidRPr="007F2045" w:rsidRDefault="00A344DD" w:rsidP="001B5728">
      <w:pPr>
        <w:widowControl w:val="0"/>
        <w:numPr>
          <w:ilvl w:val="0"/>
          <w:numId w:val="2"/>
        </w:numPr>
        <w:tabs>
          <w:tab w:val="left" w:pos="284"/>
          <w:tab w:val="left" w:pos="426"/>
        </w:tabs>
        <w:autoSpaceDE w:val="0"/>
        <w:autoSpaceDN w:val="0"/>
        <w:adjustRightInd w:val="0"/>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Para</w:t>
      </w:r>
      <w:r w:rsidR="007B1807" w:rsidRPr="007F2045">
        <w:rPr>
          <w:rFonts w:ascii="Times New Roman" w:hAnsi="Times New Roman"/>
          <w:sz w:val="28"/>
          <w:szCs w:val="28"/>
          <w:lang w:val="es-CO"/>
        </w:rPr>
        <w:t xml:space="preserve"> fundamentar</w:t>
      </w:r>
      <w:r w:rsidRPr="007F2045">
        <w:rPr>
          <w:rFonts w:ascii="Times New Roman" w:hAnsi="Times New Roman"/>
          <w:sz w:val="28"/>
          <w:szCs w:val="28"/>
          <w:lang w:val="es-CO"/>
        </w:rPr>
        <w:t xml:space="preserve"> esta conclusión</w:t>
      </w:r>
      <w:r w:rsidR="003F2CAB" w:rsidRPr="007F2045">
        <w:rPr>
          <w:rFonts w:ascii="Times New Roman" w:hAnsi="Times New Roman"/>
          <w:sz w:val="28"/>
          <w:szCs w:val="28"/>
          <w:lang w:val="es-CO"/>
        </w:rPr>
        <w:t>,</w:t>
      </w:r>
      <w:r w:rsidR="007B1807" w:rsidRPr="007F2045">
        <w:rPr>
          <w:rFonts w:ascii="Times New Roman" w:hAnsi="Times New Roman"/>
          <w:sz w:val="28"/>
          <w:szCs w:val="28"/>
          <w:lang w:val="es-CO"/>
        </w:rPr>
        <w:t xml:space="preserve"> la Sala</w:t>
      </w:r>
      <w:r w:rsidR="004262D4" w:rsidRPr="007F2045">
        <w:rPr>
          <w:rFonts w:ascii="Times New Roman" w:hAnsi="Times New Roman"/>
          <w:sz w:val="28"/>
          <w:szCs w:val="28"/>
          <w:lang w:val="es-CO"/>
        </w:rPr>
        <w:t xml:space="preserve"> </w:t>
      </w:r>
      <w:r w:rsidR="00CD7E9C" w:rsidRPr="007F2045">
        <w:rPr>
          <w:rFonts w:ascii="Times New Roman" w:hAnsi="Times New Roman"/>
          <w:sz w:val="28"/>
          <w:szCs w:val="28"/>
          <w:lang w:val="es-CO"/>
        </w:rPr>
        <w:t xml:space="preserve">se </w:t>
      </w:r>
      <w:r w:rsidR="00684A8D" w:rsidRPr="007F2045">
        <w:rPr>
          <w:rFonts w:ascii="Times New Roman" w:hAnsi="Times New Roman"/>
          <w:sz w:val="28"/>
          <w:szCs w:val="28"/>
          <w:lang w:val="es-CO"/>
        </w:rPr>
        <w:t xml:space="preserve">referirá brevemente </w:t>
      </w:r>
      <w:r w:rsidR="00D81CF4" w:rsidRPr="007F2045">
        <w:rPr>
          <w:rFonts w:ascii="Times New Roman" w:hAnsi="Times New Roman"/>
          <w:sz w:val="28"/>
          <w:szCs w:val="28"/>
          <w:lang w:val="es-CO"/>
        </w:rPr>
        <w:t xml:space="preserve">a </w:t>
      </w:r>
      <w:r w:rsidR="00684A8D" w:rsidRPr="007F2045">
        <w:rPr>
          <w:rFonts w:ascii="Times New Roman" w:hAnsi="Times New Roman"/>
          <w:sz w:val="28"/>
          <w:szCs w:val="28"/>
          <w:lang w:val="es-CO"/>
        </w:rPr>
        <w:t>su doctrina</w:t>
      </w:r>
      <w:r w:rsidR="00A65DBD" w:rsidRPr="007F2045">
        <w:rPr>
          <w:rFonts w:ascii="Times New Roman" w:hAnsi="Times New Roman"/>
          <w:sz w:val="28"/>
          <w:szCs w:val="28"/>
          <w:lang w:val="es-CO"/>
        </w:rPr>
        <w:t xml:space="preserve"> relativa a</w:t>
      </w:r>
      <w:r w:rsidR="00684A8D" w:rsidRPr="007F2045">
        <w:rPr>
          <w:rFonts w:ascii="Times New Roman" w:hAnsi="Times New Roman"/>
          <w:sz w:val="28"/>
          <w:szCs w:val="28"/>
          <w:lang w:val="es-CO"/>
        </w:rPr>
        <w:t xml:space="preserve"> los elementos para establecer la existencia de la cosa juzgada constitucional (</w:t>
      </w:r>
      <w:r w:rsidR="008C06D1" w:rsidRPr="007F2045">
        <w:rPr>
          <w:rFonts w:ascii="Times New Roman" w:hAnsi="Times New Roman"/>
          <w:b/>
          <w:sz w:val="28"/>
          <w:szCs w:val="28"/>
          <w:lang w:val="es-CO"/>
        </w:rPr>
        <w:t xml:space="preserve">sección </w:t>
      </w:r>
      <w:r w:rsidR="00093333" w:rsidRPr="007F2045">
        <w:rPr>
          <w:rFonts w:ascii="Times New Roman" w:hAnsi="Times New Roman"/>
          <w:b/>
          <w:sz w:val="28"/>
          <w:szCs w:val="28"/>
          <w:lang w:val="es-CO"/>
        </w:rPr>
        <w:t>4</w:t>
      </w:r>
      <w:r w:rsidR="00684A8D" w:rsidRPr="007F2045">
        <w:rPr>
          <w:rFonts w:ascii="Times New Roman" w:hAnsi="Times New Roman"/>
          <w:b/>
          <w:sz w:val="28"/>
          <w:szCs w:val="28"/>
          <w:lang w:val="es-CO"/>
        </w:rPr>
        <w:t>.1</w:t>
      </w:r>
      <w:r w:rsidR="00684A8D" w:rsidRPr="007F2045">
        <w:rPr>
          <w:rFonts w:ascii="Times New Roman" w:hAnsi="Times New Roman"/>
          <w:sz w:val="28"/>
          <w:szCs w:val="28"/>
          <w:lang w:val="es-CO"/>
        </w:rPr>
        <w:t xml:space="preserve">). A continuación, </w:t>
      </w:r>
      <w:r w:rsidR="002F3CBE" w:rsidRPr="007F2045">
        <w:rPr>
          <w:rFonts w:ascii="Times New Roman" w:hAnsi="Times New Roman"/>
          <w:sz w:val="28"/>
          <w:szCs w:val="28"/>
          <w:lang w:val="es-CO"/>
        </w:rPr>
        <w:t xml:space="preserve">explicará que </w:t>
      </w:r>
      <w:r w:rsidR="00684A8D" w:rsidRPr="007F2045">
        <w:rPr>
          <w:rFonts w:ascii="Times New Roman" w:hAnsi="Times New Roman"/>
          <w:sz w:val="28"/>
          <w:szCs w:val="28"/>
          <w:lang w:val="es-CO"/>
        </w:rPr>
        <w:t xml:space="preserve">la </w:t>
      </w:r>
      <w:r w:rsidR="00D65DF0" w:rsidRPr="007F2045">
        <w:rPr>
          <w:rFonts w:ascii="Times New Roman" w:hAnsi="Times New Roman"/>
          <w:sz w:val="28"/>
          <w:szCs w:val="28"/>
          <w:lang w:val="es-CO"/>
        </w:rPr>
        <w:t>s</w:t>
      </w:r>
      <w:r w:rsidR="00684A8D" w:rsidRPr="007F2045">
        <w:rPr>
          <w:rFonts w:ascii="Times New Roman" w:hAnsi="Times New Roman"/>
          <w:sz w:val="28"/>
          <w:szCs w:val="28"/>
          <w:lang w:val="es-CO"/>
        </w:rPr>
        <w:t xml:space="preserve">entencia </w:t>
      </w:r>
      <w:r w:rsidR="00C46D5E" w:rsidRPr="007F2045">
        <w:rPr>
          <w:rFonts w:ascii="Times New Roman" w:hAnsi="Times New Roman"/>
          <w:sz w:val="28"/>
          <w:szCs w:val="28"/>
          <w:lang w:val="es-CO"/>
        </w:rPr>
        <w:t xml:space="preserve">en </w:t>
      </w:r>
      <w:r w:rsidR="001B5728" w:rsidRPr="007F2045">
        <w:rPr>
          <w:rFonts w:ascii="Times New Roman" w:hAnsi="Times New Roman"/>
          <w:sz w:val="28"/>
          <w:szCs w:val="28"/>
          <w:lang w:val="es-CO"/>
        </w:rPr>
        <w:t>mención</w:t>
      </w:r>
      <w:r w:rsidR="00684A8D" w:rsidRPr="007F2045">
        <w:rPr>
          <w:rFonts w:ascii="Times New Roman" w:hAnsi="Times New Roman"/>
          <w:sz w:val="28"/>
          <w:szCs w:val="28"/>
          <w:lang w:val="es-CO"/>
        </w:rPr>
        <w:t xml:space="preserve"> no </w:t>
      </w:r>
      <w:r w:rsidR="002F3CBE" w:rsidRPr="007F2045">
        <w:rPr>
          <w:rFonts w:ascii="Times New Roman" w:hAnsi="Times New Roman"/>
          <w:sz w:val="28"/>
          <w:szCs w:val="28"/>
          <w:lang w:val="es-CO"/>
        </w:rPr>
        <w:t>contiene un pronunciamiento específico, que hubiera hecho tránsito a cosa juzgada constitucional, sobre la</w:t>
      </w:r>
      <w:r w:rsidR="00A65DBD" w:rsidRPr="007F2045">
        <w:rPr>
          <w:rFonts w:ascii="Times New Roman" w:hAnsi="Times New Roman"/>
          <w:sz w:val="28"/>
          <w:szCs w:val="28"/>
          <w:lang w:val="es-CO"/>
        </w:rPr>
        <w:t xml:space="preserve"> competencia</w:t>
      </w:r>
      <w:r w:rsidR="002F3CBE" w:rsidRPr="007F2045">
        <w:rPr>
          <w:rFonts w:ascii="Times New Roman" w:hAnsi="Times New Roman"/>
          <w:sz w:val="28"/>
          <w:szCs w:val="28"/>
          <w:lang w:val="es-CO"/>
        </w:rPr>
        <w:t xml:space="preserve"> de suspender provisionalmente los efectos de </w:t>
      </w:r>
      <w:r w:rsidR="00684A8D" w:rsidRPr="007F2045">
        <w:rPr>
          <w:rFonts w:ascii="Times New Roman" w:hAnsi="Times New Roman"/>
          <w:sz w:val="28"/>
          <w:szCs w:val="28"/>
          <w:lang w:val="es-CO"/>
        </w:rPr>
        <w:t>los decretos declarat</w:t>
      </w:r>
      <w:r w:rsidR="004262D4" w:rsidRPr="007F2045">
        <w:rPr>
          <w:rFonts w:ascii="Times New Roman" w:hAnsi="Times New Roman"/>
          <w:sz w:val="28"/>
          <w:szCs w:val="28"/>
          <w:lang w:val="es-CO"/>
        </w:rPr>
        <w:t>orios</w:t>
      </w:r>
      <w:r w:rsidR="00684A8D" w:rsidRPr="007F2045">
        <w:rPr>
          <w:rFonts w:ascii="Times New Roman" w:hAnsi="Times New Roman"/>
          <w:sz w:val="28"/>
          <w:szCs w:val="28"/>
          <w:lang w:val="es-CO"/>
        </w:rPr>
        <w:t xml:space="preserve"> de</w:t>
      </w:r>
      <w:r w:rsidR="004262D4" w:rsidRPr="007F2045">
        <w:rPr>
          <w:rFonts w:ascii="Times New Roman" w:hAnsi="Times New Roman"/>
          <w:sz w:val="28"/>
          <w:szCs w:val="28"/>
          <w:lang w:val="es-CO"/>
        </w:rPr>
        <w:t xml:space="preserve"> </w:t>
      </w:r>
      <w:r w:rsidR="00684A8D" w:rsidRPr="007F2045">
        <w:rPr>
          <w:rFonts w:ascii="Times New Roman" w:hAnsi="Times New Roman"/>
          <w:sz w:val="28"/>
          <w:szCs w:val="28"/>
          <w:lang w:val="es-CO"/>
        </w:rPr>
        <w:t>l</w:t>
      </w:r>
      <w:r w:rsidR="004262D4" w:rsidRPr="007F2045">
        <w:rPr>
          <w:rFonts w:ascii="Times New Roman" w:hAnsi="Times New Roman"/>
          <w:sz w:val="28"/>
          <w:szCs w:val="28"/>
          <w:lang w:val="es-CO"/>
        </w:rPr>
        <w:t>os</w:t>
      </w:r>
      <w:r w:rsidR="00684A8D" w:rsidRPr="007F2045">
        <w:rPr>
          <w:rFonts w:ascii="Times New Roman" w:hAnsi="Times New Roman"/>
          <w:sz w:val="28"/>
          <w:szCs w:val="28"/>
          <w:lang w:val="es-CO"/>
        </w:rPr>
        <w:t xml:space="preserve"> estado</w:t>
      </w:r>
      <w:r w:rsidR="004262D4" w:rsidRPr="007F2045">
        <w:rPr>
          <w:rFonts w:ascii="Times New Roman" w:hAnsi="Times New Roman"/>
          <w:sz w:val="28"/>
          <w:szCs w:val="28"/>
          <w:lang w:val="es-CO"/>
        </w:rPr>
        <w:t>s</w:t>
      </w:r>
      <w:r w:rsidR="00684A8D" w:rsidRPr="007F2045">
        <w:rPr>
          <w:rFonts w:ascii="Times New Roman" w:hAnsi="Times New Roman"/>
          <w:sz w:val="28"/>
          <w:szCs w:val="28"/>
          <w:lang w:val="es-CO"/>
        </w:rPr>
        <w:t xml:space="preserve"> de excepción</w:t>
      </w:r>
      <w:r w:rsidR="009F7897" w:rsidRPr="007F2045">
        <w:rPr>
          <w:rFonts w:ascii="Times New Roman" w:hAnsi="Times New Roman"/>
          <w:sz w:val="28"/>
          <w:szCs w:val="28"/>
          <w:lang w:val="es-CO"/>
        </w:rPr>
        <w:t xml:space="preserve">. </w:t>
      </w:r>
      <w:r w:rsidR="00A65DBD" w:rsidRPr="007F2045">
        <w:rPr>
          <w:rFonts w:ascii="Times New Roman" w:hAnsi="Times New Roman"/>
          <w:sz w:val="28"/>
          <w:szCs w:val="28"/>
          <w:lang w:val="es-CO"/>
        </w:rPr>
        <w:t>Luego de ello</w:t>
      </w:r>
      <w:r w:rsidR="00C46D5E" w:rsidRPr="007F2045">
        <w:rPr>
          <w:rFonts w:ascii="Times New Roman" w:hAnsi="Times New Roman"/>
          <w:sz w:val="28"/>
          <w:szCs w:val="28"/>
          <w:lang w:val="es-CO"/>
        </w:rPr>
        <w:t>,</w:t>
      </w:r>
      <w:r w:rsidR="00A65DBD" w:rsidRPr="007F2045">
        <w:rPr>
          <w:rFonts w:ascii="Times New Roman" w:hAnsi="Times New Roman"/>
          <w:sz w:val="28"/>
          <w:szCs w:val="28"/>
          <w:lang w:val="es-CO"/>
        </w:rPr>
        <w:t xml:space="preserve"> la Corte </w:t>
      </w:r>
      <w:r w:rsidR="00684A8D" w:rsidRPr="007F2045">
        <w:rPr>
          <w:rFonts w:ascii="Times New Roman" w:hAnsi="Times New Roman"/>
          <w:sz w:val="28"/>
          <w:szCs w:val="28"/>
          <w:lang w:val="es-CO"/>
        </w:rPr>
        <w:t>precisará</w:t>
      </w:r>
      <w:r w:rsidR="00A65DBD" w:rsidRPr="007F2045">
        <w:rPr>
          <w:rFonts w:ascii="Times New Roman" w:hAnsi="Times New Roman"/>
          <w:sz w:val="28"/>
          <w:szCs w:val="28"/>
          <w:lang w:val="es-CO"/>
        </w:rPr>
        <w:t xml:space="preserve"> </w:t>
      </w:r>
      <w:r w:rsidR="00684A8D" w:rsidRPr="007F2045">
        <w:rPr>
          <w:rFonts w:ascii="Times New Roman" w:hAnsi="Times New Roman"/>
          <w:sz w:val="28"/>
          <w:szCs w:val="28"/>
          <w:lang w:val="es-CO"/>
        </w:rPr>
        <w:t>que</w:t>
      </w:r>
      <w:r w:rsidR="00D81CF4" w:rsidRPr="007F2045">
        <w:rPr>
          <w:rFonts w:ascii="Times New Roman" w:hAnsi="Times New Roman"/>
          <w:sz w:val="28"/>
          <w:szCs w:val="28"/>
          <w:lang w:val="es-CO"/>
        </w:rPr>
        <w:t>,</w:t>
      </w:r>
      <w:r w:rsidR="00684A8D" w:rsidRPr="007F2045">
        <w:rPr>
          <w:rFonts w:ascii="Times New Roman" w:hAnsi="Times New Roman"/>
          <w:sz w:val="28"/>
          <w:szCs w:val="28"/>
          <w:lang w:val="es-CO"/>
        </w:rPr>
        <w:t xml:space="preserve"> después de esa decisión</w:t>
      </w:r>
      <w:r w:rsidR="00D81CF4" w:rsidRPr="007F2045">
        <w:rPr>
          <w:rFonts w:ascii="Times New Roman" w:hAnsi="Times New Roman"/>
          <w:sz w:val="28"/>
          <w:szCs w:val="28"/>
          <w:lang w:val="es-CO"/>
        </w:rPr>
        <w:t>,</w:t>
      </w:r>
      <w:r w:rsidR="00684A8D" w:rsidRPr="007F2045">
        <w:rPr>
          <w:rFonts w:ascii="Times New Roman" w:hAnsi="Times New Roman"/>
          <w:sz w:val="28"/>
          <w:szCs w:val="28"/>
          <w:lang w:val="es-CO"/>
        </w:rPr>
        <w:t xml:space="preserve"> la Sala no ha declarado la improcedencia de esa facultad (</w:t>
      </w:r>
      <w:r w:rsidR="008C06D1" w:rsidRPr="007F2045">
        <w:rPr>
          <w:rFonts w:ascii="Times New Roman" w:hAnsi="Times New Roman"/>
          <w:b/>
          <w:sz w:val="28"/>
          <w:szCs w:val="28"/>
          <w:lang w:val="es-CO"/>
        </w:rPr>
        <w:t xml:space="preserve">sección </w:t>
      </w:r>
      <w:r w:rsidR="00093333" w:rsidRPr="007F2045">
        <w:rPr>
          <w:rFonts w:ascii="Times New Roman" w:hAnsi="Times New Roman"/>
          <w:b/>
          <w:sz w:val="28"/>
          <w:szCs w:val="28"/>
          <w:lang w:val="es-CO"/>
        </w:rPr>
        <w:t>4</w:t>
      </w:r>
      <w:r w:rsidR="00684A8D" w:rsidRPr="007F2045">
        <w:rPr>
          <w:rFonts w:ascii="Times New Roman" w:hAnsi="Times New Roman"/>
          <w:b/>
          <w:sz w:val="28"/>
          <w:szCs w:val="28"/>
          <w:lang w:val="es-CO"/>
        </w:rPr>
        <w:t>.2</w:t>
      </w:r>
      <w:r w:rsidR="00684A8D" w:rsidRPr="007F2045">
        <w:rPr>
          <w:rFonts w:ascii="Times New Roman" w:hAnsi="Times New Roman"/>
          <w:sz w:val="28"/>
          <w:szCs w:val="28"/>
          <w:lang w:val="es-CO"/>
        </w:rPr>
        <w:t>).</w:t>
      </w:r>
    </w:p>
    <w:p w14:paraId="722044C3" w14:textId="77777777" w:rsidR="00684A8D" w:rsidRPr="007F2045" w:rsidRDefault="00684A8D" w:rsidP="001B5728">
      <w:pPr>
        <w:widowControl w:val="0"/>
        <w:tabs>
          <w:tab w:val="left" w:pos="284"/>
          <w:tab w:val="left" w:pos="426"/>
        </w:tabs>
        <w:autoSpaceDE w:val="0"/>
        <w:autoSpaceDN w:val="0"/>
        <w:adjustRightInd w:val="0"/>
        <w:spacing w:after="0" w:line="240" w:lineRule="auto"/>
        <w:rPr>
          <w:rFonts w:ascii="Times New Roman" w:hAnsi="Times New Roman"/>
          <w:sz w:val="28"/>
          <w:szCs w:val="28"/>
          <w:lang w:val="es-CO"/>
        </w:rPr>
      </w:pPr>
      <w:r w:rsidRPr="007F2045">
        <w:rPr>
          <w:rFonts w:ascii="Times New Roman" w:hAnsi="Times New Roman"/>
          <w:sz w:val="28"/>
          <w:szCs w:val="28"/>
          <w:lang w:val="es-CO"/>
        </w:rPr>
        <w:t xml:space="preserve">    </w:t>
      </w:r>
    </w:p>
    <w:p w14:paraId="5AFAF31D" w14:textId="77777777" w:rsidR="00684A8D" w:rsidRPr="007F2045" w:rsidRDefault="00A65DBD" w:rsidP="001B5728">
      <w:pPr>
        <w:widowControl w:val="0"/>
        <w:numPr>
          <w:ilvl w:val="0"/>
          <w:numId w:val="2"/>
        </w:numPr>
        <w:tabs>
          <w:tab w:val="left" w:pos="284"/>
          <w:tab w:val="left" w:pos="426"/>
        </w:tabs>
        <w:autoSpaceDE w:val="0"/>
        <w:autoSpaceDN w:val="0"/>
        <w:adjustRightInd w:val="0"/>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Posteriormente</w:t>
      </w:r>
      <w:r w:rsidR="00C46D5E" w:rsidRPr="007F2045">
        <w:rPr>
          <w:rFonts w:ascii="Times New Roman" w:hAnsi="Times New Roman"/>
          <w:sz w:val="28"/>
          <w:szCs w:val="28"/>
          <w:lang w:val="es-CO"/>
        </w:rPr>
        <w:t>,</w:t>
      </w:r>
      <w:r w:rsidRPr="007F2045">
        <w:rPr>
          <w:rFonts w:ascii="Times New Roman" w:hAnsi="Times New Roman"/>
          <w:sz w:val="28"/>
          <w:szCs w:val="28"/>
          <w:lang w:val="es-CO"/>
        </w:rPr>
        <w:t xml:space="preserve"> </w:t>
      </w:r>
      <w:r w:rsidR="00C46D5E" w:rsidRPr="007F2045">
        <w:rPr>
          <w:rFonts w:ascii="Times New Roman" w:hAnsi="Times New Roman"/>
          <w:sz w:val="28"/>
          <w:szCs w:val="28"/>
          <w:lang w:val="es-CO"/>
        </w:rPr>
        <w:t>este Tribunal</w:t>
      </w:r>
      <w:r w:rsidR="00684A8D" w:rsidRPr="007F2045">
        <w:rPr>
          <w:rFonts w:ascii="Times New Roman" w:hAnsi="Times New Roman"/>
          <w:sz w:val="28"/>
          <w:szCs w:val="28"/>
          <w:lang w:val="es-CO"/>
        </w:rPr>
        <w:t xml:space="preserve"> </w:t>
      </w:r>
      <w:r w:rsidRPr="007F2045">
        <w:rPr>
          <w:rFonts w:ascii="Times New Roman" w:hAnsi="Times New Roman"/>
          <w:sz w:val="28"/>
          <w:szCs w:val="28"/>
          <w:lang w:val="es-CO"/>
        </w:rPr>
        <w:t xml:space="preserve">presentará las razones por las cuales </w:t>
      </w:r>
      <w:r w:rsidR="00684A8D" w:rsidRPr="007F2045">
        <w:rPr>
          <w:rFonts w:ascii="Times New Roman" w:hAnsi="Times New Roman"/>
          <w:sz w:val="28"/>
          <w:szCs w:val="28"/>
          <w:lang w:val="es-CO"/>
        </w:rPr>
        <w:t xml:space="preserve">la </w:t>
      </w:r>
      <w:r w:rsidRPr="007F2045">
        <w:rPr>
          <w:rFonts w:ascii="Times New Roman" w:hAnsi="Times New Roman"/>
          <w:sz w:val="28"/>
          <w:szCs w:val="28"/>
          <w:lang w:val="es-CO"/>
        </w:rPr>
        <w:t xml:space="preserve">facultad de suspensión </w:t>
      </w:r>
      <w:r w:rsidR="00684A8D" w:rsidRPr="007F2045">
        <w:rPr>
          <w:rFonts w:ascii="Times New Roman" w:hAnsi="Times New Roman"/>
          <w:sz w:val="28"/>
          <w:szCs w:val="28"/>
          <w:lang w:val="es-CO"/>
        </w:rPr>
        <w:t>provisional que</w:t>
      </w:r>
      <w:r w:rsidR="00D81CF4" w:rsidRPr="007F2045">
        <w:rPr>
          <w:rFonts w:ascii="Times New Roman" w:hAnsi="Times New Roman"/>
          <w:sz w:val="28"/>
          <w:szCs w:val="28"/>
          <w:lang w:val="es-CO"/>
        </w:rPr>
        <w:t xml:space="preserve"> se </w:t>
      </w:r>
      <w:r w:rsidR="00684A8D" w:rsidRPr="007F2045">
        <w:rPr>
          <w:rFonts w:ascii="Times New Roman" w:hAnsi="Times New Roman"/>
          <w:sz w:val="28"/>
          <w:szCs w:val="28"/>
          <w:lang w:val="es-CO"/>
        </w:rPr>
        <w:t xml:space="preserve">declaró inexequible en la </w:t>
      </w:r>
      <w:r w:rsidR="00D65DF0" w:rsidRPr="007F2045">
        <w:rPr>
          <w:rFonts w:ascii="Times New Roman" w:hAnsi="Times New Roman"/>
          <w:sz w:val="28"/>
          <w:szCs w:val="28"/>
          <w:lang w:val="es-CO"/>
        </w:rPr>
        <w:t>s</w:t>
      </w:r>
      <w:r w:rsidR="00684A8D" w:rsidRPr="007F2045">
        <w:rPr>
          <w:rFonts w:ascii="Times New Roman" w:hAnsi="Times New Roman"/>
          <w:sz w:val="28"/>
          <w:szCs w:val="28"/>
          <w:lang w:val="es-CO"/>
        </w:rPr>
        <w:t>entencia C-179 de 1994</w:t>
      </w:r>
      <w:r w:rsidR="00D81CF4" w:rsidRPr="007F2045">
        <w:rPr>
          <w:rFonts w:ascii="Times New Roman" w:hAnsi="Times New Roman"/>
          <w:sz w:val="28"/>
          <w:szCs w:val="28"/>
          <w:lang w:val="es-CO"/>
        </w:rPr>
        <w:t>,</w:t>
      </w:r>
      <w:r w:rsidR="00684A8D" w:rsidRPr="007F2045">
        <w:rPr>
          <w:rFonts w:ascii="Times New Roman" w:hAnsi="Times New Roman"/>
          <w:sz w:val="28"/>
          <w:szCs w:val="28"/>
          <w:lang w:val="es-CO"/>
        </w:rPr>
        <w:t xml:space="preserve"> respecto de los decretos de desarrollo</w:t>
      </w:r>
      <w:r w:rsidR="00D81CF4" w:rsidRPr="007F2045">
        <w:rPr>
          <w:rFonts w:ascii="Times New Roman" w:hAnsi="Times New Roman"/>
          <w:sz w:val="28"/>
          <w:szCs w:val="28"/>
          <w:lang w:val="es-CO"/>
        </w:rPr>
        <w:t>,</w:t>
      </w:r>
      <w:r w:rsidR="00684A8D" w:rsidRPr="007F2045">
        <w:rPr>
          <w:rFonts w:ascii="Times New Roman" w:hAnsi="Times New Roman"/>
          <w:sz w:val="28"/>
          <w:szCs w:val="28"/>
          <w:lang w:val="es-CO"/>
        </w:rPr>
        <w:t xml:space="preserve"> </w:t>
      </w:r>
      <w:r w:rsidRPr="007F2045">
        <w:rPr>
          <w:rFonts w:ascii="Times New Roman" w:hAnsi="Times New Roman"/>
          <w:sz w:val="28"/>
          <w:szCs w:val="28"/>
          <w:lang w:val="es-CO"/>
        </w:rPr>
        <w:t xml:space="preserve">es diferente a la identificada </w:t>
      </w:r>
      <w:r w:rsidR="00684A8D" w:rsidRPr="007F2045">
        <w:rPr>
          <w:rFonts w:ascii="Times New Roman" w:hAnsi="Times New Roman"/>
          <w:sz w:val="28"/>
          <w:szCs w:val="28"/>
          <w:lang w:val="es-CO"/>
        </w:rPr>
        <w:t xml:space="preserve">en el </w:t>
      </w:r>
      <w:r w:rsidR="00D65DF0" w:rsidRPr="007F2045">
        <w:rPr>
          <w:rFonts w:ascii="Times New Roman" w:hAnsi="Times New Roman"/>
          <w:sz w:val="28"/>
          <w:szCs w:val="28"/>
          <w:lang w:val="es-CO"/>
        </w:rPr>
        <w:t>a</w:t>
      </w:r>
      <w:r w:rsidR="00684A8D" w:rsidRPr="007F2045">
        <w:rPr>
          <w:rFonts w:ascii="Times New Roman" w:hAnsi="Times New Roman"/>
          <w:sz w:val="28"/>
          <w:szCs w:val="28"/>
          <w:lang w:val="es-CO"/>
        </w:rPr>
        <w:t>uto 272 de 2023</w:t>
      </w:r>
      <w:r w:rsidRPr="007F2045">
        <w:rPr>
          <w:rFonts w:ascii="Times New Roman" w:hAnsi="Times New Roman"/>
          <w:sz w:val="28"/>
          <w:szCs w:val="28"/>
          <w:lang w:val="es-CO"/>
        </w:rPr>
        <w:t xml:space="preserve"> y, en consecuencia,</w:t>
      </w:r>
      <w:r w:rsidR="007D0DA2" w:rsidRPr="007F2045">
        <w:rPr>
          <w:rFonts w:ascii="Times New Roman" w:hAnsi="Times New Roman"/>
          <w:sz w:val="28"/>
          <w:szCs w:val="28"/>
          <w:lang w:val="es-CO"/>
        </w:rPr>
        <w:t xml:space="preserve"> </w:t>
      </w:r>
      <w:r w:rsidRPr="007F2045">
        <w:rPr>
          <w:rFonts w:ascii="Times New Roman" w:hAnsi="Times New Roman"/>
          <w:sz w:val="28"/>
          <w:szCs w:val="28"/>
          <w:lang w:val="es-CO"/>
        </w:rPr>
        <w:t xml:space="preserve">es </w:t>
      </w:r>
      <w:r w:rsidR="009E09C3" w:rsidRPr="007F2045">
        <w:rPr>
          <w:rFonts w:ascii="Times New Roman" w:hAnsi="Times New Roman"/>
          <w:sz w:val="28"/>
          <w:szCs w:val="28"/>
          <w:lang w:val="es-CO"/>
        </w:rPr>
        <w:t xml:space="preserve">una figura </w:t>
      </w:r>
      <w:r w:rsidRPr="007F2045">
        <w:rPr>
          <w:rFonts w:ascii="Times New Roman" w:hAnsi="Times New Roman"/>
          <w:sz w:val="28"/>
          <w:szCs w:val="28"/>
          <w:lang w:val="es-CO"/>
        </w:rPr>
        <w:t xml:space="preserve">también aplicable a </w:t>
      </w:r>
      <w:r w:rsidR="007B1807" w:rsidRPr="007F2045">
        <w:rPr>
          <w:rFonts w:ascii="Times New Roman" w:hAnsi="Times New Roman"/>
          <w:sz w:val="28"/>
          <w:szCs w:val="28"/>
          <w:lang w:val="es-CO"/>
        </w:rPr>
        <w:t>tales</w:t>
      </w:r>
      <w:r w:rsidRPr="007F2045">
        <w:rPr>
          <w:rFonts w:ascii="Times New Roman" w:hAnsi="Times New Roman"/>
          <w:sz w:val="28"/>
          <w:szCs w:val="28"/>
          <w:lang w:val="es-CO"/>
        </w:rPr>
        <w:t xml:space="preserve"> decretos </w:t>
      </w:r>
      <w:r w:rsidR="008C06D1" w:rsidRPr="007F2045">
        <w:rPr>
          <w:rFonts w:ascii="Times New Roman" w:hAnsi="Times New Roman"/>
          <w:sz w:val="28"/>
          <w:szCs w:val="28"/>
          <w:lang w:val="es-CO"/>
        </w:rPr>
        <w:t>(</w:t>
      </w:r>
      <w:r w:rsidR="008C06D1" w:rsidRPr="007F2045">
        <w:rPr>
          <w:rFonts w:ascii="Times New Roman" w:hAnsi="Times New Roman"/>
          <w:b/>
          <w:bCs/>
          <w:sz w:val="28"/>
          <w:szCs w:val="28"/>
          <w:lang w:val="es-CO"/>
        </w:rPr>
        <w:t xml:space="preserve">sección </w:t>
      </w:r>
      <w:r w:rsidR="00093333" w:rsidRPr="007F2045">
        <w:rPr>
          <w:rFonts w:ascii="Times New Roman" w:hAnsi="Times New Roman"/>
          <w:b/>
          <w:bCs/>
          <w:sz w:val="28"/>
          <w:szCs w:val="28"/>
          <w:lang w:val="es-CO"/>
        </w:rPr>
        <w:t>4</w:t>
      </w:r>
      <w:r w:rsidR="008C06D1" w:rsidRPr="007F2045">
        <w:rPr>
          <w:rFonts w:ascii="Times New Roman" w:hAnsi="Times New Roman"/>
          <w:b/>
          <w:bCs/>
          <w:sz w:val="28"/>
          <w:szCs w:val="28"/>
          <w:lang w:val="es-CO"/>
        </w:rPr>
        <w:t>.3</w:t>
      </w:r>
      <w:r w:rsidR="008C06D1" w:rsidRPr="007F2045">
        <w:rPr>
          <w:rFonts w:ascii="Times New Roman" w:hAnsi="Times New Roman"/>
          <w:sz w:val="28"/>
          <w:szCs w:val="28"/>
          <w:lang w:val="es-CO"/>
        </w:rPr>
        <w:t>)</w:t>
      </w:r>
      <w:r w:rsidR="00684A8D" w:rsidRPr="007F2045">
        <w:rPr>
          <w:rFonts w:ascii="Times New Roman" w:hAnsi="Times New Roman"/>
          <w:sz w:val="28"/>
          <w:szCs w:val="28"/>
          <w:lang w:val="es-CO"/>
        </w:rPr>
        <w:t>.</w:t>
      </w:r>
    </w:p>
    <w:p w14:paraId="684D7D45" w14:textId="77777777" w:rsidR="00684A8D" w:rsidRPr="007F2045" w:rsidRDefault="00684A8D" w:rsidP="001B5728">
      <w:pPr>
        <w:spacing w:after="0" w:line="240" w:lineRule="auto"/>
        <w:rPr>
          <w:rFonts w:ascii="Times New Roman" w:hAnsi="Times New Roman"/>
          <w:sz w:val="28"/>
          <w:szCs w:val="28"/>
          <w:lang w:val="es-CO"/>
        </w:rPr>
      </w:pPr>
    </w:p>
    <w:p w14:paraId="7FCBA2D1" w14:textId="77777777" w:rsidR="005B7E4B" w:rsidRPr="007F2045" w:rsidRDefault="00860192" w:rsidP="001B5728">
      <w:pPr>
        <w:pStyle w:val="Subttulo"/>
        <w:numPr>
          <w:ilvl w:val="0"/>
          <w:numId w:val="0"/>
        </w:numPr>
        <w:tabs>
          <w:tab w:val="left" w:pos="1276"/>
        </w:tabs>
        <w:ind w:left="1276" w:hanging="567"/>
        <w:rPr>
          <w:lang w:val="es-CO"/>
        </w:rPr>
      </w:pPr>
      <w:r w:rsidRPr="007F2045">
        <w:rPr>
          <w:lang w:val="es-CO"/>
        </w:rPr>
        <w:t>4.1.</w:t>
      </w:r>
      <w:r w:rsidRPr="007F2045">
        <w:rPr>
          <w:lang w:val="es-CO"/>
        </w:rPr>
        <w:tab/>
      </w:r>
      <w:r w:rsidR="00684A8D" w:rsidRPr="007F2045">
        <w:rPr>
          <w:lang w:val="es-CO"/>
        </w:rPr>
        <w:t>La cosa juzgada: definición, elementos y efectos</w:t>
      </w:r>
    </w:p>
    <w:p w14:paraId="42323B90" w14:textId="77777777" w:rsidR="00684A8D" w:rsidRPr="007F2045" w:rsidRDefault="00684A8D" w:rsidP="001B5728">
      <w:pPr>
        <w:pStyle w:val="Prrafodelista"/>
        <w:tabs>
          <w:tab w:val="left" w:pos="284"/>
        </w:tabs>
        <w:spacing w:after="0" w:line="240" w:lineRule="auto"/>
        <w:ind w:left="0"/>
        <w:rPr>
          <w:rFonts w:ascii="Times New Roman" w:hAnsi="Times New Roman"/>
          <w:sz w:val="28"/>
          <w:szCs w:val="28"/>
          <w:lang w:val="es-CO"/>
        </w:rPr>
      </w:pPr>
    </w:p>
    <w:p w14:paraId="1C23E519" w14:textId="77777777" w:rsidR="00980F4B" w:rsidRPr="007F2045" w:rsidRDefault="00684A8D"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El artículo 243 de la Constitución </w:t>
      </w:r>
      <w:r w:rsidR="005F1FDC" w:rsidRPr="007F2045">
        <w:rPr>
          <w:rFonts w:ascii="Times New Roman" w:hAnsi="Times New Roman"/>
          <w:sz w:val="28"/>
          <w:szCs w:val="28"/>
          <w:lang w:val="es-CO"/>
        </w:rPr>
        <w:t>señala</w:t>
      </w:r>
      <w:r w:rsidRPr="007F2045">
        <w:rPr>
          <w:rFonts w:ascii="Times New Roman" w:hAnsi="Times New Roman"/>
          <w:sz w:val="28"/>
          <w:szCs w:val="28"/>
          <w:lang w:val="es-CO"/>
        </w:rPr>
        <w:t xml:space="preserve"> que las decisiones adoptadas por la Corte hacen tránsito a cosa juzgada constitucional. </w:t>
      </w:r>
      <w:r w:rsidR="005F1FDC" w:rsidRPr="007F2045">
        <w:rPr>
          <w:rFonts w:ascii="Times New Roman" w:hAnsi="Times New Roman"/>
          <w:sz w:val="28"/>
          <w:szCs w:val="28"/>
          <w:lang w:val="es-CO"/>
        </w:rPr>
        <w:t>Este Tribunal</w:t>
      </w:r>
      <w:r w:rsidR="00AA64F4" w:rsidRPr="007F2045">
        <w:rPr>
          <w:rFonts w:ascii="Times New Roman" w:hAnsi="Times New Roman"/>
          <w:sz w:val="28"/>
          <w:szCs w:val="28"/>
          <w:lang w:val="es-CO"/>
        </w:rPr>
        <w:t xml:space="preserve"> ha precisado</w:t>
      </w:r>
      <w:r w:rsidR="005F1FDC" w:rsidRPr="007F2045">
        <w:rPr>
          <w:rFonts w:ascii="Times New Roman" w:hAnsi="Times New Roman"/>
          <w:sz w:val="28"/>
          <w:szCs w:val="28"/>
          <w:lang w:val="es-CO"/>
        </w:rPr>
        <w:t xml:space="preserve"> que</w:t>
      </w:r>
      <w:r w:rsidR="00AA64F4" w:rsidRPr="007F2045">
        <w:rPr>
          <w:rFonts w:ascii="Times New Roman" w:hAnsi="Times New Roman"/>
          <w:sz w:val="28"/>
          <w:szCs w:val="28"/>
          <w:lang w:val="es-CO"/>
        </w:rPr>
        <w:t xml:space="preserve">, a la luz de este artículo constitucional, la cosa juzgada es una “institución jurídico procesal” </w:t>
      </w:r>
      <w:r w:rsidR="00AA64F4" w:rsidRPr="007F2045">
        <w:rPr>
          <w:rFonts w:ascii="Times New Roman" w:hAnsi="Times New Roman"/>
          <w:sz w:val="28"/>
          <w:szCs w:val="28"/>
          <w:shd w:val="clear" w:color="auto" w:fill="FFFFFF"/>
          <w:lang w:val="es-CO"/>
        </w:rPr>
        <w:t>que “</w:t>
      </w:r>
      <w:r w:rsidRPr="007F2045">
        <w:rPr>
          <w:rFonts w:ascii="Times New Roman" w:hAnsi="Times New Roman"/>
          <w:sz w:val="28"/>
          <w:szCs w:val="28"/>
          <w:shd w:val="clear" w:color="auto" w:fill="FFFFFF"/>
          <w:lang w:val="es-CO"/>
        </w:rPr>
        <w:t>otorga a las decisiones plasmadas en una sentencia de constitucionalidad, el carácter de inmutables, vinculantes y definitivas (…)”</w:t>
      </w:r>
      <w:r w:rsidRPr="007F2045">
        <w:rPr>
          <w:rFonts w:ascii="Times New Roman" w:hAnsi="Times New Roman"/>
          <w:szCs w:val="28"/>
          <w:shd w:val="clear" w:color="auto" w:fill="FFFFFF"/>
          <w:vertAlign w:val="superscript"/>
          <w:lang w:val="es-CO"/>
        </w:rPr>
        <w:footnoteReference w:id="29"/>
      </w:r>
      <w:r w:rsidRPr="007F2045">
        <w:rPr>
          <w:rFonts w:ascii="Times New Roman" w:hAnsi="Times New Roman"/>
          <w:sz w:val="28"/>
          <w:szCs w:val="28"/>
          <w:shd w:val="clear" w:color="auto" w:fill="FFFFFF"/>
          <w:lang w:val="es-CO"/>
        </w:rPr>
        <w:t>.</w:t>
      </w:r>
    </w:p>
    <w:p w14:paraId="2818A522" w14:textId="77777777" w:rsidR="00980F4B" w:rsidRPr="007F2045" w:rsidRDefault="00980F4B" w:rsidP="001B5728">
      <w:pPr>
        <w:pStyle w:val="Prrafodelista"/>
        <w:tabs>
          <w:tab w:val="left" w:pos="284"/>
          <w:tab w:val="left" w:pos="426"/>
        </w:tabs>
        <w:spacing w:after="0" w:line="240" w:lineRule="auto"/>
        <w:ind w:left="0"/>
        <w:rPr>
          <w:rFonts w:ascii="Times New Roman" w:hAnsi="Times New Roman"/>
          <w:sz w:val="28"/>
          <w:szCs w:val="28"/>
          <w:lang w:val="es-CO"/>
        </w:rPr>
      </w:pPr>
    </w:p>
    <w:p w14:paraId="5483D3E7" w14:textId="77777777" w:rsidR="00980F4B" w:rsidRPr="007F2045" w:rsidRDefault="00980F4B"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eastAsia="MS Mincho" w:hAnsi="Times New Roman"/>
          <w:color w:val="000000"/>
          <w:sz w:val="28"/>
          <w:szCs w:val="28"/>
          <w:lang w:val="es-CO" w:eastAsia="es-MX"/>
        </w:rPr>
        <w:t xml:space="preserve">Para </w:t>
      </w:r>
      <w:r w:rsidR="003A3B9A" w:rsidRPr="007F2045">
        <w:rPr>
          <w:rFonts w:ascii="Times New Roman" w:eastAsia="MS Mincho" w:hAnsi="Times New Roman"/>
          <w:color w:val="000000"/>
          <w:sz w:val="28"/>
          <w:szCs w:val="28"/>
          <w:lang w:val="es-CO" w:eastAsia="es-MX"/>
        </w:rPr>
        <w:t>esta Corporación</w:t>
      </w:r>
      <w:r w:rsidR="00D81CF4" w:rsidRPr="007F2045">
        <w:rPr>
          <w:rFonts w:ascii="Times New Roman" w:eastAsia="MS Mincho" w:hAnsi="Times New Roman"/>
          <w:color w:val="000000"/>
          <w:sz w:val="28"/>
          <w:szCs w:val="28"/>
          <w:lang w:val="es-CO" w:eastAsia="es-MX"/>
        </w:rPr>
        <w:t>,</w:t>
      </w:r>
      <w:r w:rsidRPr="007F2045">
        <w:rPr>
          <w:rFonts w:ascii="Times New Roman" w:eastAsia="MS Mincho" w:hAnsi="Times New Roman"/>
          <w:color w:val="000000"/>
          <w:sz w:val="28"/>
          <w:szCs w:val="28"/>
          <w:lang w:val="es-CO" w:eastAsia="es-MX"/>
        </w:rPr>
        <w:t xml:space="preserve"> la </w:t>
      </w:r>
      <w:r w:rsidR="00D81CF4" w:rsidRPr="007F2045">
        <w:rPr>
          <w:rFonts w:ascii="Times New Roman" w:eastAsia="MS Mincho" w:hAnsi="Times New Roman"/>
          <w:color w:val="000000"/>
          <w:sz w:val="28"/>
          <w:szCs w:val="28"/>
          <w:lang w:val="es-CO" w:eastAsia="es-MX"/>
        </w:rPr>
        <w:t xml:space="preserve">citada </w:t>
      </w:r>
      <w:r w:rsidRPr="007F2045">
        <w:rPr>
          <w:rFonts w:ascii="Times New Roman" w:eastAsia="MS Mincho" w:hAnsi="Times New Roman"/>
          <w:color w:val="000000"/>
          <w:sz w:val="28"/>
          <w:szCs w:val="28"/>
          <w:lang w:val="es-CO" w:eastAsia="es-MX"/>
        </w:rPr>
        <w:t>figura se fundamenta en cuatro razones</w:t>
      </w:r>
      <w:r w:rsidRPr="007F2045">
        <w:rPr>
          <w:rFonts w:ascii="Times New Roman" w:eastAsia="MS Mincho" w:hAnsi="Times New Roman"/>
          <w:color w:val="000000"/>
          <w:szCs w:val="28"/>
          <w:vertAlign w:val="superscript"/>
          <w:lang w:val="es-CO" w:eastAsia="es-MX"/>
        </w:rPr>
        <w:footnoteReference w:id="30"/>
      </w:r>
      <w:r w:rsidRPr="007F2045">
        <w:rPr>
          <w:rFonts w:ascii="Times New Roman" w:eastAsia="MS Mincho" w:hAnsi="Times New Roman"/>
          <w:color w:val="000000"/>
          <w:sz w:val="28"/>
          <w:szCs w:val="28"/>
          <w:lang w:val="es-CO" w:eastAsia="es-MX"/>
        </w:rPr>
        <w:t xml:space="preserve">: </w:t>
      </w:r>
      <w:r w:rsidRPr="007F2045">
        <w:rPr>
          <w:rFonts w:ascii="Times New Roman" w:eastAsia="MS Mincho" w:hAnsi="Times New Roman"/>
          <w:i/>
          <w:color w:val="000000"/>
          <w:sz w:val="28"/>
          <w:szCs w:val="28"/>
          <w:lang w:val="es-CO" w:eastAsia="es-MX"/>
        </w:rPr>
        <w:t>(i)</w:t>
      </w:r>
      <w:r w:rsidRPr="007F2045">
        <w:rPr>
          <w:rFonts w:ascii="Times New Roman" w:eastAsia="MS Mincho" w:hAnsi="Times New Roman"/>
          <w:color w:val="000000"/>
          <w:sz w:val="28"/>
          <w:szCs w:val="28"/>
          <w:lang w:val="es-CO" w:eastAsia="es-MX"/>
        </w:rPr>
        <w:t xml:space="preserve"> el principio de legalidad, el cual imprime estabilidad y confiabilidad a las reglas; </w:t>
      </w:r>
      <w:r w:rsidRPr="007F2045">
        <w:rPr>
          <w:rFonts w:ascii="Times New Roman" w:eastAsia="MS Mincho" w:hAnsi="Times New Roman"/>
          <w:i/>
          <w:color w:val="000000"/>
          <w:sz w:val="28"/>
          <w:szCs w:val="28"/>
          <w:lang w:val="es-CO" w:eastAsia="es-MX"/>
        </w:rPr>
        <w:t>(</w:t>
      </w:r>
      <w:proofErr w:type="spellStart"/>
      <w:r w:rsidRPr="007F2045">
        <w:rPr>
          <w:rFonts w:ascii="Times New Roman" w:eastAsia="MS Mincho" w:hAnsi="Times New Roman"/>
          <w:i/>
          <w:color w:val="000000"/>
          <w:sz w:val="28"/>
          <w:szCs w:val="28"/>
          <w:lang w:val="es-CO" w:eastAsia="es-MX"/>
        </w:rPr>
        <w:t>ii</w:t>
      </w:r>
      <w:proofErr w:type="spellEnd"/>
      <w:r w:rsidRPr="007F2045">
        <w:rPr>
          <w:rFonts w:ascii="Times New Roman" w:eastAsia="MS Mincho" w:hAnsi="Times New Roman"/>
          <w:i/>
          <w:color w:val="000000"/>
          <w:sz w:val="28"/>
          <w:szCs w:val="28"/>
          <w:lang w:val="es-CO" w:eastAsia="es-MX"/>
        </w:rPr>
        <w:t>)</w:t>
      </w:r>
      <w:r w:rsidRPr="007F2045">
        <w:rPr>
          <w:rFonts w:ascii="Times New Roman" w:eastAsia="MS Mincho" w:hAnsi="Times New Roman"/>
          <w:color w:val="000000"/>
          <w:sz w:val="28"/>
          <w:szCs w:val="28"/>
          <w:lang w:val="es-CO" w:eastAsia="es-MX"/>
        </w:rPr>
        <w:t xml:space="preserve"> la garantía de la buena fe</w:t>
      </w:r>
      <w:r w:rsidR="00D81CF4" w:rsidRPr="007F2045">
        <w:rPr>
          <w:rFonts w:ascii="Times New Roman" w:eastAsia="MS Mincho" w:hAnsi="Times New Roman"/>
          <w:color w:val="000000"/>
          <w:sz w:val="28"/>
          <w:szCs w:val="28"/>
          <w:lang w:val="es-CO" w:eastAsia="es-MX"/>
        </w:rPr>
        <w:t>,</w:t>
      </w:r>
      <w:r w:rsidRPr="007F2045">
        <w:rPr>
          <w:rFonts w:ascii="Times New Roman" w:eastAsia="MS Mincho" w:hAnsi="Times New Roman"/>
          <w:color w:val="000000"/>
          <w:sz w:val="28"/>
          <w:szCs w:val="28"/>
          <w:lang w:val="es-CO" w:eastAsia="es-MX"/>
        </w:rPr>
        <w:t xml:space="preserve"> que requiere asegurar la consistencia de las decisiones; </w:t>
      </w:r>
      <w:r w:rsidRPr="007F2045">
        <w:rPr>
          <w:rFonts w:ascii="Times New Roman" w:eastAsia="MS Mincho" w:hAnsi="Times New Roman"/>
          <w:i/>
          <w:color w:val="000000"/>
          <w:sz w:val="28"/>
          <w:szCs w:val="28"/>
          <w:lang w:val="es-CO" w:eastAsia="es-MX"/>
        </w:rPr>
        <w:t>(</w:t>
      </w:r>
      <w:proofErr w:type="spellStart"/>
      <w:r w:rsidRPr="007F2045">
        <w:rPr>
          <w:rFonts w:ascii="Times New Roman" w:eastAsia="MS Mincho" w:hAnsi="Times New Roman"/>
          <w:i/>
          <w:color w:val="000000"/>
          <w:sz w:val="28"/>
          <w:szCs w:val="28"/>
          <w:lang w:val="es-CO" w:eastAsia="es-MX"/>
        </w:rPr>
        <w:t>iii</w:t>
      </w:r>
      <w:proofErr w:type="spellEnd"/>
      <w:r w:rsidRPr="007F2045">
        <w:rPr>
          <w:rFonts w:ascii="Times New Roman" w:eastAsia="MS Mincho" w:hAnsi="Times New Roman"/>
          <w:i/>
          <w:color w:val="000000"/>
          <w:sz w:val="28"/>
          <w:szCs w:val="28"/>
          <w:lang w:val="es-CO" w:eastAsia="es-MX"/>
        </w:rPr>
        <w:t>)</w:t>
      </w:r>
      <w:r w:rsidRPr="007F2045">
        <w:rPr>
          <w:rFonts w:ascii="Times New Roman" w:eastAsia="MS Mincho" w:hAnsi="Times New Roman"/>
          <w:color w:val="000000"/>
          <w:sz w:val="28"/>
          <w:szCs w:val="28"/>
          <w:lang w:val="es-CO" w:eastAsia="es-MX"/>
        </w:rPr>
        <w:t xml:space="preserve"> el mandato de autonomía judicial, al prevenir que sea examinada de nuevo una materia que ya ha sido juzgada por el juez competente; </w:t>
      </w:r>
      <w:r w:rsidRPr="007F2045">
        <w:rPr>
          <w:rFonts w:ascii="Times New Roman" w:eastAsia="MS Mincho" w:hAnsi="Times New Roman"/>
          <w:color w:val="000000"/>
          <w:sz w:val="28"/>
          <w:szCs w:val="28"/>
          <w:lang w:val="es-CO" w:eastAsia="es-MX"/>
        </w:rPr>
        <w:lastRenderedPageBreak/>
        <w:t xml:space="preserve">y </w:t>
      </w:r>
      <w:r w:rsidRPr="007F2045">
        <w:rPr>
          <w:rFonts w:ascii="Times New Roman" w:eastAsia="MS Mincho" w:hAnsi="Times New Roman"/>
          <w:i/>
          <w:color w:val="000000"/>
          <w:sz w:val="28"/>
          <w:szCs w:val="28"/>
          <w:lang w:val="es-CO" w:eastAsia="es-MX"/>
        </w:rPr>
        <w:t>(</w:t>
      </w:r>
      <w:proofErr w:type="spellStart"/>
      <w:r w:rsidRPr="007F2045">
        <w:rPr>
          <w:rFonts w:ascii="Times New Roman" w:eastAsia="MS Mincho" w:hAnsi="Times New Roman"/>
          <w:i/>
          <w:color w:val="000000"/>
          <w:sz w:val="28"/>
          <w:szCs w:val="28"/>
          <w:lang w:val="es-CO" w:eastAsia="es-MX"/>
        </w:rPr>
        <w:t>iv</w:t>
      </w:r>
      <w:proofErr w:type="spellEnd"/>
      <w:r w:rsidRPr="007F2045">
        <w:rPr>
          <w:rFonts w:ascii="Times New Roman" w:eastAsia="MS Mincho" w:hAnsi="Times New Roman"/>
          <w:i/>
          <w:color w:val="000000"/>
          <w:sz w:val="28"/>
          <w:szCs w:val="28"/>
          <w:lang w:val="es-CO" w:eastAsia="es-MX"/>
        </w:rPr>
        <w:t>)</w:t>
      </w:r>
      <w:r w:rsidRPr="007F2045">
        <w:rPr>
          <w:rFonts w:ascii="Times New Roman" w:eastAsia="MS Mincho" w:hAnsi="Times New Roman"/>
          <w:color w:val="000000"/>
          <w:sz w:val="28"/>
          <w:szCs w:val="28"/>
          <w:lang w:val="es-CO" w:eastAsia="es-MX"/>
        </w:rPr>
        <w:t xml:space="preserve"> el deber de </w:t>
      </w:r>
      <w:r w:rsidR="00D81CF4" w:rsidRPr="007F2045">
        <w:rPr>
          <w:rFonts w:ascii="Times New Roman" w:eastAsia="MS Mincho" w:hAnsi="Times New Roman"/>
          <w:color w:val="000000"/>
          <w:sz w:val="28"/>
          <w:szCs w:val="28"/>
          <w:lang w:val="es-CO" w:eastAsia="es-MX"/>
        </w:rPr>
        <w:t xml:space="preserve">garantizar </w:t>
      </w:r>
      <w:r w:rsidRPr="007F2045">
        <w:rPr>
          <w:rFonts w:ascii="Times New Roman" w:eastAsia="MS Mincho" w:hAnsi="Times New Roman"/>
          <w:color w:val="000000"/>
          <w:sz w:val="28"/>
          <w:szCs w:val="28"/>
          <w:lang w:val="es-CO" w:eastAsia="es-MX"/>
        </w:rPr>
        <w:t>la supremacía constitucional, pues las decisiones de la Corte, en general, ponen fin al debate</w:t>
      </w:r>
      <w:r w:rsidR="00684A8D" w:rsidRPr="007F2045">
        <w:rPr>
          <w:rFonts w:ascii="Times New Roman" w:hAnsi="Times New Roman"/>
          <w:szCs w:val="28"/>
          <w:vertAlign w:val="superscript"/>
          <w:lang w:val="es-CO"/>
        </w:rPr>
        <w:footnoteReference w:id="31"/>
      </w:r>
      <w:r w:rsidR="00684A8D" w:rsidRPr="007F2045">
        <w:rPr>
          <w:rFonts w:ascii="Times New Roman" w:hAnsi="Times New Roman"/>
          <w:sz w:val="28"/>
          <w:szCs w:val="28"/>
          <w:lang w:val="es-CO"/>
        </w:rPr>
        <w:t xml:space="preserve">. </w:t>
      </w:r>
    </w:p>
    <w:p w14:paraId="60653ADA" w14:textId="77777777" w:rsidR="00980F4B" w:rsidRPr="007F2045" w:rsidRDefault="00980F4B" w:rsidP="001B5728">
      <w:pPr>
        <w:pStyle w:val="Prrafodelista"/>
        <w:spacing w:after="0" w:line="240" w:lineRule="auto"/>
        <w:rPr>
          <w:rFonts w:ascii="Times New Roman" w:hAnsi="Times New Roman"/>
          <w:sz w:val="28"/>
          <w:szCs w:val="28"/>
          <w:lang w:val="es-CO"/>
        </w:rPr>
      </w:pPr>
    </w:p>
    <w:p w14:paraId="268FB9A7" w14:textId="77777777" w:rsidR="00684A8D" w:rsidRPr="007F2045" w:rsidRDefault="00684A8D"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El respeto por la cosa juzgada constitucional exige una adecuada comprensión sobre su contenido y alcance, ya que para la integridad del ordenamiento </w:t>
      </w:r>
      <w:r w:rsidR="00D81CF4" w:rsidRPr="007F2045">
        <w:rPr>
          <w:rFonts w:ascii="Times New Roman" w:hAnsi="Times New Roman"/>
          <w:sz w:val="28"/>
          <w:szCs w:val="28"/>
          <w:lang w:val="es-CO"/>
        </w:rPr>
        <w:t xml:space="preserve">jurídico </w:t>
      </w:r>
      <w:r w:rsidRPr="007F2045">
        <w:rPr>
          <w:rFonts w:ascii="Times New Roman" w:hAnsi="Times New Roman"/>
          <w:sz w:val="28"/>
          <w:szCs w:val="28"/>
          <w:lang w:val="es-CO"/>
        </w:rPr>
        <w:t>resulta igual de perjudicial desconocerla que invocarla cuando no se configura. Por ello, la Corte se ha ocupado de identificar y definir los elementos constitutivos de la cosa juzgada, así</w:t>
      </w:r>
      <w:r w:rsidRPr="007F2045">
        <w:rPr>
          <w:rFonts w:ascii="Times New Roman" w:hAnsi="Times New Roman"/>
          <w:szCs w:val="28"/>
          <w:vertAlign w:val="superscript"/>
          <w:lang w:val="es-CO"/>
        </w:rPr>
        <w:footnoteReference w:id="32"/>
      </w:r>
      <w:r w:rsidRPr="007F2045">
        <w:rPr>
          <w:rFonts w:ascii="Times New Roman" w:hAnsi="Times New Roman"/>
          <w:sz w:val="28"/>
          <w:szCs w:val="28"/>
          <w:lang w:val="es-CO"/>
        </w:rPr>
        <w:t>:</w:t>
      </w:r>
    </w:p>
    <w:p w14:paraId="72D20A31" w14:textId="77777777" w:rsidR="00684A8D" w:rsidRPr="007F2045" w:rsidRDefault="00684A8D" w:rsidP="001B5728">
      <w:pPr>
        <w:spacing w:after="0" w:line="240" w:lineRule="auto"/>
        <w:rPr>
          <w:rFonts w:ascii="Times New Roman" w:hAnsi="Times New Roman"/>
          <w:sz w:val="28"/>
          <w:szCs w:val="28"/>
          <w:lang w:val="es-CO"/>
        </w:rPr>
      </w:pPr>
    </w:p>
    <w:tbl>
      <w:tblPr>
        <w:tblStyle w:val="Tablaconcuadrcula"/>
        <w:tblW w:w="0" w:type="auto"/>
        <w:tblLook w:val="04A0" w:firstRow="1" w:lastRow="0" w:firstColumn="1" w:lastColumn="0" w:noHBand="0" w:noVBand="1"/>
      </w:tblPr>
      <w:tblGrid>
        <w:gridCol w:w="3114"/>
        <w:gridCol w:w="5714"/>
      </w:tblGrid>
      <w:tr w:rsidR="001559F8" w:rsidRPr="007F2045" w14:paraId="153AC878" w14:textId="77777777" w:rsidTr="51BDF848">
        <w:tc>
          <w:tcPr>
            <w:tcW w:w="3114" w:type="dxa"/>
            <w:shd w:val="clear" w:color="auto" w:fill="E7E6E6" w:themeFill="background2"/>
          </w:tcPr>
          <w:p w14:paraId="7EDDE16C" w14:textId="77777777" w:rsidR="00684A8D" w:rsidRPr="007F2045" w:rsidRDefault="00684A8D" w:rsidP="001B5728">
            <w:pPr>
              <w:spacing w:line="240" w:lineRule="auto"/>
              <w:jc w:val="center"/>
              <w:rPr>
                <w:rFonts w:ascii="Times New Roman" w:hAnsi="Times New Roman"/>
                <w:b/>
                <w:bCs/>
                <w:lang w:val="es-CO"/>
              </w:rPr>
            </w:pPr>
            <w:r w:rsidRPr="007F2045">
              <w:rPr>
                <w:rFonts w:ascii="Times New Roman" w:hAnsi="Times New Roman"/>
                <w:b/>
                <w:bCs/>
                <w:lang w:val="es-CO"/>
              </w:rPr>
              <w:t>Elemento</w:t>
            </w:r>
          </w:p>
        </w:tc>
        <w:tc>
          <w:tcPr>
            <w:tcW w:w="5714" w:type="dxa"/>
            <w:shd w:val="clear" w:color="auto" w:fill="E7E6E6" w:themeFill="background2"/>
          </w:tcPr>
          <w:p w14:paraId="211DF488" w14:textId="77777777" w:rsidR="00684A8D" w:rsidRPr="007F2045" w:rsidRDefault="00684A8D" w:rsidP="001B5728">
            <w:pPr>
              <w:spacing w:line="240" w:lineRule="auto"/>
              <w:jc w:val="center"/>
              <w:rPr>
                <w:rFonts w:ascii="Times New Roman" w:hAnsi="Times New Roman"/>
                <w:b/>
                <w:bCs/>
                <w:lang w:val="es-CO"/>
              </w:rPr>
            </w:pPr>
            <w:r w:rsidRPr="007F2045">
              <w:rPr>
                <w:rFonts w:ascii="Times New Roman" w:hAnsi="Times New Roman"/>
                <w:b/>
                <w:bCs/>
                <w:lang w:val="es-CO"/>
              </w:rPr>
              <w:t>Contenido</w:t>
            </w:r>
          </w:p>
        </w:tc>
      </w:tr>
      <w:tr w:rsidR="001559F8" w:rsidRPr="007F2045" w14:paraId="490A9230" w14:textId="77777777" w:rsidTr="00585C24">
        <w:tc>
          <w:tcPr>
            <w:tcW w:w="3114" w:type="dxa"/>
            <w:vAlign w:val="center"/>
          </w:tcPr>
          <w:p w14:paraId="0B296CE1" w14:textId="77777777" w:rsidR="00684A8D" w:rsidRPr="007F2045" w:rsidRDefault="00684A8D" w:rsidP="001B5728">
            <w:pPr>
              <w:spacing w:line="240" w:lineRule="auto"/>
              <w:jc w:val="center"/>
              <w:rPr>
                <w:rFonts w:ascii="Times New Roman" w:hAnsi="Times New Roman"/>
                <w:lang w:val="es-CO"/>
              </w:rPr>
            </w:pPr>
            <w:r w:rsidRPr="007F2045">
              <w:rPr>
                <w:rFonts w:ascii="Times New Roman" w:hAnsi="Times New Roman"/>
                <w:lang w:val="es-CO"/>
              </w:rPr>
              <w:t>Identidad de objeto</w:t>
            </w:r>
          </w:p>
        </w:tc>
        <w:tc>
          <w:tcPr>
            <w:tcW w:w="5714" w:type="dxa"/>
            <w:vAlign w:val="center"/>
          </w:tcPr>
          <w:p w14:paraId="4F429994" w14:textId="77777777" w:rsidR="00AA64F4" w:rsidRPr="007F2045" w:rsidRDefault="00684A8D" w:rsidP="001B5728">
            <w:pPr>
              <w:spacing w:line="240" w:lineRule="auto"/>
              <w:jc w:val="center"/>
              <w:rPr>
                <w:rFonts w:ascii="Times New Roman" w:hAnsi="Times New Roman"/>
                <w:lang w:val="es-CO"/>
              </w:rPr>
            </w:pPr>
            <w:r w:rsidRPr="007F2045">
              <w:rPr>
                <w:rFonts w:ascii="Times New Roman" w:hAnsi="Times New Roman"/>
                <w:lang w:val="es-CO"/>
              </w:rPr>
              <w:t xml:space="preserve">La sentencia previa </w:t>
            </w:r>
            <w:r w:rsidR="009F7897" w:rsidRPr="007F2045">
              <w:rPr>
                <w:rFonts w:ascii="Times New Roman" w:hAnsi="Times New Roman"/>
                <w:lang w:val="es-CO"/>
              </w:rPr>
              <w:t xml:space="preserve">ha debido </w:t>
            </w:r>
            <w:r w:rsidRPr="007F2045">
              <w:rPr>
                <w:rFonts w:ascii="Times New Roman" w:hAnsi="Times New Roman"/>
                <w:lang w:val="es-CO"/>
              </w:rPr>
              <w:t>examin</w:t>
            </w:r>
            <w:r w:rsidR="009F7897" w:rsidRPr="007F2045">
              <w:rPr>
                <w:rFonts w:ascii="Times New Roman" w:hAnsi="Times New Roman"/>
                <w:lang w:val="es-CO"/>
              </w:rPr>
              <w:t>ar</w:t>
            </w:r>
            <w:r w:rsidRPr="007F2045">
              <w:rPr>
                <w:rFonts w:ascii="Times New Roman" w:hAnsi="Times New Roman"/>
                <w:lang w:val="es-CO"/>
              </w:rPr>
              <w:t xml:space="preserve"> la misma disposición que </w:t>
            </w:r>
            <w:r w:rsidR="009F7897" w:rsidRPr="007F2045">
              <w:rPr>
                <w:rFonts w:ascii="Times New Roman" w:hAnsi="Times New Roman"/>
                <w:lang w:val="es-CO"/>
              </w:rPr>
              <w:t xml:space="preserve">en el presente </w:t>
            </w:r>
            <w:r w:rsidRPr="007F2045">
              <w:rPr>
                <w:rFonts w:ascii="Times New Roman" w:hAnsi="Times New Roman"/>
                <w:lang w:val="es-CO"/>
              </w:rPr>
              <w:t xml:space="preserve">se demanda (cosa juzgada formal), o una disposición distinta, pero con el mismo contenido normativo </w:t>
            </w:r>
            <w:r w:rsidR="009F7897" w:rsidRPr="007F2045">
              <w:rPr>
                <w:rFonts w:ascii="Times New Roman" w:hAnsi="Times New Roman"/>
                <w:lang w:val="es-CO"/>
              </w:rPr>
              <w:t xml:space="preserve">–norma– </w:t>
            </w:r>
            <w:r w:rsidRPr="007F2045">
              <w:rPr>
                <w:rFonts w:ascii="Times New Roman" w:hAnsi="Times New Roman"/>
                <w:lang w:val="es-CO"/>
              </w:rPr>
              <w:t>de la que se cuestiona (cosa juzgada material)</w:t>
            </w:r>
            <w:r w:rsidRPr="007F2045">
              <w:rPr>
                <w:rFonts w:ascii="Times New Roman" w:hAnsi="Times New Roman"/>
                <w:vertAlign w:val="superscript"/>
                <w:lang w:val="es-CO"/>
              </w:rPr>
              <w:footnoteReference w:id="33"/>
            </w:r>
            <w:r w:rsidRPr="007F2045">
              <w:rPr>
                <w:rFonts w:ascii="Times New Roman" w:hAnsi="Times New Roman"/>
                <w:lang w:val="es-CO"/>
              </w:rPr>
              <w:t>.</w:t>
            </w:r>
          </w:p>
        </w:tc>
      </w:tr>
      <w:tr w:rsidR="001559F8" w:rsidRPr="007F2045" w14:paraId="1B0CD672" w14:textId="77777777" w:rsidTr="00585C24">
        <w:tc>
          <w:tcPr>
            <w:tcW w:w="3114" w:type="dxa"/>
            <w:vAlign w:val="center"/>
          </w:tcPr>
          <w:p w14:paraId="359729F5" w14:textId="77777777" w:rsidR="00684A8D" w:rsidRPr="007F2045" w:rsidRDefault="00684A8D" w:rsidP="001B5728">
            <w:pPr>
              <w:spacing w:line="240" w:lineRule="auto"/>
              <w:jc w:val="center"/>
              <w:rPr>
                <w:rFonts w:ascii="Times New Roman" w:hAnsi="Times New Roman"/>
                <w:lang w:val="es-CO"/>
              </w:rPr>
            </w:pPr>
            <w:r w:rsidRPr="007F2045">
              <w:rPr>
                <w:rFonts w:ascii="Times New Roman" w:hAnsi="Times New Roman"/>
                <w:lang w:val="es-CO"/>
              </w:rPr>
              <w:t>Identidad de causa</w:t>
            </w:r>
          </w:p>
        </w:tc>
        <w:tc>
          <w:tcPr>
            <w:tcW w:w="5714" w:type="dxa"/>
            <w:vAlign w:val="center"/>
          </w:tcPr>
          <w:p w14:paraId="033172C6" w14:textId="77777777" w:rsidR="00AA64F4" w:rsidRPr="007F2045" w:rsidRDefault="00684A8D" w:rsidP="001B5728">
            <w:pPr>
              <w:spacing w:line="240" w:lineRule="auto"/>
              <w:jc w:val="center"/>
              <w:rPr>
                <w:rFonts w:ascii="Times New Roman" w:hAnsi="Times New Roman"/>
                <w:lang w:val="es-CO"/>
              </w:rPr>
            </w:pPr>
            <w:r w:rsidRPr="007F2045">
              <w:rPr>
                <w:rFonts w:ascii="Times New Roman" w:hAnsi="Times New Roman"/>
                <w:lang w:val="es-CO"/>
              </w:rPr>
              <w:t xml:space="preserve">La demanda se sustenta en cargos </w:t>
            </w:r>
            <w:r w:rsidR="009F7897" w:rsidRPr="007F2045">
              <w:rPr>
                <w:rFonts w:ascii="Times New Roman" w:hAnsi="Times New Roman"/>
                <w:lang w:val="es-CO"/>
              </w:rPr>
              <w:t xml:space="preserve">análogos a aquellos </w:t>
            </w:r>
            <w:r w:rsidRPr="007F2045">
              <w:rPr>
                <w:rFonts w:ascii="Times New Roman" w:hAnsi="Times New Roman"/>
                <w:lang w:val="es-CO"/>
              </w:rPr>
              <w:t>que fueron examinados por la Corte en la sentencia previa.</w:t>
            </w:r>
          </w:p>
        </w:tc>
      </w:tr>
      <w:tr w:rsidR="001559F8" w:rsidRPr="007F2045" w14:paraId="7CCF6635" w14:textId="77777777" w:rsidTr="00585C24">
        <w:tc>
          <w:tcPr>
            <w:tcW w:w="3114" w:type="dxa"/>
            <w:vAlign w:val="center"/>
          </w:tcPr>
          <w:p w14:paraId="568B95F4" w14:textId="77777777" w:rsidR="00684A8D" w:rsidRPr="007F2045" w:rsidRDefault="00684A8D" w:rsidP="001B5728">
            <w:pPr>
              <w:spacing w:line="240" w:lineRule="auto"/>
              <w:jc w:val="center"/>
              <w:rPr>
                <w:rFonts w:ascii="Times New Roman" w:hAnsi="Times New Roman"/>
                <w:lang w:val="es-CO"/>
              </w:rPr>
            </w:pPr>
            <w:r w:rsidRPr="007F2045">
              <w:rPr>
                <w:rFonts w:ascii="Times New Roman" w:hAnsi="Times New Roman"/>
                <w:lang w:val="es-CO"/>
              </w:rPr>
              <w:t>Subsistencia del parámetro de control de constitucionalidad</w:t>
            </w:r>
          </w:p>
        </w:tc>
        <w:tc>
          <w:tcPr>
            <w:tcW w:w="5714" w:type="dxa"/>
            <w:vAlign w:val="center"/>
          </w:tcPr>
          <w:p w14:paraId="44048782" w14:textId="77777777" w:rsidR="00684A8D" w:rsidRPr="007F2045" w:rsidRDefault="00D81CF4" w:rsidP="001B5728">
            <w:pPr>
              <w:spacing w:line="240" w:lineRule="auto"/>
              <w:jc w:val="center"/>
              <w:rPr>
                <w:rFonts w:ascii="Times New Roman" w:hAnsi="Times New Roman"/>
                <w:lang w:val="es-CO"/>
              </w:rPr>
            </w:pPr>
            <w:r w:rsidRPr="007F2045">
              <w:rPr>
                <w:rFonts w:ascii="Times New Roman" w:hAnsi="Times New Roman"/>
                <w:lang w:val="es-CO"/>
              </w:rPr>
              <w:t xml:space="preserve">No ha sido modificada la </w:t>
            </w:r>
            <w:r w:rsidR="00684A8D" w:rsidRPr="007F2045">
              <w:rPr>
                <w:rFonts w:ascii="Times New Roman" w:hAnsi="Times New Roman"/>
                <w:lang w:val="es-CO"/>
              </w:rPr>
              <w:t>norma superior que sirvió como parámetro de control en la sentencia previa.</w:t>
            </w:r>
          </w:p>
        </w:tc>
      </w:tr>
    </w:tbl>
    <w:p w14:paraId="3B90F33E" w14:textId="77777777" w:rsidR="00684A8D" w:rsidRPr="007F2045" w:rsidRDefault="00684A8D" w:rsidP="001B5728">
      <w:pPr>
        <w:spacing w:after="0" w:line="240" w:lineRule="auto"/>
        <w:rPr>
          <w:rFonts w:ascii="Times New Roman" w:hAnsi="Times New Roman"/>
          <w:sz w:val="28"/>
          <w:szCs w:val="28"/>
          <w:lang w:val="es-CO"/>
        </w:rPr>
      </w:pPr>
    </w:p>
    <w:p w14:paraId="42D07242" w14:textId="77777777" w:rsidR="009F4E52" w:rsidRPr="007F2045" w:rsidRDefault="00684A8D" w:rsidP="00210C8D">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Conforme </w:t>
      </w:r>
      <w:r w:rsidR="00D65DF0" w:rsidRPr="007F2045">
        <w:rPr>
          <w:rFonts w:ascii="Times New Roman" w:hAnsi="Times New Roman"/>
          <w:sz w:val="28"/>
          <w:szCs w:val="28"/>
          <w:lang w:val="es-CO"/>
        </w:rPr>
        <w:t>con</w:t>
      </w:r>
      <w:r w:rsidRPr="007F2045">
        <w:rPr>
          <w:rFonts w:ascii="Times New Roman" w:hAnsi="Times New Roman"/>
          <w:sz w:val="28"/>
          <w:szCs w:val="28"/>
          <w:lang w:val="es-CO"/>
        </w:rPr>
        <w:t xml:space="preserve"> lo indicado, si alguno de estos elementos no se </w:t>
      </w:r>
      <w:r w:rsidR="00D81CF4" w:rsidRPr="007F2045">
        <w:rPr>
          <w:rFonts w:ascii="Times New Roman" w:hAnsi="Times New Roman"/>
          <w:sz w:val="28"/>
          <w:szCs w:val="28"/>
          <w:lang w:val="es-CO"/>
        </w:rPr>
        <w:t>acredita</w:t>
      </w:r>
      <w:r w:rsidRPr="007F2045">
        <w:rPr>
          <w:rFonts w:ascii="Times New Roman" w:hAnsi="Times New Roman"/>
          <w:sz w:val="28"/>
          <w:szCs w:val="28"/>
          <w:lang w:val="es-CO"/>
        </w:rPr>
        <w:t xml:space="preserve">, la sentencia previa no surte el efecto de cosa juzgada frente a la materia </w:t>
      </w:r>
      <w:r w:rsidR="009F7897" w:rsidRPr="007F2045">
        <w:rPr>
          <w:rFonts w:ascii="Times New Roman" w:hAnsi="Times New Roman"/>
          <w:sz w:val="28"/>
          <w:szCs w:val="28"/>
          <w:lang w:val="es-CO"/>
        </w:rPr>
        <w:t>que</w:t>
      </w:r>
      <w:r w:rsidR="009D1DC1" w:rsidRPr="007F2045">
        <w:rPr>
          <w:rFonts w:ascii="Times New Roman" w:hAnsi="Times New Roman"/>
          <w:sz w:val="28"/>
          <w:szCs w:val="28"/>
          <w:lang w:val="es-CO"/>
        </w:rPr>
        <w:t>, en el nuevo caso,</w:t>
      </w:r>
      <w:r w:rsidR="009F7897" w:rsidRPr="007F2045">
        <w:rPr>
          <w:rFonts w:ascii="Times New Roman" w:hAnsi="Times New Roman"/>
          <w:sz w:val="28"/>
          <w:szCs w:val="28"/>
          <w:lang w:val="es-CO"/>
        </w:rPr>
        <w:t xml:space="preserve"> </w:t>
      </w:r>
      <w:r w:rsidR="009D1DC1" w:rsidRPr="007F2045">
        <w:rPr>
          <w:rFonts w:ascii="Times New Roman" w:hAnsi="Times New Roman"/>
          <w:sz w:val="28"/>
          <w:szCs w:val="28"/>
          <w:lang w:val="es-CO"/>
        </w:rPr>
        <w:t xml:space="preserve">habrá de </w:t>
      </w:r>
      <w:r w:rsidRPr="007F2045">
        <w:rPr>
          <w:rFonts w:ascii="Times New Roman" w:hAnsi="Times New Roman"/>
          <w:sz w:val="28"/>
          <w:szCs w:val="28"/>
          <w:lang w:val="es-CO"/>
        </w:rPr>
        <w:t>ocupa</w:t>
      </w:r>
      <w:r w:rsidR="009D1DC1" w:rsidRPr="007F2045">
        <w:rPr>
          <w:rFonts w:ascii="Times New Roman" w:hAnsi="Times New Roman"/>
          <w:sz w:val="28"/>
          <w:szCs w:val="28"/>
          <w:lang w:val="es-CO"/>
        </w:rPr>
        <w:t>r</w:t>
      </w:r>
      <w:r w:rsidRPr="007F2045">
        <w:rPr>
          <w:rFonts w:ascii="Times New Roman" w:hAnsi="Times New Roman"/>
          <w:sz w:val="28"/>
          <w:szCs w:val="28"/>
          <w:lang w:val="es-CO"/>
        </w:rPr>
        <w:t xml:space="preserve"> la atención de la Corte</w:t>
      </w:r>
      <w:r w:rsidR="009F4E52" w:rsidRPr="007F2045">
        <w:rPr>
          <w:rFonts w:ascii="Times New Roman" w:hAnsi="Times New Roman"/>
          <w:sz w:val="28"/>
          <w:szCs w:val="28"/>
          <w:lang w:val="es-CO"/>
        </w:rPr>
        <w:t>. Cabe precisar que, en aquellos casos en los cuales la decisión previa de la Sala Plena ha consistido en declarar la inexequibilidad, la existencia de cosa juzgada únicamente requerirá valorar la identidad del objeto de control y la subsistencia de la disposición constitucional que, por razones de fondo, originó dicha decisión.</w:t>
      </w:r>
    </w:p>
    <w:p w14:paraId="51BC148F" w14:textId="77777777" w:rsidR="009F4E52" w:rsidRPr="007F2045" w:rsidRDefault="009F4E52" w:rsidP="009F4E52">
      <w:pPr>
        <w:pStyle w:val="Prrafodelista"/>
        <w:tabs>
          <w:tab w:val="left" w:pos="284"/>
          <w:tab w:val="left" w:pos="426"/>
        </w:tabs>
        <w:spacing w:after="0" w:line="240" w:lineRule="auto"/>
        <w:ind w:left="0"/>
        <w:rPr>
          <w:rFonts w:ascii="Times New Roman" w:hAnsi="Times New Roman"/>
          <w:sz w:val="28"/>
          <w:szCs w:val="28"/>
          <w:lang w:val="es-CO"/>
        </w:rPr>
      </w:pPr>
    </w:p>
    <w:p w14:paraId="376D8FD6" w14:textId="77777777" w:rsidR="00684A8D" w:rsidRPr="007F2045" w:rsidRDefault="00684A8D"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Es importante </w:t>
      </w:r>
      <w:r w:rsidR="00CE30B8" w:rsidRPr="007F2045">
        <w:rPr>
          <w:rFonts w:ascii="Times New Roman" w:hAnsi="Times New Roman"/>
          <w:sz w:val="28"/>
          <w:szCs w:val="28"/>
          <w:lang w:val="es-CO"/>
        </w:rPr>
        <w:t>aclarar</w:t>
      </w:r>
      <w:r w:rsidRPr="007F2045">
        <w:rPr>
          <w:rFonts w:ascii="Times New Roman" w:hAnsi="Times New Roman"/>
          <w:sz w:val="28"/>
          <w:szCs w:val="28"/>
          <w:lang w:val="es-CO"/>
        </w:rPr>
        <w:t xml:space="preserve"> que el alcance y los efectos de la cosa juzgada pueden variar en función del objeto de control o de la amplitud del pronunciamiento previamente adoptado. Al margen de las múltiples distinciones establecidas en </w:t>
      </w:r>
      <w:r w:rsidR="00D81CF4" w:rsidRPr="007F2045">
        <w:rPr>
          <w:rFonts w:ascii="Times New Roman" w:hAnsi="Times New Roman"/>
          <w:sz w:val="28"/>
          <w:szCs w:val="28"/>
          <w:lang w:val="es-CO"/>
        </w:rPr>
        <w:t xml:space="preserve">la </w:t>
      </w:r>
      <w:r w:rsidRPr="007F2045">
        <w:rPr>
          <w:rFonts w:ascii="Times New Roman" w:hAnsi="Times New Roman"/>
          <w:sz w:val="28"/>
          <w:szCs w:val="28"/>
          <w:lang w:val="es-CO"/>
        </w:rPr>
        <w:t>jurisprudencia</w:t>
      </w:r>
      <w:r w:rsidR="009463ED" w:rsidRPr="007F2045">
        <w:rPr>
          <w:rFonts w:ascii="Times New Roman" w:hAnsi="Times New Roman"/>
          <w:sz w:val="28"/>
          <w:szCs w:val="28"/>
          <w:lang w:val="es-CO"/>
        </w:rPr>
        <w:t>,</w:t>
      </w:r>
      <w:r w:rsidRPr="007F2045">
        <w:rPr>
          <w:rFonts w:ascii="Times New Roman" w:hAnsi="Times New Roman"/>
          <w:sz w:val="28"/>
          <w:szCs w:val="28"/>
          <w:lang w:val="es-CO"/>
        </w:rPr>
        <w:t xml:space="preserve"> en </w:t>
      </w:r>
      <w:r w:rsidR="00AA64F4" w:rsidRPr="007F2045">
        <w:rPr>
          <w:rFonts w:ascii="Times New Roman" w:hAnsi="Times New Roman"/>
          <w:sz w:val="28"/>
          <w:szCs w:val="28"/>
          <w:lang w:val="es-CO"/>
        </w:rPr>
        <w:t xml:space="preserve">los </w:t>
      </w:r>
      <w:r w:rsidRPr="007F2045">
        <w:rPr>
          <w:rFonts w:ascii="Times New Roman" w:hAnsi="Times New Roman"/>
          <w:sz w:val="28"/>
          <w:szCs w:val="28"/>
          <w:lang w:val="es-CO"/>
        </w:rPr>
        <w:t xml:space="preserve">casos en los cuales el pronunciamiento previo ha sido el resultado del ejercicio de una competencia de control de constitucionalidad automático e </w:t>
      </w:r>
      <w:r w:rsidR="00AA64F4" w:rsidRPr="007F2045">
        <w:rPr>
          <w:rFonts w:ascii="Times New Roman" w:hAnsi="Times New Roman"/>
          <w:sz w:val="28"/>
          <w:szCs w:val="28"/>
          <w:lang w:val="es-CO"/>
        </w:rPr>
        <w:t>integral</w:t>
      </w:r>
      <w:r w:rsidRPr="007F2045">
        <w:rPr>
          <w:rFonts w:ascii="Times New Roman" w:hAnsi="Times New Roman"/>
          <w:sz w:val="28"/>
          <w:szCs w:val="28"/>
          <w:lang w:val="es-CO"/>
        </w:rPr>
        <w:t xml:space="preserve">, </w:t>
      </w:r>
      <w:r w:rsidR="00A65DBD" w:rsidRPr="007F2045">
        <w:rPr>
          <w:rFonts w:ascii="Times New Roman" w:hAnsi="Times New Roman"/>
          <w:sz w:val="28"/>
          <w:szCs w:val="28"/>
          <w:lang w:val="es-CO"/>
        </w:rPr>
        <w:t xml:space="preserve">esa decisión </w:t>
      </w:r>
      <w:r w:rsidRPr="007F2045">
        <w:rPr>
          <w:rFonts w:ascii="Times New Roman" w:hAnsi="Times New Roman"/>
          <w:sz w:val="28"/>
          <w:szCs w:val="28"/>
          <w:lang w:val="es-CO"/>
        </w:rPr>
        <w:t>hace tránsito a cosa juzgada constitucional absoluta</w:t>
      </w:r>
      <w:r w:rsidR="00AA64F4" w:rsidRPr="007F2045">
        <w:rPr>
          <w:rFonts w:ascii="Times New Roman" w:hAnsi="Times New Roman"/>
          <w:sz w:val="28"/>
          <w:szCs w:val="28"/>
          <w:lang w:val="es-CO"/>
        </w:rPr>
        <w:t>. E</w:t>
      </w:r>
      <w:r w:rsidRPr="007F2045">
        <w:rPr>
          <w:rFonts w:ascii="Times New Roman" w:hAnsi="Times New Roman"/>
          <w:sz w:val="28"/>
          <w:szCs w:val="28"/>
          <w:lang w:val="es-CO"/>
        </w:rPr>
        <w:t>n consecuencia, un</w:t>
      </w:r>
      <w:r w:rsidR="00A65DBD" w:rsidRPr="007F2045">
        <w:rPr>
          <w:rFonts w:ascii="Times New Roman" w:hAnsi="Times New Roman"/>
          <w:sz w:val="28"/>
          <w:szCs w:val="28"/>
          <w:lang w:val="es-CO"/>
        </w:rPr>
        <w:t>a</w:t>
      </w:r>
      <w:r w:rsidRPr="007F2045">
        <w:rPr>
          <w:rFonts w:ascii="Times New Roman" w:hAnsi="Times New Roman"/>
          <w:sz w:val="28"/>
          <w:szCs w:val="28"/>
          <w:lang w:val="es-CO"/>
        </w:rPr>
        <w:t xml:space="preserve"> nuev</w:t>
      </w:r>
      <w:r w:rsidR="00A65DBD" w:rsidRPr="007F2045">
        <w:rPr>
          <w:rFonts w:ascii="Times New Roman" w:hAnsi="Times New Roman"/>
          <w:sz w:val="28"/>
          <w:szCs w:val="28"/>
          <w:lang w:val="es-CO"/>
        </w:rPr>
        <w:t>a providencia</w:t>
      </w:r>
      <w:r w:rsidRPr="007F2045">
        <w:rPr>
          <w:rFonts w:ascii="Times New Roman" w:hAnsi="Times New Roman"/>
          <w:sz w:val="28"/>
          <w:szCs w:val="28"/>
          <w:lang w:val="es-CO"/>
        </w:rPr>
        <w:t xml:space="preserve"> solo </w:t>
      </w:r>
      <w:r w:rsidR="00AA64F4" w:rsidRPr="007F2045">
        <w:rPr>
          <w:rFonts w:ascii="Times New Roman" w:hAnsi="Times New Roman"/>
          <w:sz w:val="28"/>
          <w:szCs w:val="28"/>
          <w:lang w:val="es-CO"/>
        </w:rPr>
        <w:t>puede darse excepcionalmente</w:t>
      </w:r>
      <w:r w:rsidR="009F7897" w:rsidRPr="007F2045">
        <w:rPr>
          <w:rFonts w:ascii="Times New Roman" w:hAnsi="Times New Roman"/>
          <w:sz w:val="28"/>
          <w:szCs w:val="28"/>
          <w:lang w:val="es-CO"/>
        </w:rPr>
        <w:t xml:space="preserve">, </w:t>
      </w:r>
      <w:r w:rsidRPr="007F2045">
        <w:rPr>
          <w:rFonts w:ascii="Times New Roman" w:hAnsi="Times New Roman"/>
          <w:sz w:val="28"/>
          <w:szCs w:val="28"/>
          <w:lang w:val="es-CO"/>
        </w:rPr>
        <w:t xml:space="preserve">cuando se configura alguna de las hipótesis que hacen posible enervar </w:t>
      </w:r>
      <w:r w:rsidR="003A33DA" w:rsidRPr="007F2045">
        <w:rPr>
          <w:rFonts w:ascii="Times New Roman" w:hAnsi="Times New Roman"/>
          <w:sz w:val="28"/>
          <w:szCs w:val="28"/>
          <w:lang w:val="es-CO"/>
        </w:rPr>
        <w:t>sus efectos</w:t>
      </w:r>
      <w:r w:rsidRPr="007F2045">
        <w:rPr>
          <w:rFonts w:ascii="Times New Roman" w:hAnsi="Times New Roman"/>
          <w:sz w:val="28"/>
          <w:szCs w:val="28"/>
          <w:lang w:val="es-CO"/>
        </w:rPr>
        <w:t>.</w:t>
      </w:r>
    </w:p>
    <w:p w14:paraId="0133CF13" w14:textId="77777777" w:rsidR="00684A8D" w:rsidRPr="007F2045" w:rsidRDefault="00684A8D" w:rsidP="001B5728">
      <w:pPr>
        <w:pStyle w:val="Prrafodelista"/>
        <w:tabs>
          <w:tab w:val="left" w:pos="284"/>
          <w:tab w:val="left" w:pos="426"/>
        </w:tabs>
        <w:spacing w:after="0" w:line="240" w:lineRule="auto"/>
        <w:ind w:left="0"/>
        <w:rPr>
          <w:rFonts w:ascii="Times New Roman" w:hAnsi="Times New Roman"/>
          <w:sz w:val="28"/>
          <w:szCs w:val="28"/>
          <w:lang w:val="es-CO"/>
        </w:rPr>
      </w:pPr>
    </w:p>
    <w:p w14:paraId="3B9BC692" w14:textId="77777777" w:rsidR="00684A8D" w:rsidRPr="007F2045" w:rsidRDefault="00AA64F4"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De</w:t>
      </w:r>
      <w:r w:rsidR="00684A8D" w:rsidRPr="007F2045">
        <w:rPr>
          <w:rFonts w:ascii="Times New Roman" w:hAnsi="Times New Roman"/>
          <w:sz w:val="28"/>
          <w:szCs w:val="28"/>
          <w:lang w:val="es-CO"/>
        </w:rPr>
        <w:t xml:space="preserve"> acuerdo con la jurisprudencia constitucional</w:t>
      </w:r>
      <w:r w:rsidR="00D81CF4" w:rsidRPr="007F2045">
        <w:rPr>
          <w:rFonts w:ascii="Times New Roman" w:hAnsi="Times New Roman"/>
          <w:sz w:val="28"/>
          <w:szCs w:val="28"/>
          <w:lang w:val="es-CO"/>
        </w:rPr>
        <w:t>,</w:t>
      </w:r>
      <w:r w:rsidR="00684A8D" w:rsidRPr="007F2045">
        <w:rPr>
          <w:rFonts w:ascii="Times New Roman" w:hAnsi="Times New Roman"/>
          <w:sz w:val="28"/>
          <w:szCs w:val="28"/>
          <w:lang w:val="es-CO"/>
        </w:rPr>
        <w:t xml:space="preserve"> los efectos de la cosa juzgada constitucional son diversos</w:t>
      </w:r>
      <w:r w:rsidR="00D81CF4" w:rsidRPr="007F2045">
        <w:rPr>
          <w:rFonts w:ascii="Times New Roman" w:hAnsi="Times New Roman"/>
          <w:sz w:val="28"/>
          <w:szCs w:val="28"/>
          <w:lang w:val="es-CO"/>
        </w:rPr>
        <w:t>,</w:t>
      </w:r>
      <w:r w:rsidR="00684A8D" w:rsidRPr="007F2045">
        <w:rPr>
          <w:rFonts w:ascii="Times New Roman" w:hAnsi="Times New Roman"/>
          <w:sz w:val="28"/>
          <w:szCs w:val="28"/>
          <w:lang w:val="es-CO"/>
        </w:rPr>
        <w:t xml:space="preserve"> según </w:t>
      </w:r>
      <w:r w:rsidR="009F7897" w:rsidRPr="007F2045">
        <w:rPr>
          <w:rFonts w:ascii="Times New Roman" w:hAnsi="Times New Roman"/>
          <w:sz w:val="28"/>
          <w:szCs w:val="28"/>
          <w:lang w:val="es-CO"/>
        </w:rPr>
        <w:t xml:space="preserve">que </w:t>
      </w:r>
      <w:r w:rsidR="00684A8D" w:rsidRPr="007F2045">
        <w:rPr>
          <w:rFonts w:ascii="Times New Roman" w:hAnsi="Times New Roman"/>
          <w:sz w:val="28"/>
          <w:szCs w:val="28"/>
          <w:lang w:val="es-CO"/>
        </w:rPr>
        <w:t xml:space="preserve">la decisión inicial haya sido de </w:t>
      </w:r>
      <w:proofErr w:type="spellStart"/>
      <w:r w:rsidR="00684A8D" w:rsidRPr="007F2045">
        <w:rPr>
          <w:rFonts w:ascii="Times New Roman" w:hAnsi="Times New Roman"/>
          <w:sz w:val="28"/>
          <w:szCs w:val="28"/>
          <w:lang w:val="es-CO"/>
        </w:rPr>
        <w:t>exequibilidad</w:t>
      </w:r>
      <w:proofErr w:type="spellEnd"/>
      <w:r w:rsidR="00684A8D" w:rsidRPr="007F2045">
        <w:rPr>
          <w:rFonts w:ascii="Times New Roman" w:hAnsi="Times New Roman"/>
          <w:sz w:val="28"/>
          <w:szCs w:val="28"/>
          <w:lang w:val="es-CO"/>
        </w:rPr>
        <w:t xml:space="preserve"> o inexequibilidad. </w:t>
      </w:r>
      <w:r w:rsidR="009F7897" w:rsidRPr="007F2045">
        <w:rPr>
          <w:rFonts w:ascii="Times New Roman" w:hAnsi="Times New Roman"/>
          <w:sz w:val="28"/>
          <w:szCs w:val="28"/>
          <w:lang w:val="es-CO"/>
        </w:rPr>
        <w:t>R</w:t>
      </w:r>
      <w:r w:rsidR="00684A8D" w:rsidRPr="007F2045">
        <w:rPr>
          <w:rFonts w:ascii="Times New Roman" w:hAnsi="Times New Roman"/>
          <w:sz w:val="28"/>
          <w:szCs w:val="28"/>
          <w:lang w:val="es-CO"/>
        </w:rPr>
        <w:t>especto de este segundo evento</w:t>
      </w:r>
      <w:r w:rsidR="009F7897" w:rsidRPr="007F2045">
        <w:rPr>
          <w:rFonts w:ascii="Times New Roman" w:hAnsi="Times New Roman"/>
          <w:sz w:val="28"/>
          <w:szCs w:val="28"/>
          <w:lang w:val="es-CO"/>
        </w:rPr>
        <w:t>,</w:t>
      </w:r>
      <w:r w:rsidR="00684A8D" w:rsidRPr="007F2045">
        <w:rPr>
          <w:rFonts w:ascii="Times New Roman" w:hAnsi="Times New Roman"/>
          <w:sz w:val="28"/>
          <w:szCs w:val="28"/>
          <w:lang w:val="es-CO"/>
        </w:rPr>
        <w:t xml:space="preserve"> la Corte debe estarse a lo resuelto en la sentencia previa y, por lo tanto, declarar inexequible </w:t>
      </w:r>
      <w:r w:rsidR="00684A8D" w:rsidRPr="007F2045">
        <w:rPr>
          <w:rFonts w:ascii="Times New Roman" w:hAnsi="Times New Roman"/>
          <w:sz w:val="28"/>
          <w:szCs w:val="28"/>
          <w:lang w:val="es-CO"/>
        </w:rPr>
        <w:lastRenderedPageBreak/>
        <w:t xml:space="preserve">la nueva disposición </w:t>
      </w:r>
      <w:r w:rsidR="009F7897" w:rsidRPr="007F2045">
        <w:rPr>
          <w:rFonts w:ascii="Times New Roman" w:hAnsi="Times New Roman"/>
          <w:sz w:val="28"/>
          <w:szCs w:val="28"/>
          <w:lang w:val="es-CO"/>
        </w:rPr>
        <w:t xml:space="preserve">que se </w:t>
      </w:r>
      <w:r w:rsidR="00684A8D" w:rsidRPr="007F2045">
        <w:rPr>
          <w:rFonts w:ascii="Times New Roman" w:hAnsi="Times New Roman"/>
          <w:sz w:val="28"/>
          <w:szCs w:val="28"/>
          <w:lang w:val="es-CO"/>
        </w:rPr>
        <w:t xml:space="preserve">controla. Se trata de un límite que se desprende de lo </w:t>
      </w:r>
      <w:r w:rsidR="009F7897" w:rsidRPr="007F2045">
        <w:rPr>
          <w:rFonts w:ascii="Times New Roman" w:hAnsi="Times New Roman"/>
          <w:sz w:val="28"/>
          <w:szCs w:val="28"/>
          <w:lang w:val="es-CO"/>
        </w:rPr>
        <w:t xml:space="preserve">dispuesto </w:t>
      </w:r>
      <w:r w:rsidR="00684A8D" w:rsidRPr="007F2045">
        <w:rPr>
          <w:rFonts w:ascii="Times New Roman" w:hAnsi="Times New Roman"/>
          <w:sz w:val="28"/>
          <w:szCs w:val="28"/>
          <w:lang w:val="es-CO"/>
        </w:rPr>
        <w:t>en el artículo 243 de la Constitución</w:t>
      </w:r>
      <w:r w:rsidR="009D1DC1" w:rsidRPr="007F2045">
        <w:rPr>
          <w:rFonts w:ascii="Times New Roman" w:hAnsi="Times New Roman"/>
          <w:szCs w:val="28"/>
          <w:vertAlign w:val="superscript"/>
          <w:lang w:val="es-CO"/>
        </w:rPr>
        <w:footnoteReference w:id="34"/>
      </w:r>
      <w:r w:rsidR="005376C3" w:rsidRPr="007F2045">
        <w:rPr>
          <w:rFonts w:ascii="Times New Roman" w:hAnsi="Times New Roman"/>
          <w:sz w:val="28"/>
          <w:szCs w:val="28"/>
          <w:lang w:val="es-CO"/>
        </w:rPr>
        <w:t>.</w:t>
      </w:r>
    </w:p>
    <w:p w14:paraId="621DB17F" w14:textId="77777777" w:rsidR="00684A8D" w:rsidRPr="007F2045" w:rsidRDefault="00684A8D" w:rsidP="001B5728">
      <w:pPr>
        <w:spacing w:after="0" w:line="240" w:lineRule="auto"/>
        <w:rPr>
          <w:rFonts w:ascii="Times New Roman" w:hAnsi="Times New Roman"/>
          <w:b/>
          <w:sz w:val="28"/>
          <w:szCs w:val="28"/>
          <w:lang w:val="es-CO"/>
        </w:rPr>
      </w:pPr>
    </w:p>
    <w:p w14:paraId="282F2E01" w14:textId="77777777" w:rsidR="00684A8D" w:rsidRPr="007F2045" w:rsidRDefault="00244C0E" w:rsidP="001B5728">
      <w:pPr>
        <w:pStyle w:val="Subttulo"/>
        <w:numPr>
          <w:ilvl w:val="1"/>
          <w:numId w:val="26"/>
        </w:numPr>
        <w:tabs>
          <w:tab w:val="left" w:pos="1276"/>
        </w:tabs>
        <w:ind w:left="1276" w:hanging="567"/>
        <w:rPr>
          <w:lang w:val="es-CO"/>
        </w:rPr>
      </w:pPr>
      <w:r w:rsidRPr="007F2045">
        <w:rPr>
          <w:lang w:val="es-CO"/>
        </w:rPr>
        <w:t>La facultad de la Corte para suspender provisionalmente</w:t>
      </w:r>
      <w:r w:rsidR="00684A8D" w:rsidRPr="007F2045">
        <w:rPr>
          <w:lang w:val="es-CO"/>
        </w:rPr>
        <w:t xml:space="preserve"> los efectos del </w:t>
      </w:r>
      <w:r w:rsidR="00756FE3" w:rsidRPr="007F2045">
        <w:rPr>
          <w:lang w:val="es-CO"/>
        </w:rPr>
        <w:t>D</w:t>
      </w:r>
      <w:r w:rsidR="00684A8D" w:rsidRPr="007F2045">
        <w:rPr>
          <w:lang w:val="es-CO"/>
        </w:rPr>
        <w:t xml:space="preserve">ecreto </w:t>
      </w:r>
      <w:r w:rsidR="007B77FD" w:rsidRPr="007F2045">
        <w:rPr>
          <w:bCs/>
          <w:lang w:val="es-CO"/>
        </w:rPr>
        <w:t>1390 de 2025,</w:t>
      </w:r>
      <w:r w:rsidR="007B77FD" w:rsidRPr="007F2045">
        <w:rPr>
          <w:lang w:val="es-CO"/>
        </w:rPr>
        <w:t xml:space="preserve"> </w:t>
      </w:r>
      <w:r w:rsidR="00684A8D" w:rsidRPr="007F2045">
        <w:rPr>
          <w:lang w:val="es-CO"/>
        </w:rPr>
        <w:t xml:space="preserve">que declara </w:t>
      </w:r>
      <w:r w:rsidR="007B77FD" w:rsidRPr="007F2045">
        <w:rPr>
          <w:lang w:val="es-CO"/>
        </w:rPr>
        <w:t xml:space="preserve">un </w:t>
      </w:r>
      <w:r w:rsidR="00684A8D" w:rsidRPr="007F2045">
        <w:rPr>
          <w:lang w:val="es-CO"/>
        </w:rPr>
        <w:t>estado de emergencia económica</w:t>
      </w:r>
      <w:r w:rsidR="007B77FD" w:rsidRPr="007F2045">
        <w:rPr>
          <w:lang w:val="es-CO"/>
        </w:rPr>
        <w:t xml:space="preserve"> y</w:t>
      </w:r>
      <w:r w:rsidR="00684A8D" w:rsidRPr="007F2045">
        <w:rPr>
          <w:lang w:val="es-CO"/>
        </w:rPr>
        <w:t xml:space="preserve"> social</w:t>
      </w:r>
      <w:r w:rsidRPr="007F2045">
        <w:rPr>
          <w:lang w:val="es-CO"/>
        </w:rPr>
        <w:t>.</w:t>
      </w:r>
    </w:p>
    <w:p w14:paraId="3504A02D" w14:textId="77777777" w:rsidR="00684A8D" w:rsidRPr="007F2045" w:rsidRDefault="00684A8D" w:rsidP="001B5728">
      <w:pPr>
        <w:spacing w:after="0" w:line="240" w:lineRule="auto"/>
        <w:rPr>
          <w:rFonts w:ascii="Times New Roman" w:hAnsi="Times New Roman"/>
          <w:sz w:val="28"/>
          <w:szCs w:val="28"/>
          <w:lang w:val="es-CO"/>
        </w:rPr>
      </w:pPr>
    </w:p>
    <w:p w14:paraId="0D81A096" w14:textId="77777777" w:rsidR="00244C0E" w:rsidRPr="007F2045" w:rsidRDefault="00684A8D"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Según se indicó, la Corte debe </w:t>
      </w:r>
      <w:r w:rsidR="00244C0E" w:rsidRPr="007F2045">
        <w:rPr>
          <w:rFonts w:ascii="Times New Roman" w:hAnsi="Times New Roman"/>
          <w:sz w:val="28"/>
          <w:szCs w:val="28"/>
          <w:lang w:val="es-CO"/>
        </w:rPr>
        <w:t>determinar si es</w:t>
      </w:r>
      <w:r w:rsidRPr="007F2045">
        <w:rPr>
          <w:rFonts w:ascii="Times New Roman" w:hAnsi="Times New Roman"/>
          <w:sz w:val="28"/>
          <w:szCs w:val="28"/>
          <w:lang w:val="es-CO"/>
        </w:rPr>
        <w:t xml:space="preserve"> posible </w:t>
      </w:r>
      <w:r w:rsidR="00244C0E" w:rsidRPr="007F2045">
        <w:rPr>
          <w:rFonts w:ascii="Times New Roman" w:hAnsi="Times New Roman"/>
          <w:sz w:val="28"/>
          <w:szCs w:val="28"/>
          <w:lang w:val="es-CO"/>
        </w:rPr>
        <w:t>pronunciarse</w:t>
      </w:r>
      <w:r w:rsidRPr="007F2045">
        <w:rPr>
          <w:rFonts w:ascii="Times New Roman" w:hAnsi="Times New Roman"/>
          <w:sz w:val="28"/>
          <w:szCs w:val="28"/>
          <w:lang w:val="es-CO"/>
        </w:rPr>
        <w:t xml:space="preserve"> </w:t>
      </w:r>
      <w:r w:rsidR="00D81CF4" w:rsidRPr="007F2045">
        <w:rPr>
          <w:rFonts w:ascii="Times New Roman" w:hAnsi="Times New Roman"/>
          <w:sz w:val="28"/>
          <w:szCs w:val="28"/>
          <w:lang w:val="es-CO"/>
        </w:rPr>
        <w:t>sobre</w:t>
      </w:r>
      <w:r w:rsidRPr="007F2045">
        <w:rPr>
          <w:rFonts w:ascii="Times New Roman" w:hAnsi="Times New Roman"/>
          <w:sz w:val="28"/>
          <w:szCs w:val="28"/>
          <w:lang w:val="es-CO"/>
        </w:rPr>
        <w:t xml:space="preserve"> la suspensión provisional del Decreto 1390 de 2025</w:t>
      </w:r>
      <w:r w:rsidR="007B77FD" w:rsidRPr="007F2045">
        <w:rPr>
          <w:rFonts w:ascii="Times New Roman" w:hAnsi="Times New Roman"/>
          <w:sz w:val="28"/>
          <w:szCs w:val="28"/>
          <w:lang w:val="es-CO"/>
        </w:rPr>
        <w:t xml:space="preserve">, </w:t>
      </w:r>
      <w:r w:rsidR="00244C0E" w:rsidRPr="007F2045">
        <w:rPr>
          <w:rFonts w:ascii="Times New Roman" w:hAnsi="Times New Roman"/>
          <w:sz w:val="28"/>
          <w:szCs w:val="28"/>
          <w:lang w:val="es-CO"/>
        </w:rPr>
        <w:t xml:space="preserve">con base en </w:t>
      </w:r>
      <w:r w:rsidR="007B77FD" w:rsidRPr="007F2045">
        <w:rPr>
          <w:rFonts w:ascii="Times New Roman" w:hAnsi="Times New Roman"/>
          <w:sz w:val="28"/>
          <w:szCs w:val="28"/>
          <w:lang w:val="es-CO"/>
        </w:rPr>
        <w:t>los</w:t>
      </w:r>
      <w:r w:rsidR="00C75B71" w:rsidRPr="007F2045">
        <w:rPr>
          <w:rFonts w:ascii="Times New Roman" w:hAnsi="Times New Roman"/>
          <w:sz w:val="28"/>
          <w:szCs w:val="28"/>
          <w:lang w:val="es-CO"/>
        </w:rPr>
        <w:t xml:space="preserve"> requisitos </w:t>
      </w:r>
      <w:r w:rsidR="007B77FD" w:rsidRPr="007F2045">
        <w:rPr>
          <w:rFonts w:ascii="Times New Roman" w:hAnsi="Times New Roman"/>
          <w:sz w:val="28"/>
          <w:szCs w:val="28"/>
          <w:lang w:val="es-CO"/>
        </w:rPr>
        <w:t xml:space="preserve">contenidos </w:t>
      </w:r>
      <w:r w:rsidR="00C75B71" w:rsidRPr="007F2045">
        <w:rPr>
          <w:rFonts w:ascii="Times New Roman" w:hAnsi="Times New Roman"/>
          <w:sz w:val="28"/>
          <w:szCs w:val="28"/>
          <w:lang w:val="es-CO"/>
        </w:rPr>
        <w:t xml:space="preserve">en </w:t>
      </w:r>
      <w:r w:rsidRPr="007F2045">
        <w:rPr>
          <w:rFonts w:ascii="Times New Roman" w:hAnsi="Times New Roman"/>
          <w:sz w:val="28"/>
          <w:szCs w:val="28"/>
          <w:lang w:val="es-CO"/>
        </w:rPr>
        <w:t xml:space="preserve">el </w:t>
      </w:r>
      <w:r w:rsidR="00D65DF0" w:rsidRPr="007F2045">
        <w:rPr>
          <w:rFonts w:ascii="Times New Roman" w:hAnsi="Times New Roman"/>
          <w:sz w:val="28"/>
          <w:szCs w:val="28"/>
          <w:lang w:val="es-CO"/>
        </w:rPr>
        <w:t>a</w:t>
      </w:r>
      <w:r w:rsidRPr="007F2045">
        <w:rPr>
          <w:rFonts w:ascii="Times New Roman" w:hAnsi="Times New Roman"/>
          <w:sz w:val="28"/>
          <w:szCs w:val="28"/>
          <w:lang w:val="es-CO"/>
        </w:rPr>
        <w:t xml:space="preserve">uto 272 de 2023. Esta pregunta </w:t>
      </w:r>
      <w:r w:rsidR="00244C0E" w:rsidRPr="007F2045">
        <w:rPr>
          <w:rFonts w:ascii="Times New Roman" w:hAnsi="Times New Roman"/>
          <w:sz w:val="28"/>
          <w:szCs w:val="28"/>
          <w:lang w:val="es-CO"/>
        </w:rPr>
        <w:t>es especialmente</w:t>
      </w:r>
      <w:r w:rsidRPr="007F2045">
        <w:rPr>
          <w:rFonts w:ascii="Times New Roman" w:hAnsi="Times New Roman"/>
          <w:sz w:val="28"/>
          <w:szCs w:val="28"/>
          <w:lang w:val="es-CO"/>
        </w:rPr>
        <w:t xml:space="preserve"> </w:t>
      </w:r>
      <w:r w:rsidR="00244C0E" w:rsidRPr="007F2045">
        <w:rPr>
          <w:rFonts w:ascii="Times New Roman" w:hAnsi="Times New Roman"/>
          <w:sz w:val="28"/>
          <w:szCs w:val="28"/>
          <w:lang w:val="es-CO"/>
        </w:rPr>
        <w:t xml:space="preserve">relevante </w:t>
      </w:r>
      <w:r w:rsidRPr="007F2045">
        <w:rPr>
          <w:rFonts w:ascii="Times New Roman" w:hAnsi="Times New Roman"/>
          <w:sz w:val="28"/>
          <w:szCs w:val="28"/>
          <w:lang w:val="es-CO"/>
        </w:rPr>
        <w:t xml:space="preserve">por tres razones. </w:t>
      </w:r>
    </w:p>
    <w:p w14:paraId="40FA63D9" w14:textId="77777777" w:rsidR="00244C0E" w:rsidRPr="007F2045" w:rsidRDefault="00244C0E" w:rsidP="001B5728">
      <w:pPr>
        <w:pStyle w:val="Prrafodelista"/>
        <w:tabs>
          <w:tab w:val="left" w:pos="284"/>
          <w:tab w:val="left" w:pos="426"/>
        </w:tabs>
        <w:spacing w:after="0" w:line="240" w:lineRule="auto"/>
        <w:ind w:left="0"/>
        <w:rPr>
          <w:rFonts w:ascii="Times New Roman" w:hAnsi="Times New Roman"/>
          <w:sz w:val="28"/>
          <w:szCs w:val="28"/>
          <w:lang w:val="es-CO"/>
        </w:rPr>
      </w:pPr>
    </w:p>
    <w:p w14:paraId="60D54F00" w14:textId="77777777" w:rsidR="00244C0E" w:rsidRPr="007F2045" w:rsidRDefault="00684A8D"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i/>
          <w:iCs/>
          <w:sz w:val="28"/>
          <w:szCs w:val="28"/>
          <w:lang w:val="es-CO"/>
        </w:rPr>
        <w:t>Primer</w:t>
      </w:r>
      <w:r w:rsidR="00244C0E" w:rsidRPr="007F2045">
        <w:rPr>
          <w:rFonts w:ascii="Times New Roman" w:hAnsi="Times New Roman"/>
          <w:i/>
          <w:iCs/>
          <w:sz w:val="28"/>
          <w:szCs w:val="28"/>
          <w:lang w:val="es-CO"/>
        </w:rPr>
        <w:t>o</w:t>
      </w:r>
      <w:r w:rsidRPr="007F2045">
        <w:rPr>
          <w:rFonts w:ascii="Times New Roman" w:hAnsi="Times New Roman"/>
          <w:sz w:val="28"/>
          <w:szCs w:val="28"/>
          <w:lang w:val="es-CO"/>
        </w:rPr>
        <w:t xml:space="preserve">, </w:t>
      </w:r>
      <w:r w:rsidR="00244C0E" w:rsidRPr="007F2045">
        <w:rPr>
          <w:rFonts w:ascii="Times New Roman" w:hAnsi="Times New Roman"/>
          <w:sz w:val="28"/>
          <w:szCs w:val="28"/>
          <w:lang w:val="es-CO"/>
        </w:rPr>
        <w:t xml:space="preserve">porque </w:t>
      </w:r>
      <w:r w:rsidRPr="007F2045">
        <w:rPr>
          <w:rFonts w:ascii="Times New Roman" w:hAnsi="Times New Roman"/>
          <w:sz w:val="28"/>
          <w:szCs w:val="28"/>
          <w:lang w:val="es-CO"/>
        </w:rPr>
        <w:t>la sentencia C-179 de 1994 declaró la inconstitucionalidad parcial de cinco disposiciones que</w:t>
      </w:r>
      <w:r w:rsidR="00244C0E" w:rsidRPr="007F2045">
        <w:rPr>
          <w:rFonts w:ascii="Times New Roman" w:hAnsi="Times New Roman"/>
          <w:sz w:val="28"/>
          <w:szCs w:val="28"/>
          <w:lang w:val="es-CO"/>
        </w:rPr>
        <w:t xml:space="preserve">, </w:t>
      </w:r>
      <w:r w:rsidRPr="007F2045">
        <w:rPr>
          <w:rFonts w:ascii="Times New Roman" w:hAnsi="Times New Roman"/>
          <w:sz w:val="28"/>
          <w:szCs w:val="28"/>
          <w:lang w:val="es-CO"/>
        </w:rPr>
        <w:t>en el proyecto de ley entonces</w:t>
      </w:r>
      <w:r w:rsidR="00244C0E" w:rsidRPr="007F2045">
        <w:rPr>
          <w:rFonts w:ascii="Times New Roman" w:hAnsi="Times New Roman"/>
          <w:sz w:val="28"/>
          <w:szCs w:val="28"/>
          <w:lang w:val="es-CO"/>
        </w:rPr>
        <w:t xml:space="preserve"> examinado</w:t>
      </w:r>
      <w:r w:rsidRPr="007F2045">
        <w:rPr>
          <w:rFonts w:ascii="Times New Roman" w:hAnsi="Times New Roman"/>
          <w:sz w:val="28"/>
          <w:szCs w:val="28"/>
          <w:lang w:val="es-CO"/>
        </w:rPr>
        <w:t xml:space="preserve">, </w:t>
      </w:r>
      <w:r w:rsidR="00244C0E" w:rsidRPr="007F2045">
        <w:rPr>
          <w:rFonts w:ascii="Times New Roman" w:hAnsi="Times New Roman"/>
          <w:sz w:val="28"/>
          <w:szCs w:val="28"/>
          <w:lang w:val="es-CO"/>
        </w:rPr>
        <w:t xml:space="preserve">atribuían a la Corte </w:t>
      </w:r>
      <w:r w:rsidRPr="007F2045">
        <w:rPr>
          <w:rFonts w:ascii="Times New Roman" w:hAnsi="Times New Roman"/>
          <w:sz w:val="28"/>
          <w:szCs w:val="28"/>
          <w:lang w:val="es-CO"/>
        </w:rPr>
        <w:t xml:space="preserve">la competencia de suspensión provisional de las normas expedidas al amparo de los estados de excepción. </w:t>
      </w:r>
    </w:p>
    <w:p w14:paraId="7244A4AA" w14:textId="77777777" w:rsidR="00244C0E" w:rsidRPr="007F2045" w:rsidRDefault="00244C0E" w:rsidP="001B5728">
      <w:pPr>
        <w:pStyle w:val="Prrafodelista"/>
        <w:spacing w:after="0" w:line="240" w:lineRule="auto"/>
        <w:rPr>
          <w:rFonts w:ascii="Times New Roman" w:hAnsi="Times New Roman"/>
          <w:sz w:val="28"/>
          <w:szCs w:val="28"/>
          <w:lang w:val="es-CO"/>
        </w:rPr>
      </w:pPr>
    </w:p>
    <w:p w14:paraId="4E6DFCA7" w14:textId="77777777" w:rsidR="00244C0E" w:rsidRPr="007F2045" w:rsidRDefault="00684A8D"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i/>
          <w:iCs/>
          <w:sz w:val="28"/>
          <w:szCs w:val="28"/>
          <w:lang w:val="es-CO"/>
        </w:rPr>
        <w:t>Segund</w:t>
      </w:r>
      <w:r w:rsidR="00244C0E" w:rsidRPr="007F2045">
        <w:rPr>
          <w:rFonts w:ascii="Times New Roman" w:hAnsi="Times New Roman"/>
          <w:i/>
          <w:iCs/>
          <w:sz w:val="28"/>
          <w:szCs w:val="28"/>
          <w:lang w:val="es-CO"/>
        </w:rPr>
        <w:t>o</w:t>
      </w:r>
      <w:r w:rsidRPr="007F2045">
        <w:rPr>
          <w:rFonts w:ascii="Times New Roman" w:hAnsi="Times New Roman"/>
          <w:sz w:val="28"/>
          <w:szCs w:val="28"/>
          <w:lang w:val="es-CO"/>
        </w:rPr>
        <w:t xml:space="preserve">, </w:t>
      </w:r>
      <w:r w:rsidR="00244C0E" w:rsidRPr="007F2045">
        <w:rPr>
          <w:rFonts w:ascii="Times New Roman" w:hAnsi="Times New Roman"/>
          <w:sz w:val="28"/>
          <w:szCs w:val="28"/>
          <w:lang w:val="es-CO"/>
        </w:rPr>
        <w:t xml:space="preserve">porque el </w:t>
      </w:r>
      <w:r w:rsidR="00EA784D" w:rsidRPr="007F2045">
        <w:rPr>
          <w:rFonts w:ascii="Times New Roman" w:hAnsi="Times New Roman"/>
          <w:sz w:val="28"/>
          <w:szCs w:val="28"/>
          <w:lang w:val="es-CO"/>
        </w:rPr>
        <w:t>a</w:t>
      </w:r>
      <w:r w:rsidRPr="007F2045">
        <w:rPr>
          <w:rFonts w:ascii="Times New Roman" w:hAnsi="Times New Roman"/>
          <w:sz w:val="28"/>
          <w:szCs w:val="28"/>
          <w:lang w:val="es-CO"/>
        </w:rPr>
        <w:t xml:space="preserve">uto 272 de 2023 sugirió </w:t>
      </w:r>
      <w:r w:rsidR="00244C0E" w:rsidRPr="007F2045">
        <w:rPr>
          <w:rFonts w:ascii="Times New Roman" w:hAnsi="Times New Roman"/>
          <w:sz w:val="28"/>
          <w:szCs w:val="28"/>
          <w:lang w:val="es-CO"/>
        </w:rPr>
        <w:t>que</w:t>
      </w:r>
      <w:r w:rsidR="00A65DBD" w:rsidRPr="007F2045">
        <w:rPr>
          <w:rFonts w:ascii="Times New Roman" w:hAnsi="Times New Roman"/>
          <w:sz w:val="28"/>
          <w:szCs w:val="28"/>
          <w:lang w:val="es-CO"/>
        </w:rPr>
        <w:t xml:space="preserve"> hacía parte de</w:t>
      </w:r>
      <w:r w:rsidR="00244C0E" w:rsidRPr="007F2045">
        <w:rPr>
          <w:rFonts w:ascii="Times New Roman" w:hAnsi="Times New Roman"/>
          <w:sz w:val="28"/>
          <w:szCs w:val="28"/>
          <w:lang w:val="es-CO"/>
        </w:rPr>
        <w:t xml:space="preserve"> los</w:t>
      </w:r>
      <w:r w:rsidRPr="007F2045">
        <w:rPr>
          <w:rFonts w:ascii="Times New Roman" w:hAnsi="Times New Roman"/>
          <w:sz w:val="28"/>
          <w:szCs w:val="28"/>
          <w:lang w:val="es-CO"/>
        </w:rPr>
        <w:t xml:space="preserve"> límite</w:t>
      </w:r>
      <w:r w:rsidR="00244C0E" w:rsidRPr="007F2045">
        <w:rPr>
          <w:rFonts w:ascii="Times New Roman" w:hAnsi="Times New Roman"/>
          <w:sz w:val="28"/>
          <w:szCs w:val="28"/>
          <w:lang w:val="es-CO"/>
        </w:rPr>
        <w:t>s</w:t>
      </w:r>
      <w:r w:rsidRPr="007F2045">
        <w:rPr>
          <w:rFonts w:ascii="Times New Roman" w:hAnsi="Times New Roman"/>
          <w:sz w:val="28"/>
          <w:szCs w:val="28"/>
          <w:lang w:val="es-CO"/>
        </w:rPr>
        <w:t xml:space="preserve"> </w:t>
      </w:r>
      <w:r w:rsidR="00244C0E" w:rsidRPr="007F2045">
        <w:rPr>
          <w:rFonts w:ascii="Times New Roman" w:hAnsi="Times New Roman"/>
          <w:sz w:val="28"/>
          <w:szCs w:val="28"/>
          <w:lang w:val="es-CO"/>
        </w:rPr>
        <w:t xml:space="preserve">para decretar la suspensión provisional </w:t>
      </w:r>
      <w:r w:rsidRPr="007F2045">
        <w:rPr>
          <w:rFonts w:ascii="Times New Roman" w:hAnsi="Times New Roman"/>
          <w:sz w:val="28"/>
          <w:szCs w:val="28"/>
          <w:lang w:val="es-CO"/>
        </w:rPr>
        <w:t xml:space="preserve">“las consideraciones aplicables a los decretos legislativos, sustentadas en la cosa juzgada constitucional derivada de la Sentencia C-179 de 1994 (…)”. </w:t>
      </w:r>
    </w:p>
    <w:p w14:paraId="6C8265E9" w14:textId="77777777" w:rsidR="00244C0E" w:rsidRPr="007F2045" w:rsidRDefault="00244C0E" w:rsidP="001B5728">
      <w:pPr>
        <w:pStyle w:val="Prrafodelista"/>
        <w:spacing w:after="0" w:line="240" w:lineRule="auto"/>
        <w:rPr>
          <w:rFonts w:ascii="Times New Roman" w:hAnsi="Times New Roman"/>
          <w:sz w:val="28"/>
          <w:szCs w:val="28"/>
          <w:lang w:val="es-CO"/>
        </w:rPr>
      </w:pPr>
    </w:p>
    <w:p w14:paraId="618C9447" w14:textId="77777777" w:rsidR="00684A8D" w:rsidRPr="007F2045" w:rsidRDefault="00684A8D"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i/>
          <w:iCs/>
          <w:sz w:val="28"/>
          <w:szCs w:val="28"/>
          <w:lang w:val="es-CO"/>
        </w:rPr>
        <w:t>Tercer</w:t>
      </w:r>
      <w:r w:rsidR="005A5DD8" w:rsidRPr="007F2045">
        <w:rPr>
          <w:rFonts w:ascii="Times New Roman" w:hAnsi="Times New Roman"/>
          <w:i/>
          <w:iCs/>
          <w:sz w:val="28"/>
          <w:szCs w:val="28"/>
          <w:lang w:val="es-CO"/>
        </w:rPr>
        <w:t>o</w:t>
      </w:r>
      <w:r w:rsidRPr="007F2045">
        <w:rPr>
          <w:rFonts w:ascii="Times New Roman" w:hAnsi="Times New Roman"/>
          <w:sz w:val="28"/>
          <w:szCs w:val="28"/>
          <w:lang w:val="es-CO"/>
        </w:rPr>
        <w:t xml:space="preserve">, </w:t>
      </w:r>
      <w:r w:rsidR="00244C0E" w:rsidRPr="007F2045">
        <w:rPr>
          <w:rFonts w:ascii="Times New Roman" w:hAnsi="Times New Roman"/>
          <w:sz w:val="28"/>
          <w:szCs w:val="28"/>
          <w:lang w:val="es-CO"/>
        </w:rPr>
        <w:t xml:space="preserve">porque, como </w:t>
      </w:r>
      <w:r w:rsidR="005A5DD8" w:rsidRPr="007F2045">
        <w:rPr>
          <w:rFonts w:ascii="Times New Roman" w:hAnsi="Times New Roman"/>
          <w:sz w:val="28"/>
          <w:szCs w:val="28"/>
          <w:lang w:val="es-CO"/>
        </w:rPr>
        <w:t xml:space="preserve">ya </w:t>
      </w:r>
      <w:r w:rsidR="00244C0E" w:rsidRPr="007F2045">
        <w:rPr>
          <w:rFonts w:ascii="Times New Roman" w:hAnsi="Times New Roman"/>
          <w:sz w:val="28"/>
          <w:szCs w:val="28"/>
          <w:lang w:val="es-CO"/>
        </w:rPr>
        <w:t xml:space="preserve">se explicó, </w:t>
      </w:r>
      <w:r w:rsidRPr="007F2045">
        <w:rPr>
          <w:rFonts w:ascii="Times New Roman" w:hAnsi="Times New Roman"/>
          <w:sz w:val="28"/>
          <w:szCs w:val="28"/>
          <w:lang w:val="es-CO"/>
        </w:rPr>
        <w:t>existen diferentes pronunciamientos de la Sala Plena que han negado la posibilidad de decretar la suspensión provisional de los efectos de decretos expedidos en desarrollo de las facultades establecidas en los artículos 213, 214 y 215 de la Constitución</w:t>
      </w:r>
      <w:r w:rsidR="00E51598" w:rsidRPr="007F2045">
        <w:rPr>
          <w:rFonts w:ascii="Times New Roman" w:hAnsi="Times New Roman"/>
          <w:szCs w:val="28"/>
          <w:vertAlign w:val="superscript"/>
          <w:lang w:val="es-CO"/>
        </w:rPr>
        <w:footnoteReference w:id="35"/>
      </w:r>
      <w:r w:rsidRPr="007F2045">
        <w:rPr>
          <w:rFonts w:ascii="Times New Roman" w:hAnsi="Times New Roman"/>
          <w:sz w:val="28"/>
          <w:szCs w:val="28"/>
          <w:lang w:val="es-CO"/>
        </w:rPr>
        <w:t>.</w:t>
      </w:r>
    </w:p>
    <w:p w14:paraId="692152B7" w14:textId="77777777" w:rsidR="00E253E9" w:rsidRPr="007F2045" w:rsidRDefault="00E253E9" w:rsidP="001B5728">
      <w:pPr>
        <w:pStyle w:val="Prrafodelista"/>
        <w:tabs>
          <w:tab w:val="left" w:pos="284"/>
          <w:tab w:val="left" w:pos="426"/>
        </w:tabs>
        <w:spacing w:after="0" w:line="240" w:lineRule="auto"/>
        <w:ind w:left="0"/>
        <w:rPr>
          <w:rFonts w:ascii="Times New Roman" w:hAnsi="Times New Roman"/>
          <w:sz w:val="28"/>
          <w:szCs w:val="28"/>
          <w:lang w:val="es-CO"/>
        </w:rPr>
      </w:pPr>
    </w:p>
    <w:p w14:paraId="3E6F180A" w14:textId="77777777" w:rsidR="00684A8D" w:rsidRPr="007F2045" w:rsidRDefault="00684A8D"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Conforme </w:t>
      </w:r>
      <w:r w:rsidR="000569A7" w:rsidRPr="007F2045">
        <w:rPr>
          <w:rFonts w:ascii="Times New Roman" w:hAnsi="Times New Roman"/>
          <w:sz w:val="28"/>
          <w:szCs w:val="28"/>
          <w:lang w:val="es-CO"/>
        </w:rPr>
        <w:t>con</w:t>
      </w:r>
      <w:r w:rsidRPr="007F2045">
        <w:rPr>
          <w:rFonts w:ascii="Times New Roman" w:hAnsi="Times New Roman"/>
          <w:sz w:val="28"/>
          <w:szCs w:val="28"/>
          <w:lang w:val="es-CO"/>
        </w:rPr>
        <w:t xml:space="preserve"> lo señalado, la Sala debe examinar el alcance de la sentencia C-179 de 1994</w:t>
      </w:r>
      <w:r w:rsidR="007B77FD" w:rsidRPr="007F2045">
        <w:rPr>
          <w:rFonts w:ascii="Times New Roman" w:hAnsi="Times New Roman"/>
          <w:sz w:val="28"/>
          <w:szCs w:val="28"/>
          <w:lang w:val="es-CO"/>
        </w:rPr>
        <w:t>,</w:t>
      </w:r>
      <w:r w:rsidRPr="007F2045">
        <w:rPr>
          <w:rFonts w:ascii="Times New Roman" w:hAnsi="Times New Roman"/>
          <w:sz w:val="28"/>
          <w:szCs w:val="28"/>
          <w:lang w:val="es-CO"/>
        </w:rPr>
        <w:t xml:space="preserve"> a fin de precisar si de lo allí decidido se desprende un límite específico para pronunciarse sobre la suspensión provisional de los decretos por medio de los cuales se declara </w:t>
      </w:r>
      <w:r w:rsidR="007B77FD" w:rsidRPr="007F2045">
        <w:rPr>
          <w:rFonts w:ascii="Times New Roman" w:hAnsi="Times New Roman"/>
          <w:sz w:val="28"/>
          <w:szCs w:val="28"/>
          <w:lang w:val="es-CO"/>
        </w:rPr>
        <w:t xml:space="preserve">un </w:t>
      </w:r>
      <w:r w:rsidRPr="007F2045">
        <w:rPr>
          <w:rFonts w:ascii="Times New Roman" w:hAnsi="Times New Roman"/>
          <w:sz w:val="28"/>
          <w:szCs w:val="28"/>
          <w:lang w:val="es-CO"/>
        </w:rPr>
        <w:t>estado de emergencia económica, social o ecológica. Con es</w:t>
      </w:r>
      <w:r w:rsidR="00D81CF4" w:rsidRPr="007F2045">
        <w:rPr>
          <w:rFonts w:ascii="Times New Roman" w:hAnsi="Times New Roman"/>
          <w:sz w:val="28"/>
          <w:szCs w:val="28"/>
          <w:lang w:val="es-CO"/>
        </w:rPr>
        <w:t>t</w:t>
      </w:r>
      <w:r w:rsidRPr="007F2045">
        <w:rPr>
          <w:rFonts w:ascii="Times New Roman" w:hAnsi="Times New Roman"/>
          <w:sz w:val="28"/>
          <w:szCs w:val="28"/>
          <w:lang w:val="es-CO"/>
        </w:rPr>
        <w:t>e propósito, este segmento se desarrolla en tres pasos. Inicialmente</w:t>
      </w:r>
      <w:r w:rsidR="009B3B6A" w:rsidRPr="007F2045">
        <w:rPr>
          <w:rFonts w:ascii="Times New Roman" w:hAnsi="Times New Roman"/>
          <w:sz w:val="28"/>
          <w:szCs w:val="28"/>
          <w:lang w:val="es-CO"/>
        </w:rPr>
        <w:t xml:space="preserve"> </w:t>
      </w:r>
      <w:r w:rsidRPr="007F2045">
        <w:rPr>
          <w:rFonts w:ascii="Times New Roman" w:hAnsi="Times New Roman"/>
          <w:sz w:val="28"/>
          <w:szCs w:val="28"/>
          <w:lang w:val="es-CO"/>
        </w:rPr>
        <w:t xml:space="preserve">la Corte reiterará la distinción entre los decretos que declaran el estado de excepción y los </w:t>
      </w:r>
      <w:r w:rsidR="00CD324E" w:rsidRPr="007F2045">
        <w:rPr>
          <w:rFonts w:ascii="Times New Roman" w:hAnsi="Times New Roman"/>
          <w:sz w:val="28"/>
          <w:szCs w:val="28"/>
          <w:lang w:val="es-CO"/>
        </w:rPr>
        <w:t>que</w:t>
      </w:r>
      <w:r w:rsidRPr="007F2045">
        <w:rPr>
          <w:rFonts w:ascii="Times New Roman" w:hAnsi="Times New Roman"/>
          <w:sz w:val="28"/>
          <w:szCs w:val="28"/>
          <w:lang w:val="es-CO"/>
        </w:rPr>
        <w:t xml:space="preserve"> adoptan las medidas para conjurar o enfrentar la situación</w:t>
      </w:r>
      <w:r w:rsidR="007B77FD" w:rsidRPr="007F2045">
        <w:rPr>
          <w:rFonts w:ascii="Times New Roman" w:hAnsi="Times New Roman"/>
          <w:sz w:val="28"/>
          <w:szCs w:val="28"/>
          <w:lang w:val="es-CO"/>
        </w:rPr>
        <w:t xml:space="preserve"> –en adelante, decretos de desarrollo–</w:t>
      </w:r>
      <w:r w:rsidRPr="007F2045">
        <w:rPr>
          <w:rFonts w:ascii="Times New Roman" w:hAnsi="Times New Roman"/>
          <w:sz w:val="28"/>
          <w:szCs w:val="28"/>
          <w:lang w:val="es-CO"/>
        </w:rPr>
        <w:t xml:space="preserve">. </w:t>
      </w:r>
      <w:r w:rsidR="007B77FD" w:rsidRPr="007F2045">
        <w:rPr>
          <w:rFonts w:ascii="Times New Roman" w:hAnsi="Times New Roman"/>
          <w:sz w:val="28"/>
          <w:szCs w:val="28"/>
          <w:lang w:val="es-CO"/>
        </w:rPr>
        <w:t>Luego</w:t>
      </w:r>
      <w:r w:rsidRPr="007F2045">
        <w:rPr>
          <w:rFonts w:ascii="Times New Roman" w:hAnsi="Times New Roman"/>
          <w:sz w:val="28"/>
          <w:szCs w:val="28"/>
          <w:lang w:val="es-CO"/>
        </w:rPr>
        <w:t>, precisará el alcance de las disposiciones controladas por la Corte en la sentencia C-179 de 1994</w:t>
      </w:r>
      <w:r w:rsidR="00F60A73" w:rsidRPr="007F2045">
        <w:rPr>
          <w:rFonts w:ascii="Times New Roman" w:hAnsi="Times New Roman"/>
          <w:sz w:val="28"/>
          <w:szCs w:val="28"/>
          <w:lang w:val="es-CO"/>
        </w:rPr>
        <w:t>,</w:t>
      </w:r>
      <w:r w:rsidRPr="007F2045">
        <w:rPr>
          <w:rFonts w:ascii="Times New Roman" w:hAnsi="Times New Roman"/>
          <w:sz w:val="28"/>
          <w:szCs w:val="28"/>
          <w:lang w:val="es-CO"/>
        </w:rPr>
        <w:t xml:space="preserve"> a fin de identificar cuál fue el objeto de control en esa oportunidad. Finalmente, evaluar</w:t>
      </w:r>
      <w:r w:rsidR="00D65DF0" w:rsidRPr="007F2045">
        <w:rPr>
          <w:rFonts w:ascii="Times New Roman" w:hAnsi="Times New Roman"/>
          <w:sz w:val="28"/>
          <w:szCs w:val="28"/>
          <w:lang w:val="es-CO"/>
        </w:rPr>
        <w:t>á</w:t>
      </w:r>
      <w:r w:rsidRPr="007F2045">
        <w:rPr>
          <w:rFonts w:ascii="Times New Roman" w:hAnsi="Times New Roman"/>
          <w:sz w:val="28"/>
          <w:szCs w:val="28"/>
          <w:lang w:val="es-CO"/>
        </w:rPr>
        <w:t xml:space="preserve"> el alcance de los pronunciamientos posteriores a </w:t>
      </w:r>
      <w:r w:rsidR="00F60A73" w:rsidRPr="007F2045">
        <w:rPr>
          <w:rFonts w:ascii="Times New Roman" w:hAnsi="Times New Roman"/>
          <w:sz w:val="28"/>
          <w:szCs w:val="28"/>
          <w:lang w:val="es-CO"/>
        </w:rPr>
        <w:t>tal fallo</w:t>
      </w:r>
      <w:r w:rsidRPr="007F2045">
        <w:rPr>
          <w:rFonts w:ascii="Times New Roman" w:hAnsi="Times New Roman"/>
          <w:sz w:val="28"/>
          <w:szCs w:val="28"/>
          <w:lang w:val="es-CO"/>
        </w:rPr>
        <w:t xml:space="preserve"> respecto de la procedencia de la suspensión provisional.</w:t>
      </w:r>
    </w:p>
    <w:p w14:paraId="46F9FE24" w14:textId="77777777" w:rsidR="00684A8D" w:rsidRPr="007F2045" w:rsidRDefault="00684A8D" w:rsidP="001B5728">
      <w:pPr>
        <w:spacing w:after="0" w:line="240" w:lineRule="auto"/>
        <w:rPr>
          <w:rFonts w:ascii="Times New Roman" w:hAnsi="Times New Roman"/>
          <w:sz w:val="28"/>
          <w:szCs w:val="28"/>
          <w:lang w:val="es-CO"/>
        </w:rPr>
      </w:pPr>
    </w:p>
    <w:p w14:paraId="7F9781FE" w14:textId="77777777" w:rsidR="00684A8D" w:rsidRPr="007F2045" w:rsidRDefault="00684A8D" w:rsidP="001B5728">
      <w:pPr>
        <w:pStyle w:val="Subttulo2"/>
        <w:ind w:left="1276" w:hanging="425"/>
        <w:rPr>
          <w:lang w:val="es-CO"/>
        </w:rPr>
      </w:pPr>
      <w:r w:rsidRPr="007F2045">
        <w:rPr>
          <w:lang w:val="es-CO"/>
        </w:rPr>
        <w:t xml:space="preserve">La Constitución establece una distinción precisa entre el decreto que declara el estado de excepción y los decretos de desarrollo </w:t>
      </w:r>
    </w:p>
    <w:p w14:paraId="7262E215" w14:textId="77777777" w:rsidR="00684A8D" w:rsidRPr="007F2045" w:rsidRDefault="00684A8D" w:rsidP="001B5728">
      <w:pPr>
        <w:spacing w:after="0" w:line="240" w:lineRule="auto"/>
        <w:rPr>
          <w:rFonts w:ascii="Times New Roman" w:hAnsi="Times New Roman"/>
          <w:b/>
          <w:sz w:val="28"/>
          <w:szCs w:val="28"/>
          <w:lang w:val="es-CO"/>
        </w:rPr>
      </w:pPr>
    </w:p>
    <w:p w14:paraId="568846B9" w14:textId="77777777" w:rsidR="00684A8D" w:rsidRPr="007F2045" w:rsidRDefault="00684A8D"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La lectura de la Constitución y de la jurisprudencia de este </w:t>
      </w:r>
      <w:r w:rsidR="006C1EEE" w:rsidRPr="007F2045">
        <w:rPr>
          <w:rFonts w:ascii="Times New Roman" w:hAnsi="Times New Roman"/>
          <w:sz w:val="28"/>
          <w:szCs w:val="28"/>
          <w:lang w:val="es-CO"/>
        </w:rPr>
        <w:t>T</w:t>
      </w:r>
      <w:r w:rsidRPr="007F2045">
        <w:rPr>
          <w:rFonts w:ascii="Times New Roman" w:hAnsi="Times New Roman"/>
          <w:sz w:val="28"/>
          <w:szCs w:val="28"/>
          <w:lang w:val="es-CO"/>
        </w:rPr>
        <w:t xml:space="preserve">ribunal debe tomar nota de la distinción entre dos tipos de decisiones que puede adoptar el presidente </w:t>
      </w:r>
      <w:r w:rsidR="0026362A" w:rsidRPr="007F2045">
        <w:rPr>
          <w:rFonts w:ascii="Times New Roman" w:hAnsi="Times New Roman"/>
          <w:sz w:val="28"/>
          <w:szCs w:val="28"/>
          <w:lang w:val="es-CO"/>
        </w:rPr>
        <w:t xml:space="preserve">de la República </w:t>
      </w:r>
      <w:r w:rsidR="007B77FD" w:rsidRPr="007F2045">
        <w:rPr>
          <w:rFonts w:ascii="Times New Roman" w:hAnsi="Times New Roman"/>
          <w:sz w:val="28"/>
          <w:szCs w:val="28"/>
          <w:lang w:val="es-CO"/>
        </w:rPr>
        <w:t>–</w:t>
      </w:r>
      <w:r w:rsidRPr="007F2045">
        <w:rPr>
          <w:rFonts w:ascii="Times New Roman" w:hAnsi="Times New Roman"/>
          <w:sz w:val="28"/>
          <w:szCs w:val="28"/>
          <w:lang w:val="es-CO"/>
        </w:rPr>
        <w:t>con la firma de todos sus ministros</w:t>
      </w:r>
      <w:r w:rsidR="007B77FD" w:rsidRPr="007F2045">
        <w:rPr>
          <w:rFonts w:ascii="Times New Roman" w:hAnsi="Times New Roman"/>
          <w:sz w:val="28"/>
          <w:szCs w:val="28"/>
          <w:lang w:val="es-CO"/>
        </w:rPr>
        <w:t xml:space="preserve">– </w:t>
      </w:r>
      <w:r w:rsidRPr="007F2045">
        <w:rPr>
          <w:rFonts w:ascii="Times New Roman" w:hAnsi="Times New Roman"/>
          <w:sz w:val="28"/>
          <w:szCs w:val="28"/>
          <w:lang w:val="es-CO"/>
        </w:rPr>
        <w:t xml:space="preserve">cuando </w:t>
      </w:r>
      <w:r w:rsidRPr="007F2045">
        <w:rPr>
          <w:rFonts w:ascii="Times New Roman" w:hAnsi="Times New Roman"/>
          <w:sz w:val="28"/>
          <w:szCs w:val="28"/>
          <w:lang w:val="es-CO"/>
        </w:rPr>
        <w:lastRenderedPageBreak/>
        <w:t xml:space="preserve">sobreviene alguna de las circunstancias previstas en los artículos 212, 213, 214, y 215 de la Constitución. </w:t>
      </w:r>
    </w:p>
    <w:p w14:paraId="450E143A" w14:textId="77777777" w:rsidR="00684A8D" w:rsidRPr="007F2045" w:rsidRDefault="00684A8D" w:rsidP="001B5728">
      <w:pPr>
        <w:pStyle w:val="Prrafodelista"/>
        <w:tabs>
          <w:tab w:val="left" w:pos="284"/>
          <w:tab w:val="left" w:pos="426"/>
        </w:tabs>
        <w:spacing w:after="0" w:line="240" w:lineRule="auto"/>
        <w:ind w:left="0"/>
        <w:rPr>
          <w:rFonts w:ascii="Times New Roman" w:hAnsi="Times New Roman"/>
          <w:sz w:val="28"/>
          <w:szCs w:val="28"/>
          <w:lang w:val="es-CO"/>
        </w:rPr>
      </w:pPr>
    </w:p>
    <w:p w14:paraId="482AD9EC" w14:textId="77777777" w:rsidR="00684A8D" w:rsidRPr="007F2045" w:rsidRDefault="00684A8D"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Existen diferencias significativas entre los decretos por medio de</w:t>
      </w:r>
      <w:r w:rsidR="007B77FD" w:rsidRPr="007F2045">
        <w:rPr>
          <w:rFonts w:ascii="Times New Roman" w:hAnsi="Times New Roman"/>
          <w:sz w:val="28"/>
          <w:szCs w:val="28"/>
          <w:lang w:val="es-CO"/>
        </w:rPr>
        <w:t xml:space="preserve"> </w:t>
      </w:r>
      <w:r w:rsidRPr="007F2045">
        <w:rPr>
          <w:rFonts w:ascii="Times New Roman" w:hAnsi="Times New Roman"/>
          <w:sz w:val="28"/>
          <w:szCs w:val="28"/>
          <w:lang w:val="es-CO"/>
        </w:rPr>
        <w:t>l</w:t>
      </w:r>
      <w:r w:rsidR="007B77FD" w:rsidRPr="007F2045">
        <w:rPr>
          <w:rFonts w:ascii="Times New Roman" w:hAnsi="Times New Roman"/>
          <w:sz w:val="28"/>
          <w:szCs w:val="28"/>
          <w:lang w:val="es-CO"/>
        </w:rPr>
        <w:t>os</w:t>
      </w:r>
      <w:r w:rsidRPr="007F2045">
        <w:rPr>
          <w:rFonts w:ascii="Times New Roman" w:hAnsi="Times New Roman"/>
          <w:sz w:val="28"/>
          <w:szCs w:val="28"/>
          <w:lang w:val="es-CO"/>
        </w:rPr>
        <w:t xml:space="preserve"> cual</w:t>
      </w:r>
      <w:r w:rsidR="007B77FD" w:rsidRPr="007F2045">
        <w:rPr>
          <w:rFonts w:ascii="Times New Roman" w:hAnsi="Times New Roman"/>
          <w:sz w:val="28"/>
          <w:szCs w:val="28"/>
          <w:lang w:val="es-CO"/>
        </w:rPr>
        <w:t>es</w:t>
      </w:r>
      <w:r w:rsidRPr="007F2045">
        <w:rPr>
          <w:rFonts w:ascii="Times New Roman" w:hAnsi="Times New Roman"/>
          <w:sz w:val="28"/>
          <w:szCs w:val="28"/>
          <w:lang w:val="es-CO"/>
        </w:rPr>
        <w:t xml:space="preserve"> el presidente de la República declara un estado de excepción y los decretos que, luego de tal declaración, se expiden con el propósito de enfrentar la situación excepcional </w:t>
      </w:r>
      <w:r w:rsidR="007B77FD" w:rsidRPr="007F2045">
        <w:rPr>
          <w:rFonts w:ascii="Times New Roman" w:hAnsi="Times New Roman"/>
          <w:sz w:val="28"/>
          <w:szCs w:val="28"/>
          <w:lang w:val="es-CO"/>
        </w:rPr>
        <w:t>–</w:t>
      </w:r>
      <w:r w:rsidRPr="007F2045">
        <w:rPr>
          <w:rFonts w:ascii="Times New Roman" w:hAnsi="Times New Roman"/>
          <w:sz w:val="28"/>
          <w:szCs w:val="28"/>
          <w:lang w:val="es-CO"/>
        </w:rPr>
        <w:t>decretos legislativos en sentido estricto</w:t>
      </w:r>
      <w:r w:rsidR="007B77FD" w:rsidRPr="007F2045">
        <w:rPr>
          <w:rFonts w:ascii="Times New Roman" w:hAnsi="Times New Roman"/>
          <w:sz w:val="28"/>
          <w:szCs w:val="28"/>
          <w:lang w:val="es-CO"/>
        </w:rPr>
        <w:t>, o de desarrollo–</w:t>
      </w:r>
      <w:r w:rsidR="0051219E" w:rsidRPr="007F2045">
        <w:rPr>
          <w:rFonts w:ascii="Times New Roman" w:hAnsi="Times New Roman"/>
          <w:szCs w:val="28"/>
          <w:vertAlign w:val="superscript"/>
          <w:lang w:val="es-CO"/>
        </w:rPr>
        <w:footnoteReference w:id="36"/>
      </w:r>
      <w:r w:rsidR="007B77FD" w:rsidRPr="007F2045">
        <w:rPr>
          <w:rFonts w:ascii="Times New Roman" w:hAnsi="Times New Roman"/>
          <w:sz w:val="28"/>
          <w:szCs w:val="28"/>
          <w:lang w:val="es-CO"/>
        </w:rPr>
        <w:t xml:space="preserve">. </w:t>
      </w:r>
      <w:r w:rsidRPr="007F2045">
        <w:rPr>
          <w:rFonts w:ascii="Times New Roman" w:hAnsi="Times New Roman"/>
          <w:sz w:val="28"/>
          <w:szCs w:val="28"/>
          <w:lang w:val="es-CO"/>
        </w:rPr>
        <w:t xml:space="preserve">Esa diferencia se </w:t>
      </w:r>
      <w:r w:rsidR="007B77FD" w:rsidRPr="007F2045">
        <w:rPr>
          <w:rFonts w:ascii="Times New Roman" w:hAnsi="Times New Roman"/>
          <w:sz w:val="28"/>
          <w:szCs w:val="28"/>
          <w:lang w:val="es-CO"/>
        </w:rPr>
        <w:t xml:space="preserve">fundamenta </w:t>
      </w:r>
      <w:r w:rsidRPr="007F2045">
        <w:rPr>
          <w:rFonts w:ascii="Times New Roman" w:hAnsi="Times New Roman"/>
          <w:sz w:val="28"/>
          <w:szCs w:val="28"/>
          <w:lang w:val="es-CO"/>
        </w:rPr>
        <w:t xml:space="preserve">en el hecho de que la </w:t>
      </w:r>
      <w:r w:rsidRPr="007F2045">
        <w:rPr>
          <w:rFonts w:ascii="Times New Roman" w:hAnsi="Times New Roman"/>
          <w:i/>
          <w:iCs/>
          <w:sz w:val="28"/>
          <w:szCs w:val="28"/>
          <w:lang w:val="es-CO"/>
        </w:rPr>
        <w:t>primera clase</w:t>
      </w:r>
      <w:r w:rsidRPr="007F2045">
        <w:rPr>
          <w:rFonts w:ascii="Times New Roman" w:hAnsi="Times New Roman"/>
          <w:sz w:val="28"/>
          <w:szCs w:val="28"/>
          <w:lang w:val="es-CO"/>
        </w:rPr>
        <w:t xml:space="preserve"> de decretos, de una parte, constatan, valoran, califican y declaran jurídicamente la situación de excepción y, de otra, prevén la habilitación del presidente de la República</w:t>
      </w:r>
      <w:r w:rsidR="0054243C" w:rsidRPr="007F2045">
        <w:rPr>
          <w:rFonts w:ascii="Times New Roman" w:hAnsi="Times New Roman"/>
          <w:sz w:val="28"/>
          <w:szCs w:val="28"/>
          <w:lang w:val="es-CO"/>
        </w:rPr>
        <w:t>, con la firma de todos sus ministros,</w:t>
      </w:r>
      <w:r w:rsidRPr="007F2045">
        <w:rPr>
          <w:rFonts w:ascii="Times New Roman" w:hAnsi="Times New Roman"/>
          <w:sz w:val="28"/>
          <w:szCs w:val="28"/>
          <w:lang w:val="es-CO"/>
        </w:rPr>
        <w:t xml:space="preserve"> para expedir l</w:t>
      </w:r>
      <w:r w:rsidR="00C75B71" w:rsidRPr="007F2045">
        <w:rPr>
          <w:rFonts w:ascii="Times New Roman" w:hAnsi="Times New Roman"/>
          <w:sz w:val="28"/>
          <w:szCs w:val="28"/>
          <w:lang w:val="es-CO"/>
        </w:rPr>
        <w:t>a legislación</w:t>
      </w:r>
      <w:r w:rsidR="009D1DC1" w:rsidRPr="007F2045">
        <w:rPr>
          <w:rFonts w:ascii="Times New Roman" w:hAnsi="Times New Roman"/>
          <w:sz w:val="28"/>
          <w:szCs w:val="28"/>
          <w:lang w:val="es-CO"/>
        </w:rPr>
        <w:t xml:space="preserve"> requerida para conjurar la crisis</w:t>
      </w:r>
      <w:r w:rsidRPr="007F2045">
        <w:rPr>
          <w:rFonts w:ascii="Times New Roman" w:hAnsi="Times New Roman"/>
          <w:sz w:val="28"/>
          <w:szCs w:val="28"/>
          <w:lang w:val="es-CO"/>
        </w:rPr>
        <w:t>.</w:t>
      </w:r>
      <w:r w:rsidR="001D7A65" w:rsidRPr="007F2045">
        <w:rPr>
          <w:rFonts w:ascii="Times New Roman" w:hAnsi="Times New Roman"/>
          <w:sz w:val="28"/>
          <w:szCs w:val="28"/>
          <w:lang w:val="es-CO"/>
        </w:rPr>
        <w:t xml:space="preserve"> Por su parte,</w:t>
      </w:r>
      <w:r w:rsidRPr="007F2045">
        <w:rPr>
          <w:rFonts w:ascii="Times New Roman" w:hAnsi="Times New Roman"/>
          <w:sz w:val="28"/>
          <w:szCs w:val="28"/>
          <w:lang w:val="es-CO"/>
        </w:rPr>
        <w:t xml:space="preserve"> </w:t>
      </w:r>
      <w:r w:rsidR="001D7A65" w:rsidRPr="007F2045">
        <w:rPr>
          <w:rFonts w:ascii="Times New Roman" w:hAnsi="Times New Roman"/>
          <w:sz w:val="28"/>
          <w:szCs w:val="28"/>
          <w:lang w:val="es-CO"/>
        </w:rPr>
        <w:t xml:space="preserve">la </w:t>
      </w:r>
      <w:r w:rsidRPr="007F2045">
        <w:rPr>
          <w:rFonts w:ascii="Times New Roman" w:hAnsi="Times New Roman"/>
          <w:i/>
          <w:iCs/>
          <w:sz w:val="28"/>
          <w:szCs w:val="28"/>
          <w:lang w:val="es-CO"/>
        </w:rPr>
        <w:t>segunda clase</w:t>
      </w:r>
      <w:r w:rsidRPr="007F2045">
        <w:rPr>
          <w:rFonts w:ascii="Times New Roman" w:hAnsi="Times New Roman"/>
          <w:sz w:val="28"/>
          <w:szCs w:val="28"/>
          <w:lang w:val="es-CO"/>
        </w:rPr>
        <w:t xml:space="preserve"> de decretos tiene </w:t>
      </w:r>
      <w:r w:rsidR="007B77FD" w:rsidRPr="007F2045">
        <w:rPr>
          <w:rFonts w:ascii="Times New Roman" w:hAnsi="Times New Roman"/>
          <w:sz w:val="28"/>
          <w:szCs w:val="28"/>
          <w:lang w:val="es-CO"/>
        </w:rPr>
        <w:t xml:space="preserve">por </w:t>
      </w:r>
      <w:r w:rsidRPr="007F2045">
        <w:rPr>
          <w:rFonts w:ascii="Times New Roman" w:hAnsi="Times New Roman"/>
          <w:sz w:val="28"/>
          <w:szCs w:val="28"/>
          <w:lang w:val="es-CO"/>
        </w:rPr>
        <w:t xml:space="preserve">finalidad adoptar normas encaminadas a enfrentar la situación </w:t>
      </w:r>
      <w:r w:rsidR="00C75B71" w:rsidRPr="007F2045">
        <w:rPr>
          <w:rFonts w:ascii="Times New Roman" w:hAnsi="Times New Roman"/>
          <w:sz w:val="28"/>
          <w:szCs w:val="28"/>
          <w:lang w:val="es-CO"/>
        </w:rPr>
        <w:t>mediante</w:t>
      </w:r>
      <w:r w:rsidR="007B77FD" w:rsidRPr="007F2045">
        <w:rPr>
          <w:rFonts w:ascii="Times New Roman" w:hAnsi="Times New Roman"/>
          <w:sz w:val="28"/>
          <w:szCs w:val="28"/>
          <w:lang w:val="es-CO"/>
        </w:rPr>
        <w:t xml:space="preserve"> </w:t>
      </w:r>
      <w:r w:rsidR="00C75B71" w:rsidRPr="007F2045">
        <w:rPr>
          <w:rFonts w:ascii="Times New Roman" w:hAnsi="Times New Roman"/>
          <w:sz w:val="28"/>
          <w:szCs w:val="28"/>
          <w:lang w:val="es-CO"/>
        </w:rPr>
        <w:t xml:space="preserve">la </w:t>
      </w:r>
      <w:r w:rsidRPr="007F2045">
        <w:rPr>
          <w:rFonts w:ascii="Times New Roman" w:hAnsi="Times New Roman"/>
          <w:sz w:val="28"/>
          <w:szCs w:val="28"/>
          <w:lang w:val="es-CO"/>
        </w:rPr>
        <w:t>reforma</w:t>
      </w:r>
      <w:r w:rsidR="007B77FD" w:rsidRPr="007F2045">
        <w:rPr>
          <w:rFonts w:ascii="Times New Roman" w:hAnsi="Times New Roman"/>
          <w:sz w:val="28"/>
          <w:szCs w:val="28"/>
          <w:lang w:val="es-CO"/>
        </w:rPr>
        <w:t xml:space="preserve"> o </w:t>
      </w:r>
      <w:r w:rsidR="00C75B71" w:rsidRPr="007F2045">
        <w:rPr>
          <w:rFonts w:ascii="Times New Roman" w:hAnsi="Times New Roman"/>
          <w:sz w:val="28"/>
          <w:szCs w:val="28"/>
          <w:lang w:val="es-CO"/>
        </w:rPr>
        <w:t xml:space="preserve">la adopción </w:t>
      </w:r>
      <w:r w:rsidRPr="007F2045">
        <w:rPr>
          <w:rFonts w:ascii="Times New Roman" w:hAnsi="Times New Roman"/>
          <w:sz w:val="28"/>
          <w:szCs w:val="28"/>
          <w:lang w:val="es-CO"/>
        </w:rPr>
        <w:t>de</w:t>
      </w:r>
      <w:r w:rsidR="009D1DC1" w:rsidRPr="007F2045">
        <w:rPr>
          <w:rFonts w:ascii="Times New Roman" w:hAnsi="Times New Roman"/>
          <w:sz w:val="28"/>
          <w:szCs w:val="28"/>
          <w:lang w:val="es-CO"/>
        </w:rPr>
        <w:t xml:space="preserve"> </w:t>
      </w:r>
      <w:r w:rsidR="00CD324E" w:rsidRPr="007F2045">
        <w:rPr>
          <w:rFonts w:ascii="Times New Roman" w:hAnsi="Times New Roman"/>
          <w:sz w:val="28"/>
          <w:szCs w:val="28"/>
          <w:lang w:val="es-CO"/>
        </w:rPr>
        <w:t xml:space="preserve">preceptos </w:t>
      </w:r>
      <w:r w:rsidR="009D1DC1" w:rsidRPr="007F2045">
        <w:rPr>
          <w:rFonts w:ascii="Times New Roman" w:hAnsi="Times New Roman"/>
          <w:sz w:val="28"/>
          <w:szCs w:val="28"/>
          <w:lang w:val="es-CO"/>
        </w:rPr>
        <w:t>legales</w:t>
      </w:r>
      <w:r w:rsidR="000A7842" w:rsidRPr="007F2045">
        <w:rPr>
          <w:rFonts w:ascii="Times New Roman" w:hAnsi="Times New Roman"/>
          <w:szCs w:val="28"/>
          <w:vertAlign w:val="superscript"/>
          <w:lang w:val="es-CO"/>
        </w:rPr>
        <w:footnoteReference w:id="37"/>
      </w:r>
      <w:r w:rsidRPr="007F2045">
        <w:rPr>
          <w:rFonts w:ascii="Times New Roman" w:hAnsi="Times New Roman"/>
          <w:sz w:val="28"/>
          <w:szCs w:val="28"/>
          <w:lang w:val="es-CO"/>
        </w:rPr>
        <w:t xml:space="preserve">. </w:t>
      </w:r>
    </w:p>
    <w:p w14:paraId="2EF71F4F" w14:textId="77777777" w:rsidR="00684A8D" w:rsidRPr="007F2045" w:rsidRDefault="00684A8D" w:rsidP="001B5728">
      <w:pPr>
        <w:pStyle w:val="Prrafodelista"/>
        <w:tabs>
          <w:tab w:val="left" w:pos="284"/>
          <w:tab w:val="left" w:pos="426"/>
        </w:tabs>
        <w:spacing w:after="0" w:line="240" w:lineRule="auto"/>
        <w:ind w:left="0"/>
        <w:rPr>
          <w:rFonts w:ascii="Times New Roman" w:hAnsi="Times New Roman"/>
          <w:sz w:val="28"/>
          <w:szCs w:val="28"/>
          <w:lang w:val="es-CO"/>
        </w:rPr>
      </w:pPr>
    </w:p>
    <w:p w14:paraId="5978D4BE" w14:textId="77777777" w:rsidR="00684A8D" w:rsidRPr="007F2045" w:rsidRDefault="00684A8D"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Esta distinción es precisa en la Constitución. En efecto, el primer inciso del artículo 212 prevé que el presidente de la República, con la firma de todos los ministros, “podrá declarar el estado de guerra exterior”, luego de lo cual establece que</w:t>
      </w:r>
      <w:r w:rsidR="00C43B45" w:rsidRPr="007F2045">
        <w:rPr>
          <w:rFonts w:ascii="Times New Roman" w:hAnsi="Times New Roman"/>
          <w:sz w:val="28"/>
          <w:szCs w:val="28"/>
          <w:lang w:val="es-CO"/>
        </w:rPr>
        <w:t>,</w:t>
      </w:r>
      <w:r w:rsidRPr="007F2045">
        <w:rPr>
          <w:rFonts w:ascii="Times New Roman" w:hAnsi="Times New Roman"/>
          <w:sz w:val="28"/>
          <w:szCs w:val="28"/>
          <w:lang w:val="es-CO"/>
        </w:rPr>
        <w:t xml:space="preserve"> mediante tal declaración</w:t>
      </w:r>
      <w:r w:rsidR="00C43B45" w:rsidRPr="007F2045">
        <w:rPr>
          <w:rFonts w:ascii="Times New Roman" w:hAnsi="Times New Roman"/>
          <w:sz w:val="28"/>
          <w:szCs w:val="28"/>
          <w:lang w:val="es-CO"/>
        </w:rPr>
        <w:t>,</w:t>
      </w:r>
      <w:r w:rsidRPr="007F2045">
        <w:rPr>
          <w:rFonts w:ascii="Times New Roman" w:hAnsi="Times New Roman"/>
          <w:sz w:val="28"/>
          <w:szCs w:val="28"/>
          <w:lang w:val="es-CO"/>
        </w:rPr>
        <w:t xml:space="preserve"> el Gobierno tendrá las facultades estrictamente necesarias para repeler la agresión, defender la soberanía, atender los requerimientos de la guerra, y procurar el restablecimiento de la normalidad. A su vez, el inciso </w:t>
      </w:r>
      <w:r w:rsidR="00D3705A" w:rsidRPr="007F2045">
        <w:rPr>
          <w:rFonts w:ascii="Times New Roman" w:hAnsi="Times New Roman"/>
          <w:sz w:val="28"/>
          <w:szCs w:val="28"/>
          <w:lang w:val="es-CO"/>
        </w:rPr>
        <w:t>tercero</w:t>
      </w:r>
      <w:r w:rsidR="00986671" w:rsidRPr="007F2045" w:rsidDel="00E51893">
        <w:rPr>
          <w:rFonts w:ascii="Times New Roman" w:hAnsi="Times New Roman"/>
          <w:sz w:val="28"/>
          <w:szCs w:val="28"/>
          <w:lang w:val="es-CO"/>
        </w:rPr>
        <w:t xml:space="preserve"> </w:t>
      </w:r>
      <w:r w:rsidR="00E51893" w:rsidRPr="007F2045">
        <w:rPr>
          <w:rFonts w:ascii="Times New Roman" w:hAnsi="Times New Roman"/>
          <w:sz w:val="28"/>
          <w:szCs w:val="28"/>
          <w:lang w:val="es-CO"/>
        </w:rPr>
        <w:t xml:space="preserve">consagra </w:t>
      </w:r>
      <w:r w:rsidRPr="007F2045">
        <w:rPr>
          <w:rFonts w:ascii="Times New Roman" w:hAnsi="Times New Roman"/>
          <w:sz w:val="28"/>
          <w:szCs w:val="28"/>
          <w:lang w:val="es-CO"/>
        </w:rPr>
        <w:t xml:space="preserve">la competencia para expedir </w:t>
      </w:r>
      <w:r w:rsidRPr="007F2045">
        <w:rPr>
          <w:rFonts w:ascii="Times New Roman" w:hAnsi="Times New Roman"/>
          <w:i/>
          <w:iCs/>
          <w:sz w:val="28"/>
          <w:szCs w:val="28"/>
          <w:lang w:val="es-CO"/>
        </w:rPr>
        <w:t>decretos legislativos</w:t>
      </w:r>
      <w:r w:rsidRPr="007F2045">
        <w:rPr>
          <w:rFonts w:ascii="Times New Roman" w:hAnsi="Times New Roman"/>
          <w:sz w:val="28"/>
          <w:szCs w:val="28"/>
          <w:lang w:val="es-CO"/>
        </w:rPr>
        <w:t xml:space="preserve"> que suspenden las leyes incompatibles con el </w:t>
      </w:r>
      <w:r w:rsidR="007B77FD" w:rsidRPr="007F2045">
        <w:rPr>
          <w:rFonts w:ascii="Times New Roman" w:hAnsi="Times New Roman"/>
          <w:sz w:val="28"/>
          <w:szCs w:val="28"/>
          <w:lang w:val="es-CO"/>
        </w:rPr>
        <w:t xml:space="preserve">estado </w:t>
      </w:r>
      <w:r w:rsidRPr="007F2045">
        <w:rPr>
          <w:rFonts w:ascii="Times New Roman" w:hAnsi="Times New Roman"/>
          <w:sz w:val="28"/>
          <w:szCs w:val="28"/>
          <w:lang w:val="es-CO"/>
        </w:rPr>
        <w:t xml:space="preserve">de </w:t>
      </w:r>
      <w:r w:rsidR="007B77FD" w:rsidRPr="007F2045">
        <w:rPr>
          <w:rFonts w:ascii="Times New Roman" w:hAnsi="Times New Roman"/>
          <w:sz w:val="28"/>
          <w:szCs w:val="28"/>
          <w:lang w:val="es-CO"/>
        </w:rPr>
        <w:t>guerra</w:t>
      </w:r>
      <w:r w:rsidRPr="007F2045">
        <w:rPr>
          <w:rFonts w:ascii="Times New Roman" w:hAnsi="Times New Roman"/>
          <w:sz w:val="28"/>
          <w:szCs w:val="28"/>
          <w:lang w:val="es-CO"/>
        </w:rPr>
        <w:t xml:space="preserve">. </w:t>
      </w:r>
      <w:r w:rsidR="00986671" w:rsidRPr="007F2045">
        <w:rPr>
          <w:rFonts w:ascii="Times New Roman" w:hAnsi="Times New Roman"/>
          <w:sz w:val="28"/>
          <w:szCs w:val="28"/>
          <w:lang w:val="es-CO"/>
        </w:rPr>
        <w:t xml:space="preserve">Más adelante, el </w:t>
      </w:r>
      <w:r w:rsidRPr="007F2045">
        <w:rPr>
          <w:rFonts w:ascii="Times New Roman" w:hAnsi="Times New Roman"/>
          <w:sz w:val="28"/>
          <w:szCs w:val="28"/>
          <w:lang w:val="es-CO"/>
        </w:rPr>
        <w:t>artículo 213</w:t>
      </w:r>
      <w:r w:rsidR="00986671" w:rsidRPr="007F2045">
        <w:rPr>
          <w:rFonts w:ascii="Times New Roman" w:hAnsi="Times New Roman"/>
          <w:sz w:val="28"/>
          <w:szCs w:val="28"/>
          <w:lang w:val="es-CO"/>
        </w:rPr>
        <w:t xml:space="preserve"> de la Carta</w:t>
      </w:r>
      <w:r w:rsidRPr="007F2045">
        <w:rPr>
          <w:rFonts w:ascii="Times New Roman" w:hAnsi="Times New Roman"/>
          <w:sz w:val="28"/>
          <w:szCs w:val="28"/>
          <w:lang w:val="es-CO"/>
        </w:rPr>
        <w:t>, en esa misma dirección,</w:t>
      </w:r>
      <w:r w:rsidR="009853BA" w:rsidRPr="007F2045">
        <w:rPr>
          <w:rFonts w:ascii="Times New Roman" w:hAnsi="Times New Roman"/>
          <w:sz w:val="28"/>
          <w:szCs w:val="28"/>
          <w:lang w:val="es-CO"/>
        </w:rPr>
        <w:t xml:space="preserve"> señala</w:t>
      </w:r>
      <w:r w:rsidRPr="007F2045">
        <w:rPr>
          <w:rFonts w:ascii="Times New Roman" w:hAnsi="Times New Roman"/>
          <w:sz w:val="28"/>
          <w:szCs w:val="28"/>
          <w:lang w:val="es-CO"/>
        </w:rPr>
        <w:t xml:space="preserve"> en el inciso primero que el presidente de la República con la firma de todos los ministros podrá declarar el estado de conmoción interio</w:t>
      </w:r>
      <w:r w:rsidR="00CD324E" w:rsidRPr="007F2045">
        <w:rPr>
          <w:rFonts w:ascii="Times New Roman" w:hAnsi="Times New Roman"/>
          <w:sz w:val="28"/>
          <w:szCs w:val="28"/>
          <w:lang w:val="es-CO"/>
        </w:rPr>
        <w:t>r. A renglón seguido</w:t>
      </w:r>
      <w:r w:rsidRPr="007F2045">
        <w:rPr>
          <w:rFonts w:ascii="Times New Roman" w:hAnsi="Times New Roman"/>
          <w:sz w:val="28"/>
          <w:szCs w:val="28"/>
          <w:lang w:val="es-CO"/>
        </w:rPr>
        <w:t xml:space="preserve">, </w:t>
      </w:r>
      <w:r w:rsidR="00CD324E" w:rsidRPr="007F2045">
        <w:rPr>
          <w:rFonts w:ascii="Times New Roman" w:hAnsi="Times New Roman"/>
          <w:sz w:val="28"/>
          <w:szCs w:val="28"/>
          <w:lang w:val="es-CO"/>
        </w:rPr>
        <w:t xml:space="preserve">indica </w:t>
      </w:r>
      <w:r w:rsidRPr="007F2045">
        <w:rPr>
          <w:rFonts w:ascii="Times New Roman" w:hAnsi="Times New Roman"/>
          <w:sz w:val="28"/>
          <w:szCs w:val="28"/>
          <w:lang w:val="es-CO"/>
        </w:rPr>
        <w:t>que tendrá las facultades necesarias para enfrentar la situación</w:t>
      </w:r>
      <w:r w:rsidR="007B77FD" w:rsidRPr="007F2045">
        <w:rPr>
          <w:rFonts w:ascii="Times New Roman" w:hAnsi="Times New Roman"/>
          <w:sz w:val="28"/>
          <w:szCs w:val="28"/>
          <w:lang w:val="es-CO"/>
        </w:rPr>
        <w:t xml:space="preserve">, mediante </w:t>
      </w:r>
      <w:r w:rsidRPr="007F2045">
        <w:rPr>
          <w:rFonts w:ascii="Times New Roman" w:hAnsi="Times New Roman"/>
          <w:sz w:val="28"/>
          <w:szCs w:val="28"/>
          <w:lang w:val="es-CO"/>
        </w:rPr>
        <w:t xml:space="preserve">la expedición de los </w:t>
      </w:r>
      <w:r w:rsidRPr="007F2045">
        <w:rPr>
          <w:rFonts w:ascii="Times New Roman" w:hAnsi="Times New Roman"/>
          <w:i/>
          <w:sz w:val="28"/>
          <w:szCs w:val="28"/>
          <w:lang w:val="es-CO"/>
        </w:rPr>
        <w:t>decretos legislativos</w:t>
      </w:r>
      <w:r w:rsidRPr="007F2045">
        <w:rPr>
          <w:rFonts w:ascii="Times New Roman" w:hAnsi="Times New Roman"/>
          <w:sz w:val="28"/>
          <w:szCs w:val="28"/>
          <w:lang w:val="es-CO"/>
        </w:rPr>
        <w:t xml:space="preserve"> </w:t>
      </w:r>
      <w:r w:rsidR="007B77FD" w:rsidRPr="007F2045">
        <w:rPr>
          <w:rFonts w:ascii="Times New Roman" w:hAnsi="Times New Roman"/>
          <w:sz w:val="28"/>
          <w:szCs w:val="28"/>
          <w:lang w:val="es-CO"/>
        </w:rPr>
        <w:t xml:space="preserve">necesarios, entre otras, para </w:t>
      </w:r>
      <w:r w:rsidRPr="007F2045">
        <w:rPr>
          <w:rFonts w:ascii="Times New Roman" w:hAnsi="Times New Roman"/>
          <w:sz w:val="28"/>
          <w:szCs w:val="28"/>
          <w:lang w:val="es-CO"/>
        </w:rPr>
        <w:t>suspender leyes incompatibles con el estado de conmoción.</w:t>
      </w:r>
    </w:p>
    <w:p w14:paraId="0B865BF6" w14:textId="77777777" w:rsidR="00684A8D" w:rsidRPr="007F2045" w:rsidRDefault="00684A8D" w:rsidP="001B5728">
      <w:pPr>
        <w:pStyle w:val="Prrafodelista"/>
        <w:spacing w:after="0" w:line="240" w:lineRule="auto"/>
        <w:rPr>
          <w:rFonts w:ascii="Times New Roman" w:hAnsi="Times New Roman"/>
          <w:sz w:val="28"/>
          <w:szCs w:val="28"/>
          <w:lang w:val="es-CO"/>
        </w:rPr>
      </w:pPr>
    </w:p>
    <w:p w14:paraId="3C82A52A" w14:textId="77777777" w:rsidR="00684A8D" w:rsidRPr="007F2045" w:rsidRDefault="00433D27"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Bajo esta misma línea</w:t>
      </w:r>
      <w:r w:rsidR="00684A8D" w:rsidRPr="007F2045">
        <w:rPr>
          <w:rFonts w:ascii="Times New Roman" w:hAnsi="Times New Roman"/>
          <w:sz w:val="28"/>
          <w:szCs w:val="28"/>
          <w:lang w:val="es-CO"/>
        </w:rPr>
        <w:t xml:space="preserve">, el numeral 1º del artículo 214, aplicable al estado de guerra exterior y a la conmoción interior, prevé que los decretos legislativos solo podrán referirse a materias que tengan relación directa y específica con la situación que hubiere determinado la declaratoria del estado de excepción. Finalmente, el artículo 215 establece que el presidente, con la firma de todos los ministros, podrá declarar el </w:t>
      </w:r>
      <w:r w:rsidR="007B77FD" w:rsidRPr="007F2045">
        <w:rPr>
          <w:rFonts w:ascii="Times New Roman" w:hAnsi="Times New Roman"/>
          <w:sz w:val="28"/>
          <w:szCs w:val="28"/>
          <w:lang w:val="es-CO"/>
        </w:rPr>
        <w:t>e</w:t>
      </w:r>
      <w:r w:rsidR="00684A8D" w:rsidRPr="007F2045">
        <w:rPr>
          <w:rFonts w:ascii="Times New Roman" w:hAnsi="Times New Roman"/>
          <w:sz w:val="28"/>
          <w:szCs w:val="28"/>
          <w:lang w:val="es-CO"/>
        </w:rPr>
        <w:t>stado</w:t>
      </w:r>
      <w:r w:rsidR="007B77FD" w:rsidRPr="007F2045">
        <w:rPr>
          <w:rFonts w:ascii="Times New Roman" w:hAnsi="Times New Roman"/>
          <w:sz w:val="28"/>
          <w:szCs w:val="28"/>
          <w:lang w:val="es-CO"/>
        </w:rPr>
        <w:t xml:space="preserve"> de e</w:t>
      </w:r>
      <w:r w:rsidR="00684A8D" w:rsidRPr="007F2045">
        <w:rPr>
          <w:rFonts w:ascii="Times New Roman" w:hAnsi="Times New Roman"/>
          <w:sz w:val="28"/>
          <w:szCs w:val="28"/>
          <w:lang w:val="es-CO"/>
        </w:rPr>
        <w:t>mergencia</w:t>
      </w:r>
      <w:r w:rsidR="0054243C" w:rsidRPr="007F2045">
        <w:rPr>
          <w:rFonts w:ascii="Times New Roman" w:hAnsi="Times New Roman"/>
          <w:sz w:val="28"/>
          <w:szCs w:val="28"/>
          <w:lang w:val="es-CO"/>
        </w:rPr>
        <w:t xml:space="preserve"> económica, social</w:t>
      </w:r>
      <w:r w:rsidR="00684A8D" w:rsidRPr="007F2045">
        <w:rPr>
          <w:rFonts w:ascii="Times New Roman" w:hAnsi="Times New Roman"/>
          <w:sz w:val="28"/>
          <w:szCs w:val="28"/>
          <w:lang w:val="es-CO"/>
        </w:rPr>
        <w:t> </w:t>
      </w:r>
      <w:r w:rsidR="0054243C" w:rsidRPr="007F2045">
        <w:rPr>
          <w:rFonts w:ascii="Times New Roman" w:hAnsi="Times New Roman"/>
          <w:sz w:val="28"/>
          <w:szCs w:val="28"/>
          <w:lang w:val="es-CO"/>
        </w:rPr>
        <w:t xml:space="preserve">o ecológica </w:t>
      </w:r>
      <w:r w:rsidR="00684A8D" w:rsidRPr="007F2045">
        <w:rPr>
          <w:rFonts w:ascii="Times New Roman" w:hAnsi="Times New Roman"/>
          <w:sz w:val="28"/>
          <w:szCs w:val="28"/>
          <w:lang w:val="es-CO"/>
        </w:rPr>
        <w:t>y</w:t>
      </w:r>
      <w:r w:rsidR="00C75B71" w:rsidRPr="007F2045">
        <w:rPr>
          <w:rFonts w:ascii="Times New Roman" w:hAnsi="Times New Roman"/>
          <w:sz w:val="28"/>
          <w:szCs w:val="28"/>
          <w:lang w:val="es-CO"/>
        </w:rPr>
        <w:t>,</w:t>
      </w:r>
      <w:r w:rsidR="00684A8D" w:rsidRPr="007F2045">
        <w:rPr>
          <w:rFonts w:ascii="Times New Roman" w:hAnsi="Times New Roman"/>
          <w:sz w:val="28"/>
          <w:szCs w:val="28"/>
          <w:lang w:val="es-CO"/>
        </w:rPr>
        <w:t xml:space="preserve"> con fundamento en </w:t>
      </w:r>
      <w:r w:rsidR="007B77FD" w:rsidRPr="007F2045">
        <w:rPr>
          <w:rFonts w:ascii="Times New Roman" w:hAnsi="Times New Roman"/>
          <w:sz w:val="28"/>
          <w:szCs w:val="28"/>
          <w:lang w:val="es-CO"/>
        </w:rPr>
        <w:t>él</w:t>
      </w:r>
      <w:r w:rsidR="00C75B71" w:rsidRPr="007F2045">
        <w:rPr>
          <w:rFonts w:ascii="Times New Roman" w:hAnsi="Times New Roman"/>
          <w:sz w:val="28"/>
          <w:szCs w:val="28"/>
          <w:lang w:val="es-CO"/>
        </w:rPr>
        <w:t>,</w:t>
      </w:r>
      <w:r w:rsidR="007B77FD" w:rsidRPr="007F2045">
        <w:rPr>
          <w:rFonts w:ascii="Times New Roman" w:hAnsi="Times New Roman"/>
          <w:sz w:val="28"/>
          <w:szCs w:val="28"/>
          <w:lang w:val="es-CO"/>
        </w:rPr>
        <w:t xml:space="preserve"> </w:t>
      </w:r>
      <w:r w:rsidR="00684A8D" w:rsidRPr="007F2045">
        <w:rPr>
          <w:rFonts w:ascii="Times New Roman" w:hAnsi="Times New Roman"/>
          <w:sz w:val="28"/>
          <w:szCs w:val="28"/>
          <w:lang w:val="es-CO"/>
        </w:rPr>
        <w:t xml:space="preserve">dictar </w:t>
      </w:r>
      <w:r w:rsidR="00684A8D" w:rsidRPr="007F2045">
        <w:rPr>
          <w:rFonts w:ascii="Times New Roman" w:hAnsi="Times New Roman"/>
          <w:i/>
          <w:sz w:val="28"/>
          <w:szCs w:val="28"/>
          <w:lang w:val="es-CO"/>
        </w:rPr>
        <w:t>decretos</w:t>
      </w:r>
      <w:r w:rsidR="000A7497" w:rsidRPr="007F2045">
        <w:rPr>
          <w:rFonts w:ascii="Times New Roman" w:hAnsi="Times New Roman"/>
          <w:i/>
          <w:sz w:val="28"/>
          <w:szCs w:val="28"/>
          <w:lang w:val="es-CO"/>
        </w:rPr>
        <w:t xml:space="preserve"> con fuerza de ley</w:t>
      </w:r>
      <w:r w:rsidR="00684A8D" w:rsidRPr="007F2045">
        <w:rPr>
          <w:rFonts w:ascii="Times New Roman" w:hAnsi="Times New Roman"/>
          <w:sz w:val="28"/>
          <w:szCs w:val="28"/>
          <w:lang w:val="es-CO"/>
        </w:rPr>
        <w:t>, destinados exclusivamente a conjurar la crisis y a impedir la extensión de sus efectos</w:t>
      </w:r>
      <w:r w:rsidR="00952D10" w:rsidRPr="007F2045">
        <w:rPr>
          <w:rFonts w:ascii="Times New Roman" w:hAnsi="Times New Roman"/>
          <w:sz w:val="28"/>
          <w:szCs w:val="28"/>
          <w:lang w:val="es-CO"/>
        </w:rPr>
        <w:t>,</w:t>
      </w:r>
      <w:r w:rsidR="00684A8D" w:rsidRPr="007F2045">
        <w:rPr>
          <w:rFonts w:ascii="Times New Roman" w:hAnsi="Times New Roman"/>
          <w:sz w:val="28"/>
          <w:szCs w:val="28"/>
          <w:lang w:val="es-CO"/>
        </w:rPr>
        <w:t xml:space="preserve"> previendo, </w:t>
      </w:r>
      <w:r w:rsidR="00952D10" w:rsidRPr="007F2045">
        <w:rPr>
          <w:rFonts w:ascii="Times New Roman" w:hAnsi="Times New Roman"/>
          <w:sz w:val="28"/>
          <w:szCs w:val="28"/>
          <w:lang w:val="es-CO"/>
        </w:rPr>
        <w:t xml:space="preserve">al </w:t>
      </w:r>
      <w:r w:rsidR="00684A8D" w:rsidRPr="007F2045">
        <w:rPr>
          <w:rFonts w:ascii="Times New Roman" w:hAnsi="Times New Roman"/>
          <w:sz w:val="28"/>
          <w:szCs w:val="28"/>
          <w:lang w:val="es-CO"/>
        </w:rPr>
        <w:t xml:space="preserve">igual que ocurre en el caso de los otros estados de excepción, que tales decretos deberán ser remitidos para el control de la Corte. </w:t>
      </w:r>
    </w:p>
    <w:p w14:paraId="7B0709F5" w14:textId="77777777" w:rsidR="00684A8D" w:rsidRPr="007F2045" w:rsidRDefault="00684A8D" w:rsidP="001B5728">
      <w:pPr>
        <w:pStyle w:val="Prrafodelista"/>
        <w:spacing w:after="0" w:line="240" w:lineRule="auto"/>
        <w:rPr>
          <w:rFonts w:ascii="Times New Roman" w:hAnsi="Times New Roman"/>
          <w:sz w:val="28"/>
          <w:szCs w:val="28"/>
          <w:lang w:val="es-CO"/>
        </w:rPr>
      </w:pPr>
    </w:p>
    <w:p w14:paraId="5815E3B4" w14:textId="77777777" w:rsidR="00684A8D" w:rsidRPr="007F2045" w:rsidRDefault="00684A8D"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lastRenderedPageBreak/>
        <w:t xml:space="preserve">Esta distinción se desprende también de la Ley 137 de 1994 “por la cual se regulan los Estados de Excepción en Colombia”. En </w:t>
      </w:r>
      <w:r w:rsidR="00F62F77" w:rsidRPr="007F2045">
        <w:rPr>
          <w:rFonts w:ascii="Times New Roman" w:hAnsi="Times New Roman"/>
          <w:sz w:val="28"/>
          <w:szCs w:val="28"/>
          <w:lang w:val="es-CO"/>
        </w:rPr>
        <w:t xml:space="preserve">dicha </w:t>
      </w:r>
      <w:r w:rsidRPr="007F2045">
        <w:rPr>
          <w:rFonts w:ascii="Times New Roman" w:hAnsi="Times New Roman"/>
          <w:sz w:val="28"/>
          <w:szCs w:val="28"/>
          <w:lang w:val="es-CO"/>
        </w:rPr>
        <w:t>ley</w:t>
      </w:r>
      <w:r w:rsidR="007B77FD" w:rsidRPr="007F2045">
        <w:rPr>
          <w:rFonts w:ascii="Times New Roman" w:hAnsi="Times New Roman"/>
          <w:sz w:val="28"/>
          <w:szCs w:val="28"/>
          <w:lang w:val="es-CO"/>
        </w:rPr>
        <w:t>,</w:t>
      </w:r>
      <w:r w:rsidRPr="007F2045">
        <w:rPr>
          <w:rFonts w:ascii="Times New Roman" w:hAnsi="Times New Roman"/>
          <w:sz w:val="28"/>
          <w:szCs w:val="28"/>
          <w:lang w:val="es-CO"/>
        </w:rPr>
        <w:t xml:space="preserve"> la expresión “decreto legislativo” es empleada para referirse a las medidas legislativas adoptadas por el presidente de la República después de que ha sido declarado el estado de excepción. </w:t>
      </w:r>
      <w:r w:rsidR="007B77FD" w:rsidRPr="007F2045">
        <w:rPr>
          <w:rFonts w:ascii="Times New Roman" w:hAnsi="Times New Roman"/>
          <w:sz w:val="28"/>
          <w:szCs w:val="28"/>
          <w:lang w:val="es-CO"/>
        </w:rPr>
        <w:t xml:space="preserve">Así, existe </w:t>
      </w:r>
      <w:r w:rsidRPr="007F2045">
        <w:rPr>
          <w:rFonts w:ascii="Times New Roman" w:hAnsi="Times New Roman"/>
          <w:sz w:val="28"/>
          <w:szCs w:val="28"/>
          <w:lang w:val="es-CO"/>
        </w:rPr>
        <w:t xml:space="preserve">una reserva terminológica para </w:t>
      </w:r>
      <w:r w:rsidR="00F62F77" w:rsidRPr="007F2045">
        <w:rPr>
          <w:rFonts w:ascii="Times New Roman" w:hAnsi="Times New Roman"/>
          <w:sz w:val="28"/>
          <w:szCs w:val="28"/>
          <w:lang w:val="es-CO"/>
        </w:rPr>
        <w:t xml:space="preserve">esa </w:t>
      </w:r>
      <w:r w:rsidRPr="007F2045">
        <w:rPr>
          <w:rFonts w:ascii="Times New Roman" w:hAnsi="Times New Roman"/>
          <w:sz w:val="28"/>
          <w:szCs w:val="28"/>
          <w:lang w:val="es-CO"/>
        </w:rPr>
        <w:t xml:space="preserve">expresión, </w:t>
      </w:r>
      <w:r w:rsidR="00CD324E" w:rsidRPr="007F2045">
        <w:rPr>
          <w:rFonts w:ascii="Times New Roman" w:hAnsi="Times New Roman"/>
          <w:sz w:val="28"/>
          <w:szCs w:val="28"/>
          <w:lang w:val="es-CO"/>
        </w:rPr>
        <w:t>en tanto</w:t>
      </w:r>
      <w:r w:rsidRPr="007F2045">
        <w:rPr>
          <w:rFonts w:ascii="Times New Roman" w:hAnsi="Times New Roman"/>
          <w:sz w:val="28"/>
          <w:szCs w:val="28"/>
          <w:lang w:val="es-CO"/>
        </w:rPr>
        <w:t xml:space="preserve"> el decreto declaratorio no tiene como finalidad establecer variaciones inmediatas en la legislación</w:t>
      </w:r>
      <w:r w:rsidR="009D7656" w:rsidRPr="007F2045">
        <w:rPr>
          <w:rFonts w:ascii="Times New Roman" w:hAnsi="Times New Roman"/>
          <w:sz w:val="28"/>
          <w:szCs w:val="28"/>
          <w:lang w:val="es-CO"/>
        </w:rPr>
        <w:t>,</w:t>
      </w:r>
      <w:r w:rsidRPr="007F2045">
        <w:rPr>
          <w:rFonts w:ascii="Times New Roman" w:hAnsi="Times New Roman"/>
          <w:sz w:val="28"/>
          <w:szCs w:val="28"/>
          <w:lang w:val="es-CO"/>
        </w:rPr>
        <w:t xml:space="preserve"> sino habilitar para que ellas sean introducidas por el presidente de la República mediante normas con fuerza de ley</w:t>
      </w:r>
      <w:r w:rsidRPr="007F2045">
        <w:rPr>
          <w:rFonts w:ascii="Times New Roman" w:hAnsi="Times New Roman"/>
          <w:szCs w:val="28"/>
          <w:vertAlign w:val="superscript"/>
          <w:lang w:val="es-CO"/>
        </w:rPr>
        <w:footnoteReference w:id="38"/>
      </w:r>
      <w:r w:rsidRPr="007F2045">
        <w:rPr>
          <w:rFonts w:ascii="Times New Roman" w:hAnsi="Times New Roman"/>
          <w:sz w:val="28"/>
          <w:szCs w:val="28"/>
          <w:lang w:val="es-CO"/>
        </w:rPr>
        <w:t xml:space="preserve">. </w:t>
      </w:r>
    </w:p>
    <w:p w14:paraId="5ACD5937" w14:textId="77777777" w:rsidR="00684A8D" w:rsidRPr="007F2045" w:rsidRDefault="00684A8D" w:rsidP="001B5728">
      <w:pPr>
        <w:pStyle w:val="Prrafodelista"/>
        <w:spacing w:after="0" w:line="240" w:lineRule="auto"/>
        <w:rPr>
          <w:rFonts w:ascii="Times New Roman" w:hAnsi="Times New Roman"/>
          <w:sz w:val="28"/>
          <w:szCs w:val="28"/>
          <w:lang w:val="es-CO"/>
        </w:rPr>
      </w:pPr>
    </w:p>
    <w:p w14:paraId="12E4713E" w14:textId="77777777" w:rsidR="00684A8D" w:rsidRPr="007F2045" w:rsidRDefault="00CD324E"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Es cierto que</w:t>
      </w:r>
      <w:r w:rsidR="00684A8D" w:rsidRPr="007F2045">
        <w:rPr>
          <w:rFonts w:ascii="Times New Roman" w:hAnsi="Times New Roman"/>
          <w:sz w:val="28"/>
          <w:szCs w:val="28"/>
          <w:lang w:val="es-CO"/>
        </w:rPr>
        <w:t xml:space="preserve"> la Corte ha utilizado en algunas oportunidades la expresión “decreto legislativo” para referirse no s</w:t>
      </w:r>
      <w:r w:rsidR="0054243C" w:rsidRPr="007F2045">
        <w:rPr>
          <w:rFonts w:ascii="Times New Roman" w:hAnsi="Times New Roman"/>
          <w:sz w:val="28"/>
          <w:szCs w:val="28"/>
          <w:lang w:val="es-CO"/>
        </w:rPr>
        <w:t>o</w:t>
      </w:r>
      <w:r w:rsidR="00684A8D" w:rsidRPr="007F2045">
        <w:rPr>
          <w:rFonts w:ascii="Times New Roman" w:hAnsi="Times New Roman"/>
          <w:sz w:val="28"/>
          <w:szCs w:val="28"/>
          <w:lang w:val="es-CO"/>
        </w:rPr>
        <w:t>lo a los decretos de desarrollo, sino también al decreto declaratorio. No obstante, la Sala Plena no ha dejado de reconocer la</w:t>
      </w:r>
      <w:r w:rsidR="0026362A" w:rsidRPr="007F2045">
        <w:rPr>
          <w:rFonts w:ascii="Times New Roman" w:hAnsi="Times New Roman"/>
          <w:sz w:val="28"/>
          <w:szCs w:val="28"/>
          <w:lang w:val="es-CO"/>
        </w:rPr>
        <w:t xml:space="preserve">s diferencias que existen entre la </w:t>
      </w:r>
      <w:r w:rsidR="00684A8D" w:rsidRPr="007F2045">
        <w:rPr>
          <w:rFonts w:ascii="Times New Roman" w:hAnsi="Times New Roman"/>
          <w:sz w:val="28"/>
          <w:szCs w:val="28"/>
          <w:lang w:val="es-CO"/>
        </w:rPr>
        <w:t>naturaleza de uno y otro. Esa distinción se fundamenta en la diversa función jurídica que cumple</w:t>
      </w:r>
      <w:r w:rsidR="002D1FC3" w:rsidRPr="007F2045">
        <w:rPr>
          <w:rFonts w:ascii="Times New Roman" w:hAnsi="Times New Roman"/>
          <w:sz w:val="28"/>
          <w:szCs w:val="28"/>
          <w:lang w:val="es-CO"/>
        </w:rPr>
        <w:t>n</w:t>
      </w:r>
      <w:r w:rsidR="00684A8D" w:rsidRPr="007F2045">
        <w:rPr>
          <w:rFonts w:ascii="Times New Roman" w:hAnsi="Times New Roman"/>
          <w:sz w:val="28"/>
          <w:szCs w:val="28"/>
          <w:lang w:val="es-CO"/>
        </w:rPr>
        <w:t xml:space="preserve">, en las características del control judicial que adelanta la Corte, así como en el tipo de razones que fundamentan la competencia de este </w:t>
      </w:r>
      <w:r w:rsidR="00865163" w:rsidRPr="007F2045">
        <w:rPr>
          <w:rFonts w:ascii="Times New Roman" w:hAnsi="Times New Roman"/>
          <w:sz w:val="28"/>
          <w:szCs w:val="28"/>
          <w:lang w:val="es-CO"/>
        </w:rPr>
        <w:t>T</w:t>
      </w:r>
      <w:r w:rsidR="00684A8D" w:rsidRPr="007F2045">
        <w:rPr>
          <w:rFonts w:ascii="Times New Roman" w:hAnsi="Times New Roman"/>
          <w:sz w:val="28"/>
          <w:szCs w:val="28"/>
          <w:lang w:val="es-CO"/>
        </w:rPr>
        <w:t>ribunal para pronunciarse sobre su constitucionalidad.</w:t>
      </w:r>
    </w:p>
    <w:p w14:paraId="60D91E54" w14:textId="77777777" w:rsidR="00684A8D" w:rsidRPr="007F2045" w:rsidRDefault="00684A8D" w:rsidP="001B5728">
      <w:pPr>
        <w:pStyle w:val="Prrafodelista"/>
        <w:spacing w:after="0" w:line="240" w:lineRule="auto"/>
        <w:rPr>
          <w:rFonts w:ascii="Times New Roman" w:hAnsi="Times New Roman"/>
          <w:sz w:val="28"/>
          <w:szCs w:val="28"/>
          <w:lang w:val="es-CO"/>
        </w:rPr>
      </w:pPr>
    </w:p>
    <w:p w14:paraId="046D6F4F" w14:textId="77777777" w:rsidR="00684A8D" w:rsidRPr="007F2045" w:rsidRDefault="00684A8D"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Sobre este último elemento</w:t>
      </w:r>
      <w:r w:rsidR="007B77FD" w:rsidRPr="007F2045">
        <w:rPr>
          <w:rFonts w:ascii="Times New Roman" w:hAnsi="Times New Roman"/>
          <w:sz w:val="28"/>
          <w:szCs w:val="28"/>
          <w:lang w:val="es-CO"/>
        </w:rPr>
        <w:t>,</w:t>
      </w:r>
      <w:r w:rsidRPr="007F2045">
        <w:rPr>
          <w:rFonts w:ascii="Times New Roman" w:hAnsi="Times New Roman"/>
          <w:sz w:val="28"/>
          <w:szCs w:val="28"/>
          <w:lang w:val="es-CO"/>
        </w:rPr>
        <w:t xml:space="preserve"> la sentencia C-156 de 2011 señaló que </w:t>
      </w:r>
      <w:r w:rsidRPr="007F2045">
        <w:rPr>
          <w:rFonts w:ascii="Times New Roman" w:hAnsi="Times New Roman"/>
          <w:sz w:val="28"/>
          <w:szCs w:val="28"/>
          <w:shd w:val="clear" w:color="auto" w:fill="FFFFFF"/>
          <w:lang w:val="es-CO"/>
        </w:rPr>
        <w:t>“[l]os artículos 214.6 y 241.7 de la Constitución Política aluden explícitamente a </w:t>
      </w:r>
      <w:r w:rsidR="007B77FD" w:rsidRPr="007F2045">
        <w:rPr>
          <w:rFonts w:ascii="Times New Roman" w:hAnsi="Times New Roman"/>
          <w:iCs/>
          <w:sz w:val="28"/>
          <w:szCs w:val="28"/>
          <w:shd w:val="clear" w:color="auto" w:fill="FFFFFF"/>
          <w:lang w:val="es-CO"/>
        </w:rPr>
        <w:t>‘</w:t>
      </w:r>
      <w:r w:rsidRPr="007F2045">
        <w:rPr>
          <w:rFonts w:ascii="Times New Roman" w:hAnsi="Times New Roman"/>
          <w:iCs/>
          <w:sz w:val="28"/>
          <w:szCs w:val="28"/>
          <w:shd w:val="clear" w:color="auto" w:fill="FFFFFF"/>
          <w:lang w:val="es-CO"/>
        </w:rPr>
        <w:t>decretos legislativos</w:t>
      </w:r>
      <w:r w:rsidR="007B77FD" w:rsidRPr="007F2045">
        <w:rPr>
          <w:rFonts w:ascii="Times New Roman" w:hAnsi="Times New Roman"/>
          <w:iCs/>
          <w:sz w:val="28"/>
          <w:szCs w:val="28"/>
          <w:shd w:val="clear" w:color="auto" w:fill="FFFFFF"/>
          <w:lang w:val="es-CO"/>
        </w:rPr>
        <w:t>’</w:t>
      </w:r>
      <w:r w:rsidRPr="007F2045">
        <w:rPr>
          <w:rFonts w:ascii="Times New Roman" w:hAnsi="Times New Roman"/>
          <w:sz w:val="28"/>
          <w:szCs w:val="28"/>
          <w:shd w:val="clear" w:color="auto" w:fill="FFFFFF"/>
          <w:lang w:val="es-CO"/>
        </w:rPr>
        <w:t>, esto es, con fuerza de ley”, señalando</w:t>
      </w:r>
      <w:r w:rsidR="007B77FD" w:rsidRPr="007F2045">
        <w:rPr>
          <w:rFonts w:ascii="Times New Roman" w:hAnsi="Times New Roman"/>
          <w:sz w:val="28"/>
          <w:szCs w:val="28"/>
          <w:shd w:val="clear" w:color="auto" w:fill="FFFFFF"/>
          <w:lang w:val="es-CO"/>
        </w:rPr>
        <w:t>,</w:t>
      </w:r>
      <w:r w:rsidRPr="007F2045">
        <w:rPr>
          <w:rFonts w:ascii="Times New Roman" w:hAnsi="Times New Roman"/>
          <w:sz w:val="28"/>
          <w:szCs w:val="28"/>
          <w:shd w:val="clear" w:color="auto" w:fill="FFFFFF"/>
          <w:lang w:val="es-CO"/>
        </w:rPr>
        <w:t xml:space="preserve"> a continuación</w:t>
      </w:r>
      <w:r w:rsidR="007B77FD" w:rsidRPr="007F2045">
        <w:rPr>
          <w:rFonts w:ascii="Times New Roman" w:hAnsi="Times New Roman"/>
          <w:sz w:val="28"/>
          <w:szCs w:val="28"/>
          <w:shd w:val="clear" w:color="auto" w:fill="FFFFFF"/>
          <w:lang w:val="es-CO"/>
        </w:rPr>
        <w:t>,</w:t>
      </w:r>
      <w:r w:rsidRPr="007F2045">
        <w:rPr>
          <w:rFonts w:ascii="Times New Roman" w:hAnsi="Times New Roman"/>
          <w:sz w:val="28"/>
          <w:szCs w:val="28"/>
          <w:shd w:val="clear" w:color="auto" w:fill="FFFFFF"/>
          <w:lang w:val="es-CO"/>
        </w:rPr>
        <w:t xml:space="preserve"> que</w:t>
      </w:r>
      <w:r w:rsidR="007B77FD" w:rsidRPr="007F2045">
        <w:rPr>
          <w:rFonts w:ascii="Times New Roman" w:hAnsi="Times New Roman"/>
          <w:sz w:val="28"/>
          <w:szCs w:val="28"/>
          <w:shd w:val="clear" w:color="auto" w:fill="FFFFFF"/>
          <w:lang w:val="es-CO"/>
        </w:rPr>
        <w:t>,</w:t>
      </w:r>
      <w:r w:rsidRPr="007F2045">
        <w:rPr>
          <w:rFonts w:ascii="Times New Roman" w:hAnsi="Times New Roman"/>
          <w:sz w:val="28"/>
          <w:szCs w:val="28"/>
          <w:shd w:val="clear" w:color="auto" w:fill="FFFFFF"/>
          <w:lang w:val="es-CO"/>
        </w:rPr>
        <w:t xml:space="preserve"> “[p]</w:t>
      </w:r>
      <w:proofErr w:type="spellStart"/>
      <w:r w:rsidRPr="007F2045">
        <w:rPr>
          <w:rFonts w:ascii="Times New Roman" w:hAnsi="Times New Roman"/>
          <w:sz w:val="28"/>
          <w:szCs w:val="28"/>
          <w:shd w:val="clear" w:color="auto" w:fill="FFFFFF"/>
          <w:lang w:val="es-CO"/>
        </w:rPr>
        <w:t>or</w:t>
      </w:r>
      <w:proofErr w:type="spellEnd"/>
      <w:r w:rsidRPr="007F2045">
        <w:rPr>
          <w:rFonts w:ascii="Times New Roman" w:hAnsi="Times New Roman"/>
          <w:sz w:val="28"/>
          <w:szCs w:val="28"/>
          <w:shd w:val="clear" w:color="auto" w:fill="FFFFFF"/>
          <w:lang w:val="es-CO"/>
        </w:rPr>
        <w:t xml:space="preserve"> su contenido material, el acto de declaración de un estado de excepción </w:t>
      </w:r>
      <w:bookmarkStart w:id="5" w:name="_Hlk425968"/>
      <w:r w:rsidR="00017205" w:rsidRPr="007F2045">
        <w:rPr>
          <w:rFonts w:ascii="Times New Roman" w:hAnsi="Times New Roman"/>
          <w:sz w:val="28"/>
          <w:szCs w:val="28"/>
          <w:shd w:val="clear" w:color="auto" w:fill="FFFFFF"/>
          <w:lang w:val="es-CO"/>
        </w:rPr>
        <w:t>–</w:t>
      </w:r>
      <w:bookmarkEnd w:id="5"/>
      <w:r w:rsidRPr="007F2045">
        <w:rPr>
          <w:rFonts w:ascii="Times New Roman" w:hAnsi="Times New Roman"/>
          <w:sz w:val="28"/>
          <w:szCs w:val="28"/>
          <w:shd w:val="clear" w:color="auto" w:fill="FFFFFF"/>
          <w:lang w:val="es-CO"/>
        </w:rPr>
        <w:t>de guerra exterior, de conmoción interior o de emergencia</w:t>
      </w:r>
      <w:r w:rsidR="00017205" w:rsidRPr="007F2045">
        <w:rPr>
          <w:rFonts w:ascii="Times New Roman" w:hAnsi="Times New Roman"/>
          <w:sz w:val="28"/>
          <w:szCs w:val="28"/>
          <w:shd w:val="clear" w:color="auto" w:fill="FFFFFF"/>
          <w:lang w:val="es-CO"/>
        </w:rPr>
        <w:t>–</w:t>
      </w:r>
      <w:r w:rsidRPr="007F2045">
        <w:rPr>
          <w:rFonts w:ascii="Times New Roman" w:hAnsi="Times New Roman"/>
          <w:sz w:val="28"/>
          <w:szCs w:val="28"/>
          <w:shd w:val="clear" w:color="auto" w:fill="FFFFFF"/>
          <w:lang w:val="es-CO"/>
        </w:rPr>
        <w:t xml:space="preserve"> no encuadra en el tipo de normas jurídicas expedidas para derogar o modificar leyes preexistentes, como ocurre con los decretos de desarrollo expedidos</w:t>
      </w:r>
      <w:r w:rsidR="004E764A" w:rsidRPr="007F2045">
        <w:rPr>
          <w:rFonts w:ascii="Times New Roman" w:hAnsi="Times New Roman"/>
          <w:sz w:val="28"/>
          <w:szCs w:val="28"/>
          <w:shd w:val="clear" w:color="auto" w:fill="FFFFFF"/>
          <w:lang w:val="es-CO"/>
        </w:rPr>
        <w:t xml:space="preserve"> [a]</w:t>
      </w:r>
      <w:r w:rsidRPr="007F2045">
        <w:rPr>
          <w:rFonts w:ascii="Times New Roman" w:hAnsi="Times New Roman"/>
          <w:sz w:val="28"/>
          <w:szCs w:val="28"/>
          <w:shd w:val="clear" w:color="auto" w:fill="FFFFFF"/>
          <w:lang w:val="es-CO"/>
        </w:rPr>
        <w:t xml:space="preserve"> su amparo”. </w:t>
      </w:r>
      <w:r w:rsidR="00CD324E" w:rsidRPr="007F2045">
        <w:rPr>
          <w:rFonts w:ascii="Times New Roman" w:hAnsi="Times New Roman"/>
          <w:sz w:val="28"/>
          <w:szCs w:val="28"/>
          <w:shd w:val="clear" w:color="auto" w:fill="FFFFFF"/>
          <w:lang w:val="es-CO"/>
        </w:rPr>
        <w:t>En dicha sentencia, la Corte d</w:t>
      </w:r>
      <w:r w:rsidRPr="007F2045">
        <w:rPr>
          <w:rFonts w:ascii="Times New Roman" w:hAnsi="Times New Roman"/>
          <w:sz w:val="28"/>
          <w:szCs w:val="28"/>
          <w:shd w:val="clear" w:color="auto" w:fill="FFFFFF"/>
          <w:lang w:val="es-CO"/>
        </w:rPr>
        <w:t>estacó</w:t>
      </w:r>
      <w:r w:rsidR="007B77FD" w:rsidRPr="007F2045">
        <w:rPr>
          <w:rFonts w:ascii="Times New Roman" w:hAnsi="Times New Roman"/>
          <w:sz w:val="28"/>
          <w:szCs w:val="28"/>
          <w:shd w:val="clear" w:color="auto" w:fill="FFFFFF"/>
          <w:lang w:val="es-CO"/>
        </w:rPr>
        <w:t xml:space="preserve"> </w:t>
      </w:r>
      <w:r w:rsidRPr="007F2045">
        <w:rPr>
          <w:rFonts w:ascii="Times New Roman" w:hAnsi="Times New Roman"/>
          <w:sz w:val="28"/>
          <w:szCs w:val="28"/>
          <w:shd w:val="clear" w:color="auto" w:fill="FFFFFF"/>
          <w:lang w:val="es-CO"/>
        </w:rPr>
        <w:t>que también tiene competencia para controlar el decreto declaratorio</w:t>
      </w:r>
      <w:r w:rsidR="007B77FD" w:rsidRPr="007F2045">
        <w:rPr>
          <w:rFonts w:ascii="Times New Roman" w:hAnsi="Times New Roman"/>
          <w:sz w:val="28"/>
          <w:szCs w:val="28"/>
          <w:shd w:val="clear" w:color="auto" w:fill="FFFFFF"/>
          <w:lang w:val="es-CO"/>
        </w:rPr>
        <w:t>,</w:t>
      </w:r>
      <w:r w:rsidRPr="007F2045">
        <w:rPr>
          <w:rFonts w:ascii="Times New Roman" w:hAnsi="Times New Roman"/>
          <w:sz w:val="28"/>
          <w:szCs w:val="28"/>
          <w:shd w:val="clear" w:color="auto" w:fill="FFFFFF"/>
          <w:lang w:val="es-CO"/>
        </w:rPr>
        <w:t xml:space="preserve"> dado que “en un estado de derecho no pueden existir actos del poder público exentos de control, como una garantía del sometimiento efectivo de las autoridades y los ciudadanos al orden jurídico y en guarda de la supremacía de la Constitución”. </w:t>
      </w:r>
      <w:r w:rsidR="00CD324E" w:rsidRPr="007F2045">
        <w:rPr>
          <w:rFonts w:ascii="Times New Roman" w:hAnsi="Times New Roman"/>
          <w:sz w:val="28"/>
          <w:szCs w:val="28"/>
          <w:shd w:val="clear" w:color="auto" w:fill="FFFFFF"/>
          <w:lang w:val="es-CO"/>
        </w:rPr>
        <w:t>También señaló que ello es así, por tratarse “</w:t>
      </w:r>
      <w:r w:rsidRPr="007F2045">
        <w:rPr>
          <w:rFonts w:ascii="Times New Roman" w:hAnsi="Times New Roman"/>
          <w:sz w:val="28"/>
          <w:szCs w:val="28"/>
          <w:shd w:val="clear" w:color="auto" w:fill="FFFFFF"/>
          <w:lang w:val="es-CO"/>
        </w:rPr>
        <w:t>de aquel acto mediante el cual el titular de la rama ejecutiv</w:t>
      </w:r>
      <w:r w:rsidR="00C75B71" w:rsidRPr="007F2045">
        <w:rPr>
          <w:rFonts w:ascii="Times New Roman" w:hAnsi="Times New Roman"/>
          <w:sz w:val="28"/>
          <w:szCs w:val="28"/>
          <w:shd w:val="clear" w:color="auto" w:fill="FFFFFF"/>
          <w:lang w:val="es-CO"/>
        </w:rPr>
        <w:t>a</w:t>
      </w:r>
      <w:r w:rsidRPr="007F2045">
        <w:rPr>
          <w:rFonts w:ascii="Times New Roman" w:hAnsi="Times New Roman"/>
          <w:sz w:val="28"/>
          <w:szCs w:val="28"/>
          <w:shd w:val="clear" w:color="auto" w:fill="FFFFFF"/>
          <w:lang w:val="es-CO"/>
        </w:rPr>
        <w:t xml:space="preserve"> se habilita temporalmente como </w:t>
      </w:r>
      <w:r w:rsidR="00414060" w:rsidRPr="007F2045">
        <w:rPr>
          <w:rFonts w:ascii="Times New Roman" w:hAnsi="Times New Roman"/>
          <w:sz w:val="28"/>
          <w:szCs w:val="28"/>
          <w:shd w:val="clear" w:color="auto" w:fill="FFFFFF"/>
          <w:lang w:val="es-CO"/>
        </w:rPr>
        <w:t>legislador</w:t>
      </w:r>
      <w:r w:rsidRPr="007F2045">
        <w:rPr>
          <w:rFonts w:ascii="Times New Roman" w:hAnsi="Times New Roman"/>
          <w:sz w:val="28"/>
          <w:szCs w:val="28"/>
          <w:shd w:val="clear" w:color="auto" w:fill="FFFFFF"/>
          <w:lang w:val="es-CO"/>
        </w:rPr>
        <w:t>, esto es, se inviste de poder legislativo</w:t>
      </w:r>
      <w:r w:rsidR="00CD324E" w:rsidRPr="007F2045">
        <w:rPr>
          <w:rFonts w:ascii="Times New Roman" w:hAnsi="Times New Roman"/>
          <w:sz w:val="28"/>
          <w:szCs w:val="28"/>
          <w:shd w:val="clear" w:color="auto" w:fill="FFFFFF"/>
          <w:lang w:val="es-CO"/>
        </w:rPr>
        <w:t>”, razón por la cual</w:t>
      </w:r>
      <w:r w:rsidRPr="007F2045">
        <w:rPr>
          <w:rFonts w:ascii="Times New Roman" w:hAnsi="Times New Roman"/>
          <w:sz w:val="28"/>
          <w:szCs w:val="28"/>
          <w:shd w:val="clear" w:color="auto" w:fill="FFFFFF"/>
          <w:lang w:val="es-CO"/>
        </w:rPr>
        <w:t xml:space="preserve"> “la jurisprudencia constitucional ha reiterado el control jurisdiccional integral que le corresponde ejercer sobre los decretos declaratorios de los estados de excepción”</w:t>
      </w:r>
      <w:r w:rsidRPr="007F2045">
        <w:rPr>
          <w:rFonts w:ascii="Times New Roman" w:hAnsi="Times New Roman"/>
          <w:szCs w:val="28"/>
          <w:shd w:val="clear" w:color="auto" w:fill="FFFFFF"/>
          <w:vertAlign w:val="superscript"/>
          <w:lang w:val="es-CO"/>
        </w:rPr>
        <w:footnoteReference w:id="39"/>
      </w:r>
      <w:r w:rsidRPr="007F2045">
        <w:rPr>
          <w:rFonts w:ascii="Times New Roman" w:hAnsi="Times New Roman"/>
          <w:sz w:val="28"/>
          <w:szCs w:val="28"/>
          <w:shd w:val="clear" w:color="auto" w:fill="FFFFFF"/>
          <w:lang w:val="es-CO"/>
        </w:rPr>
        <w:t>.</w:t>
      </w:r>
    </w:p>
    <w:p w14:paraId="7553E7A9" w14:textId="77777777" w:rsidR="00684A8D" w:rsidRPr="007F2045" w:rsidRDefault="00684A8D" w:rsidP="001B5728">
      <w:pPr>
        <w:pStyle w:val="Prrafodelista"/>
        <w:tabs>
          <w:tab w:val="left" w:pos="284"/>
          <w:tab w:val="left" w:pos="426"/>
        </w:tabs>
        <w:spacing w:after="0" w:line="240" w:lineRule="auto"/>
        <w:ind w:left="0"/>
        <w:rPr>
          <w:rFonts w:ascii="Times New Roman" w:hAnsi="Times New Roman"/>
          <w:sz w:val="28"/>
          <w:szCs w:val="28"/>
          <w:lang w:val="es-CO"/>
        </w:rPr>
      </w:pPr>
    </w:p>
    <w:p w14:paraId="2EEB46EA" w14:textId="77777777" w:rsidR="00684A8D" w:rsidRPr="007F2045" w:rsidRDefault="00E20AE4"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Con base en lo anterior, es claro que </w:t>
      </w:r>
      <w:r w:rsidR="6FF1B433" w:rsidRPr="007F2045">
        <w:rPr>
          <w:rFonts w:ascii="Times New Roman" w:hAnsi="Times New Roman"/>
          <w:sz w:val="28"/>
          <w:szCs w:val="28"/>
          <w:lang w:val="es-CO"/>
        </w:rPr>
        <w:t>la interpretación de las disposiciones que integran el régimen jurídico de los estados de excepción debe tomar en consideración la diferencia entre los decretos declaratorio</w:t>
      </w:r>
      <w:r w:rsidR="0682D473" w:rsidRPr="007F2045">
        <w:rPr>
          <w:rFonts w:ascii="Times New Roman" w:hAnsi="Times New Roman"/>
          <w:sz w:val="28"/>
          <w:szCs w:val="28"/>
          <w:lang w:val="es-CO"/>
        </w:rPr>
        <w:t>s</w:t>
      </w:r>
      <w:r w:rsidR="6FF1B433" w:rsidRPr="007F2045">
        <w:rPr>
          <w:rFonts w:ascii="Times New Roman" w:hAnsi="Times New Roman"/>
          <w:sz w:val="28"/>
          <w:szCs w:val="28"/>
          <w:lang w:val="es-CO"/>
        </w:rPr>
        <w:t xml:space="preserve"> y los decretos de desarrollo. </w:t>
      </w:r>
      <w:r w:rsidR="0682D473" w:rsidRPr="007F2045">
        <w:rPr>
          <w:rFonts w:ascii="Times New Roman" w:hAnsi="Times New Roman"/>
          <w:sz w:val="28"/>
          <w:szCs w:val="28"/>
          <w:lang w:val="es-CO"/>
        </w:rPr>
        <w:t xml:space="preserve">Esta distinción </w:t>
      </w:r>
      <w:r w:rsidR="6FF1B433" w:rsidRPr="007F2045">
        <w:rPr>
          <w:rFonts w:ascii="Times New Roman" w:hAnsi="Times New Roman"/>
          <w:sz w:val="28"/>
          <w:szCs w:val="28"/>
          <w:lang w:val="es-CO"/>
        </w:rPr>
        <w:t>resulta de especial importancia en esta oportunidad</w:t>
      </w:r>
      <w:r w:rsidR="0682D473" w:rsidRPr="007F2045">
        <w:rPr>
          <w:rFonts w:ascii="Times New Roman" w:hAnsi="Times New Roman"/>
          <w:sz w:val="28"/>
          <w:szCs w:val="28"/>
          <w:lang w:val="es-CO"/>
        </w:rPr>
        <w:t>,</w:t>
      </w:r>
      <w:r w:rsidR="6FF1B433" w:rsidRPr="007F2045">
        <w:rPr>
          <w:rFonts w:ascii="Times New Roman" w:hAnsi="Times New Roman"/>
          <w:sz w:val="28"/>
          <w:szCs w:val="28"/>
          <w:lang w:val="es-CO"/>
        </w:rPr>
        <w:t xml:space="preserve"> a fin de precisar el alcance de lo decidido por la Corte en la sentencia C-179 de 1994.</w:t>
      </w:r>
    </w:p>
    <w:p w14:paraId="130C570D" w14:textId="77777777" w:rsidR="00684A8D" w:rsidRPr="007F2045" w:rsidRDefault="00684A8D" w:rsidP="001B5728">
      <w:pPr>
        <w:pStyle w:val="Prrafodelista"/>
        <w:tabs>
          <w:tab w:val="left" w:pos="284"/>
          <w:tab w:val="left" w:pos="426"/>
        </w:tabs>
        <w:spacing w:after="0" w:line="240" w:lineRule="auto"/>
        <w:ind w:left="0"/>
        <w:rPr>
          <w:rFonts w:ascii="Times New Roman" w:hAnsi="Times New Roman"/>
          <w:sz w:val="28"/>
          <w:szCs w:val="28"/>
          <w:lang w:val="es-CO"/>
        </w:rPr>
      </w:pPr>
      <w:r w:rsidRPr="007F2045">
        <w:rPr>
          <w:rFonts w:ascii="Times New Roman" w:hAnsi="Times New Roman"/>
          <w:sz w:val="28"/>
          <w:szCs w:val="28"/>
          <w:lang w:val="es-CO"/>
        </w:rPr>
        <w:t xml:space="preserve"> </w:t>
      </w:r>
    </w:p>
    <w:p w14:paraId="5B74519B" w14:textId="77777777" w:rsidR="00684A8D" w:rsidRPr="007F2045" w:rsidRDefault="6FF1B433" w:rsidP="001B5728">
      <w:pPr>
        <w:pStyle w:val="Subttulo2"/>
        <w:ind w:left="1134" w:hanging="425"/>
        <w:rPr>
          <w:lang w:val="es-CO"/>
        </w:rPr>
      </w:pPr>
      <w:r w:rsidRPr="007F2045">
        <w:rPr>
          <w:lang w:val="es-CO"/>
        </w:rPr>
        <w:t>La sentencia C-179 de 1994 no juzgó la procedencia de la suspensión provisional de los efectos de los decretos que declaran un estado de excepción</w:t>
      </w:r>
    </w:p>
    <w:p w14:paraId="186B96E1" w14:textId="77777777" w:rsidR="00684A8D" w:rsidRPr="007F2045" w:rsidRDefault="00684A8D" w:rsidP="001B5728">
      <w:pPr>
        <w:spacing w:after="0" w:line="240" w:lineRule="auto"/>
        <w:rPr>
          <w:rFonts w:ascii="Times New Roman" w:hAnsi="Times New Roman"/>
          <w:sz w:val="28"/>
          <w:szCs w:val="28"/>
          <w:lang w:val="es-CO"/>
        </w:rPr>
      </w:pPr>
    </w:p>
    <w:p w14:paraId="7287FAF8" w14:textId="77777777" w:rsidR="00684A8D" w:rsidRPr="007F2045" w:rsidRDefault="6FF1B433"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bookmarkStart w:id="6" w:name="_Ref222224912"/>
      <w:r w:rsidRPr="007F2045">
        <w:rPr>
          <w:rFonts w:ascii="Times New Roman" w:hAnsi="Times New Roman"/>
          <w:sz w:val="28"/>
          <w:szCs w:val="28"/>
          <w:lang w:val="es-CO"/>
        </w:rPr>
        <w:t xml:space="preserve">La Corte se ha preguntado </w:t>
      </w:r>
      <w:r w:rsidR="00C75B71" w:rsidRPr="007F2045">
        <w:rPr>
          <w:rFonts w:ascii="Times New Roman" w:hAnsi="Times New Roman"/>
          <w:sz w:val="28"/>
          <w:szCs w:val="28"/>
          <w:lang w:val="es-CO"/>
        </w:rPr>
        <w:t xml:space="preserve">en esta oportunidad </w:t>
      </w:r>
      <w:r w:rsidRPr="007F2045">
        <w:rPr>
          <w:rFonts w:ascii="Times New Roman" w:hAnsi="Times New Roman"/>
          <w:sz w:val="28"/>
          <w:szCs w:val="28"/>
          <w:lang w:val="es-CO"/>
        </w:rPr>
        <w:t>si los efectos de la cosa juzgada constitucional que se derivan de la sentencia C-179 de 1994, afectan su competencia para pronunciarse, en los términos</w:t>
      </w:r>
      <w:r w:rsidR="002D1FC3" w:rsidRPr="007F2045">
        <w:rPr>
          <w:rFonts w:ascii="Times New Roman" w:hAnsi="Times New Roman"/>
          <w:sz w:val="28"/>
          <w:szCs w:val="28"/>
          <w:lang w:val="es-CO"/>
        </w:rPr>
        <w:t xml:space="preserve"> previstos</w:t>
      </w:r>
      <w:r w:rsidRPr="007F2045">
        <w:rPr>
          <w:rFonts w:ascii="Times New Roman" w:hAnsi="Times New Roman"/>
          <w:sz w:val="28"/>
          <w:szCs w:val="28"/>
          <w:lang w:val="es-CO"/>
        </w:rPr>
        <w:t xml:space="preserve"> en el </w:t>
      </w:r>
      <w:r w:rsidR="7CCAEF3F" w:rsidRPr="007F2045">
        <w:rPr>
          <w:rFonts w:ascii="Times New Roman" w:hAnsi="Times New Roman"/>
          <w:sz w:val="28"/>
          <w:szCs w:val="28"/>
          <w:lang w:val="es-CO"/>
        </w:rPr>
        <w:t>a</w:t>
      </w:r>
      <w:r w:rsidRPr="007F2045">
        <w:rPr>
          <w:rFonts w:ascii="Times New Roman" w:hAnsi="Times New Roman"/>
          <w:sz w:val="28"/>
          <w:szCs w:val="28"/>
          <w:lang w:val="es-CO"/>
        </w:rPr>
        <w:t xml:space="preserve">uto 272 de 2023, sobre la suspensión provisional de los decretos que declaran un estado de excepción. Para </w:t>
      </w:r>
      <w:r w:rsidR="0008669E" w:rsidRPr="007F2045">
        <w:rPr>
          <w:rFonts w:ascii="Times New Roman" w:hAnsi="Times New Roman"/>
          <w:sz w:val="28"/>
          <w:szCs w:val="28"/>
          <w:lang w:val="es-CO"/>
        </w:rPr>
        <w:t>este Tribunal</w:t>
      </w:r>
      <w:r w:rsidR="775A8384" w:rsidRPr="007F2045">
        <w:rPr>
          <w:rFonts w:ascii="Times New Roman" w:hAnsi="Times New Roman"/>
          <w:sz w:val="28"/>
          <w:szCs w:val="28"/>
          <w:lang w:val="es-CO"/>
        </w:rPr>
        <w:t>,</w:t>
      </w:r>
      <w:r w:rsidRPr="007F2045">
        <w:rPr>
          <w:rFonts w:ascii="Times New Roman" w:hAnsi="Times New Roman"/>
          <w:sz w:val="28"/>
          <w:szCs w:val="28"/>
          <w:lang w:val="es-CO"/>
        </w:rPr>
        <w:t xml:space="preserve"> la respuesta a esta pregunta es negativa. El pronunciamiento adoptado en la sentencia C-179 de 1994</w:t>
      </w:r>
      <w:r w:rsidR="07B93833" w:rsidRPr="007F2045">
        <w:rPr>
          <w:rFonts w:ascii="Times New Roman" w:hAnsi="Times New Roman"/>
          <w:sz w:val="28"/>
          <w:szCs w:val="28"/>
          <w:lang w:val="es-CO"/>
        </w:rPr>
        <w:t>,</w:t>
      </w:r>
      <w:r w:rsidRPr="007F2045">
        <w:rPr>
          <w:rFonts w:ascii="Times New Roman" w:hAnsi="Times New Roman"/>
          <w:sz w:val="28"/>
          <w:szCs w:val="28"/>
          <w:lang w:val="es-CO"/>
        </w:rPr>
        <w:t xml:space="preserve"> que encontró inconstitucional la</w:t>
      </w:r>
      <w:r w:rsidR="07B93833" w:rsidRPr="007F2045">
        <w:rPr>
          <w:rFonts w:ascii="Times New Roman" w:hAnsi="Times New Roman"/>
          <w:sz w:val="28"/>
          <w:szCs w:val="28"/>
          <w:lang w:val="es-CO"/>
        </w:rPr>
        <w:t xml:space="preserve"> medida especial de</w:t>
      </w:r>
      <w:r w:rsidRPr="007F2045">
        <w:rPr>
          <w:rFonts w:ascii="Times New Roman" w:hAnsi="Times New Roman"/>
          <w:sz w:val="28"/>
          <w:szCs w:val="28"/>
          <w:lang w:val="es-CO"/>
        </w:rPr>
        <w:t xml:space="preserve"> suspensión provisional que se establecía en los artículos 19, 20, 27, 38 y 56 del proyecto de ley juzgado en ese entonces, no evaluó dicha atribución respecto de los decretos que declaran un estado de excepción sino, únicamente, respecto de </w:t>
      </w:r>
      <w:r w:rsidR="07B93833" w:rsidRPr="007F2045">
        <w:rPr>
          <w:rFonts w:ascii="Times New Roman" w:hAnsi="Times New Roman"/>
          <w:sz w:val="28"/>
          <w:szCs w:val="28"/>
          <w:lang w:val="es-CO"/>
        </w:rPr>
        <w:t xml:space="preserve">las medidas que se adoptan al amparo de </w:t>
      </w:r>
      <w:r w:rsidRPr="007F2045">
        <w:rPr>
          <w:rFonts w:ascii="Times New Roman" w:hAnsi="Times New Roman"/>
          <w:sz w:val="28"/>
          <w:szCs w:val="28"/>
          <w:lang w:val="es-CO"/>
        </w:rPr>
        <w:t xml:space="preserve">los decretos de desarrollo. Ninguna de las disposiciones que preveían la suspensión provisional en el proyecto de ley juzgado en </w:t>
      </w:r>
      <w:r w:rsidR="002D1FC3" w:rsidRPr="007F2045">
        <w:rPr>
          <w:rFonts w:ascii="Times New Roman" w:hAnsi="Times New Roman"/>
          <w:sz w:val="28"/>
          <w:szCs w:val="28"/>
          <w:lang w:val="es-CO"/>
        </w:rPr>
        <w:t xml:space="preserve">esa oportunidad </w:t>
      </w:r>
      <w:r w:rsidRPr="007F2045">
        <w:rPr>
          <w:rFonts w:ascii="Times New Roman" w:hAnsi="Times New Roman"/>
          <w:sz w:val="28"/>
          <w:szCs w:val="28"/>
          <w:lang w:val="es-CO"/>
        </w:rPr>
        <w:t>se refería</w:t>
      </w:r>
      <w:r w:rsidR="0054243C" w:rsidRPr="007F2045">
        <w:rPr>
          <w:rFonts w:ascii="Times New Roman" w:hAnsi="Times New Roman"/>
          <w:sz w:val="28"/>
          <w:szCs w:val="28"/>
          <w:lang w:val="es-CO"/>
        </w:rPr>
        <w:t xml:space="preserve"> </w:t>
      </w:r>
      <w:r w:rsidRPr="007F2045">
        <w:rPr>
          <w:rFonts w:ascii="Times New Roman" w:hAnsi="Times New Roman"/>
          <w:sz w:val="28"/>
          <w:szCs w:val="28"/>
          <w:lang w:val="es-CO"/>
        </w:rPr>
        <w:t>a los decretos que declaran el estado de excepción</w:t>
      </w:r>
      <w:r w:rsidR="07B93833" w:rsidRPr="007F2045">
        <w:rPr>
          <w:rFonts w:ascii="Times New Roman" w:hAnsi="Times New Roman"/>
          <w:sz w:val="28"/>
          <w:szCs w:val="28"/>
          <w:lang w:val="es-CO"/>
        </w:rPr>
        <w:t>.</w:t>
      </w:r>
      <w:bookmarkEnd w:id="6"/>
    </w:p>
    <w:p w14:paraId="65B3F600" w14:textId="77777777" w:rsidR="00684A8D" w:rsidRPr="007F2045" w:rsidRDefault="00684A8D" w:rsidP="001B5728">
      <w:pPr>
        <w:pStyle w:val="Prrafodelista"/>
        <w:spacing w:after="0" w:line="240" w:lineRule="auto"/>
        <w:rPr>
          <w:rFonts w:ascii="Times New Roman" w:hAnsi="Times New Roman"/>
          <w:sz w:val="28"/>
          <w:szCs w:val="28"/>
          <w:lang w:val="es-CO"/>
        </w:rPr>
      </w:pPr>
    </w:p>
    <w:p w14:paraId="43F14C38" w14:textId="77777777" w:rsidR="00684A8D" w:rsidRPr="007F2045" w:rsidRDefault="00684A8D"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Los artículos 19, 20, 27, 38 y 56 del proyecto de ley examinado en la sentencia C-179 de 1994 establecían reglas relativas a la competencia de la Corte para suspender provisionalmente los efectos de los decretos dictados al amparo de los estados de excepción, esto es, los decretos de desarrollo. Para la Sala Plena, una lectura sistemática de las disposiciones, así como del pronunciamiento de la Corte en esa oportunidad, permite concluir que ninguna de</w:t>
      </w:r>
      <w:r w:rsidR="002D1FC3" w:rsidRPr="007F2045">
        <w:rPr>
          <w:rFonts w:ascii="Times New Roman" w:hAnsi="Times New Roman"/>
          <w:sz w:val="28"/>
          <w:szCs w:val="28"/>
          <w:lang w:val="es-CO"/>
        </w:rPr>
        <w:t xml:space="preserve"> ellas</w:t>
      </w:r>
      <w:r w:rsidRPr="007F2045">
        <w:rPr>
          <w:rFonts w:ascii="Times New Roman" w:hAnsi="Times New Roman"/>
          <w:sz w:val="28"/>
          <w:szCs w:val="28"/>
          <w:lang w:val="es-CO"/>
        </w:rPr>
        <w:t xml:space="preserve"> tuvo por objeto regular esa atribución respecto de los decretos declaratorios. A continuación, se fundamenta esta conclusión.</w:t>
      </w:r>
    </w:p>
    <w:p w14:paraId="1B05E19A" w14:textId="77777777" w:rsidR="00684A8D" w:rsidRPr="007F2045" w:rsidRDefault="00684A8D" w:rsidP="001B5728">
      <w:pPr>
        <w:pStyle w:val="Prrafodelista"/>
        <w:tabs>
          <w:tab w:val="left" w:pos="284"/>
          <w:tab w:val="left" w:pos="426"/>
        </w:tabs>
        <w:spacing w:after="0" w:line="240" w:lineRule="auto"/>
        <w:ind w:left="0"/>
        <w:rPr>
          <w:rFonts w:ascii="Times New Roman" w:hAnsi="Times New Roman"/>
          <w:sz w:val="28"/>
          <w:szCs w:val="28"/>
          <w:lang w:val="es-CO"/>
        </w:rPr>
      </w:pPr>
    </w:p>
    <w:p w14:paraId="4BACA1F1" w14:textId="77777777" w:rsidR="00684A8D" w:rsidRPr="007F2045" w:rsidRDefault="6FF1B433"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El artículo 19 examinado </w:t>
      </w:r>
      <w:r w:rsidR="00192677" w:rsidRPr="007F2045">
        <w:rPr>
          <w:rFonts w:ascii="Times New Roman" w:hAnsi="Times New Roman"/>
          <w:sz w:val="28"/>
          <w:szCs w:val="28"/>
          <w:lang w:val="es-CO"/>
        </w:rPr>
        <w:t xml:space="preserve">en esa oportunidad </w:t>
      </w:r>
      <w:r w:rsidR="7CCAEF3F" w:rsidRPr="007F2045">
        <w:rPr>
          <w:rFonts w:ascii="Times New Roman" w:hAnsi="Times New Roman"/>
          <w:sz w:val="28"/>
          <w:szCs w:val="28"/>
          <w:lang w:val="es-CO"/>
        </w:rPr>
        <w:t xml:space="preserve">tenía </w:t>
      </w:r>
      <w:r w:rsidRPr="007F2045">
        <w:rPr>
          <w:rFonts w:ascii="Times New Roman" w:hAnsi="Times New Roman"/>
          <w:sz w:val="28"/>
          <w:szCs w:val="28"/>
          <w:lang w:val="es-CO"/>
        </w:rPr>
        <w:t xml:space="preserve">como epígrafe </w:t>
      </w:r>
      <w:r w:rsidR="07B93833" w:rsidRPr="007F2045">
        <w:rPr>
          <w:rFonts w:ascii="Times New Roman" w:hAnsi="Times New Roman"/>
          <w:sz w:val="28"/>
          <w:szCs w:val="28"/>
          <w:lang w:val="es-CO"/>
        </w:rPr>
        <w:t>“</w:t>
      </w:r>
      <w:r w:rsidRPr="007F2045">
        <w:rPr>
          <w:rFonts w:ascii="Times New Roman" w:hAnsi="Times New Roman"/>
          <w:sz w:val="28"/>
          <w:szCs w:val="28"/>
          <w:lang w:val="es-CO"/>
        </w:rPr>
        <w:t>Prohibición de reproducir normas”. Establecía que “[n]</w:t>
      </w:r>
      <w:proofErr w:type="spellStart"/>
      <w:r w:rsidRPr="007F2045">
        <w:rPr>
          <w:rFonts w:ascii="Times New Roman" w:hAnsi="Times New Roman"/>
          <w:sz w:val="28"/>
          <w:szCs w:val="28"/>
          <w:lang w:val="es-CO"/>
        </w:rPr>
        <w:t>ingún</w:t>
      </w:r>
      <w:proofErr w:type="spellEnd"/>
      <w:r w:rsidRPr="007F2045">
        <w:rPr>
          <w:rFonts w:ascii="Times New Roman" w:hAnsi="Times New Roman"/>
          <w:sz w:val="28"/>
          <w:szCs w:val="28"/>
          <w:lang w:val="es-CO"/>
        </w:rPr>
        <w:t xml:space="preserve"> decreto declarado</w:t>
      </w:r>
      <w:r w:rsidR="00342490" w:rsidRPr="007F2045">
        <w:rPr>
          <w:rFonts w:ascii="Times New Roman" w:hAnsi="Times New Roman"/>
          <w:sz w:val="28"/>
          <w:szCs w:val="28"/>
          <w:lang w:val="es-CO"/>
        </w:rPr>
        <w:t xml:space="preserve"> </w:t>
      </w:r>
      <w:r w:rsidRPr="007F2045">
        <w:rPr>
          <w:rFonts w:ascii="Times New Roman" w:hAnsi="Times New Roman"/>
          <w:sz w:val="28"/>
          <w:szCs w:val="28"/>
          <w:lang w:val="es-CO"/>
        </w:rPr>
        <w:t>inconstitucional o suspendido en sus efectos, podrá ser reproducido por el Gobierno, a menos que con posterioridad a la sentencia o decisión, hayan desaparecido los fundamentos que la originaron”. Y en el parágrafo señalaba que “[t]</w:t>
      </w:r>
      <w:proofErr w:type="spellStart"/>
      <w:r w:rsidRPr="007F2045">
        <w:rPr>
          <w:rFonts w:ascii="Times New Roman" w:hAnsi="Times New Roman"/>
          <w:sz w:val="28"/>
          <w:szCs w:val="28"/>
          <w:lang w:val="es-CO"/>
        </w:rPr>
        <w:t>odo</w:t>
      </w:r>
      <w:proofErr w:type="spellEnd"/>
      <w:r w:rsidRPr="007F2045">
        <w:rPr>
          <w:rFonts w:ascii="Times New Roman" w:hAnsi="Times New Roman"/>
          <w:sz w:val="28"/>
          <w:szCs w:val="28"/>
          <w:lang w:val="es-CO"/>
        </w:rPr>
        <w:t xml:space="preserve"> acto proferido con violación de esta disposición será suspendido provisionalmente en sus efectos”. Para ello</w:t>
      </w:r>
      <w:r w:rsidR="7A4A3832" w:rsidRPr="007F2045">
        <w:rPr>
          <w:rFonts w:ascii="Times New Roman" w:hAnsi="Times New Roman"/>
          <w:sz w:val="28"/>
          <w:szCs w:val="28"/>
          <w:lang w:val="es-CO"/>
        </w:rPr>
        <w:t>,</w:t>
      </w:r>
      <w:r w:rsidRPr="007F2045">
        <w:rPr>
          <w:rFonts w:ascii="Times New Roman" w:hAnsi="Times New Roman"/>
          <w:sz w:val="28"/>
          <w:szCs w:val="28"/>
          <w:lang w:val="es-CO"/>
        </w:rPr>
        <w:t xml:space="preserve"> sería suficiente “un procedimiento oficioso” y la orden de suspensión habría de comunicarse y cumplirse inmediatamente.</w:t>
      </w:r>
    </w:p>
    <w:p w14:paraId="38CD81F4" w14:textId="77777777" w:rsidR="00684A8D" w:rsidRPr="007F2045" w:rsidRDefault="00684A8D" w:rsidP="001B5728">
      <w:pPr>
        <w:pStyle w:val="Prrafodelista"/>
        <w:tabs>
          <w:tab w:val="left" w:pos="284"/>
        </w:tabs>
        <w:spacing w:after="0" w:line="240" w:lineRule="auto"/>
        <w:ind w:left="0"/>
        <w:rPr>
          <w:rFonts w:ascii="Times New Roman" w:hAnsi="Times New Roman"/>
          <w:sz w:val="28"/>
          <w:szCs w:val="28"/>
          <w:lang w:val="es-CO"/>
        </w:rPr>
      </w:pPr>
    </w:p>
    <w:p w14:paraId="3EFF3A98" w14:textId="77777777" w:rsidR="001C7B73" w:rsidRPr="007F2045" w:rsidRDefault="00192677"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L</w:t>
      </w:r>
      <w:r w:rsidR="6FF1B433" w:rsidRPr="007F2045">
        <w:rPr>
          <w:rFonts w:ascii="Times New Roman" w:hAnsi="Times New Roman"/>
          <w:sz w:val="28"/>
          <w:szCs w:val="28"/>
          <w:lang w:val="es-CO"/>
        </w:rPr>
        <w:t>a Corte declaró inconstitucional la suspensión provisional allí establecida. Precisó, inicialmente</w:t>
      </w:r>
      <w:r w:rsidR="001C7B73" w:rsidRPr="007F2045">
        <w:rPr>
          <w:rFonts w:ascii="Times New Roman" w:hAnsi="Times New Roman"/>
          <w:sz w:val="28"/>
          <w:szCs w:val="28"/>
          <w:lang w:val="es-CO"/>
        </w:rPr>
        <w:t>:</w:t>
      </w:r>
    </w:p>
    <w:p w14:paraId="6077A199" w14:textId="77777777" w:rsidR="001C7B73" w:rsidRPr="007F2045" w:rsidRDefault="001C7B73" w:rsidP="001B5728">
      <w:pPr>
        <w:pStyle w:val="Prrafodelista"/>
        <w:tabs>
          <w:tab w:val="left" w:pos="284"/>
          <w:tab w:val="left" w:pos="426"/>
        </w:tabs>
        <w:spacing w:after="0" w:line="240" w:lineRule="auto"/>
        <w:ind w:left="0"/>
        <w:rPr>
          <w:rFonts w:ascii="Times New Roman" w:hAnsi="Times New Roman"/>
          <w:sz w:val="28"/>
          <w:szCs w:val="28"/>
          <w:lang w:val="es-CO"/>
        </w:rPr>
      </w:pPr>
    </w:p>
    <w:p w14:paraId="687F5640" w14:textId="77777777" w:rsidR="001C7B73" w:rsidRPr="007F2045" w:rsidRDefault="6FF1B433" w:rsidP="001B5728">
      <w:pPr>
        <w:pStyle w:val="Prrafodelista"/>
        <w:tabs>
          <w:tab w:val="left" w:pos="284"/>
          <w:tab w:val="left" w:pos="567"/>
        </w:tabs>
        <w:spacing w:after="0" w:line="240" w:lineRule="auto"/>
        <w:ind w:left="567" w:right="616"/>
        <w:rPr>
          <w:rFonts w:ascii="Times New Roman" w:eastAsia="Times New Roman" w:hAnsi="Times New Roman"/>
          <w:lang w:val="es-CO"/>
        </w:rPr>
      </w:pPr>
      <w:r w:rsidRPr="007F2045">
        <w:rPr>
          <w:rFonts w:ascii="Times New Roman" w:eastAsia="Times New Roman" w:hAnsi="Times New Roman"/>
          <w:lang w:val="es-CO"/>
        </w:rPr>
        <w:lastRenderedPageBreak/>
        <w:t>“</w:t>
      </w:r>
      <w:r w:rsidR="07B93833" w:rsidRPr="007F2045">
        <w:rPr>
          <w:rFonts w:ascii="Times New Roman" w:eastAsia="Times New Roman" w:hAnsi="Times New Roman"/>
          <w:lang w:val="es-CO"/>
        </w:rPr>
        <w:t>[</w:t>
      </w:r>
      <w:r w:rsidRPr="007F2045">
        <w:rPr>
          <w:rFonts w:ascii="Times New Roman" w:eastAsia="Times New Roman" w:hAnsi="Times New Roman"/>
          <w:lang w:val="es-CO"/>
        </w:rPr>
        <w:t xml:space="preserve">e]l proyecto de ley (…) tiene por objeto regular los estados de excepción, a saber: guerra exterior, conmoción interior, y emergencia económica, social y ecológica; cuya declaración solamente la puede hacer el </w:t>
      </w:r>
      <w:r w:rsidR="7CCAEF3F" w:rsidRPr="007F2045">
        <w:rPr>
          <w:rFonts w:ascii="Times New Roman" w:eastAsia="Times New Roman" w:hAnsi="Times New Roman"/>
          <w:lang w:val="es-CO"/>
        </w:rPr>
        <w:t>[p]</w:t>
      </w:r>
      <w:r w:rsidRPr="007F2045">
        <w:rPr>
          <w:rFonts w:ascii="Times New Roman" w:eastAsia="Times New Roman" w:hAnsi="Times New Roman"/>
          <w:lang w:val="es-CO"/>
        </w:rPr>
        <w:t xml:space="preserve">residente de la República por medio de decretos legislativos que deben llevar la firma de todos los ministros del despacho, instrumento que también ha de utilizar para dictar las medidas destinadas a conjurar la crisis y ponerle fin”. </w:t>
      </w:r>
    </w:p>
    <w:p w14:paraId="781CD620" w14:textId="77777777" w:rsidR="001C7B73" w:rsidRPr="007F2045" w:rsidRDefault="001C7B73" w:rsidP="001B5728">
      <w:pPr>
        <w:pStyle w:val="Prrafodelista"/>
        <w:spacing w:after="0" w:line="240" w:lineRule="auto"/>
        <w:rPr>
          <w:rFonts w:ascii="Times New Roman" w:hAnsi="Times New Roman"/>
          <w:sz w:val="28"/>
          <w:szCs w:val="28"/>
          <w:lang w:val="es-CO"/>
        </w:rPr>
      </w:pPr>
    </w:p>
    <w:p w14:paraId="054F73A7" w14:textId="77777777" w:rsidR="00684A8D" w:rsidRPr="007F2045" w:rsidRDefault="7A4A3832"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L</w:t>
      </w:r>
      <w:r w:rsidR="6FF1B433" w:rsidRPr="007F2045">
        <w:rPr>
          <w:rFonts w:ascii="Times New Roman" w:hAnsi="Times New Roman"/>
          <w:sz w:val="28"/>
          <w:szCs w:val="28"/>
          <w:lang w:val="es-CO"/>
        </w:rPr>
        <w:t>uego</w:t>
      </w:r>
      <w:r w:rsidR="07B93833" w:rsidRPr="007F2045">
        <w:rPr>
          <w:rFonts w:ascii="Times New Roman" w:hAnsi="Times New Roman"/>
          <w:sz w:val="28"/>
          <w:szCs w:val="28"/>
          <w:lang w:val="es-CO"/>
        </w:rPr>
        <w:t>,</w:t>
      </w:r>
      <w:r w:rsidR="6FF1B433" w:rsidRPr="007F2045">
        <w:rPr>
          <w:rFonts w:ascii="Times New Roman" w:hAnsi="Times New Roman"/>
          <w:sz w:val="28"/>
          <w:szCs w:val="28"/>
          <w:lang w:val="es-CO"/>
        </w:rPr>
        <w:t xml:space="preserve"> </w:t>
      </w:r>
      <w:r w:rsidR="3924A3A9" w:rsidRPr="007F2045">
        <w:rPr>
          <w:rFonts w:ascii="Times New Roman" w:hAnsi="Times New Roman"/>
          <w:sz w:val="28"/>
          <w:szCs w:val="28"/>
          <w:lang w:val="es-CO"/>
        </w:rPr>
        <w:t xml:space="preserve">aclaró </w:t>
      </w:r>
      <w:r w:rsidR="6FF1B433" w:rsidRPr="007F2045">
        <w:rPr>
          <w:rFonts w:ascii="Times New Roman" w:hAnsi="Times New Roman"/>
          <w:sz w:val="28"/>
          <w:szCs w:val="28"/>
          <w:lang w:val="es-CO"/>
        </w:rPr>
        <w:t>“que no le cabe duda a la Corte de que el artículo 19 que se analiza, se refiere a</w:t>
      </w:r>
      <w:r w:rsidR="009E4F74" w:rsidRPr="007F2045">
        <w:rPr>
          <w:rFonts w:ascii="Times New Roman" w:hAnsi="Times New Roman"/>
          <w:sz w:val="28"/>
          <w:szCs w:val="28"/>
          <w:lang w:val="es-CO"/>
        </w:rPr>
        <w:t xml:space="preserve"> </w:t>
      </w:r>
      <w:r w:rsidR="6FF1B433" w:rsidRPr="007F2045">
        <w:rPr>
          <w:rFonts w:ascii="Times New Roman" w:hAnsi="Times New Roman"/>
          <w:sz w:val="28"/>
          <w:szCs w:val="28"/>
          <w:u w:val="single"/>
          <w:lang w:val="es-CO"/>
        </w:rPr>
        <w:t>esta clase</w:t>
      </w:r>
      <w:r w:rsidR="6FF1B433" w:rsidRPr="007F2045">
        <w:rPr>
          <w:rFonts w:ascii="Times New Roman" w:hAnsi="Times New Roman"/>
          <w:sz w:val="28"/>
          <w:szCs w:val="28"/>
          <w:lang w:val="es-CO"/>
        </w:rPr>
        <w:t xml:space="preserve"> de actos jurídicos”. </w:t>
      </w:r>
      <w:r w:rsidR="00684A8D" w:rsidRPr="007F2045">
        <w:rPr>
          <w:rFonts w:ascii="Times New Roman" w:hAnsi="Times New Roman"/>
          <w:sz w:val="28"/>
          <w:szCs w:val="28"/>
          <w:lang w:val="es-CO"/>
        </w:rPr>
        <w:t xml:space="preserve">A </w:t>
      </w:r>
      <w:r w:rsidR="0026362A" w:rsidRPr="007F2045">
        <w:rPr>
          <w:rFonts w:ascii="Times New Roman" w:hAnsi="Times New Roman"/>
          <w:sz w:val="28"/>
          <w:szCs w:val="28"/>
          <w:lang w:val="es-CO"/>
        </w:rPr>
        <w:t>continuación,</w:t>
      </w:r>
      <w:r w:rsidR="00684A8D" w:rsidRPr="007F2045">
        <w:rPr>
          <w:rFonts w:ascii="Times New Roman" w:hAnsi="Times New Roman"/>
          <w:sz w:val="28"/>
          <w:szCs w:val="28"/>
          <w:lang w:val="es-CO"/>
        </w:rPr>
        <w:t xml:space="preserve"> sostuvo que “[l]os decretos legislativos que dicte el Gobierno con fundamento en los estados de excepción, a que aluden los artículos 212, 213 y 215 de la Constitución, por mandato expreso de la misma Carta, están sujetos al control constitucional automático u oficioso por parte de esta Corte, la que deberá </w:t>
      </w:r>
      <w:r w:rsidR="007C5747" w:rsidRPr="007F2045">
        <w:rPr>
          <w:rFonts w:ascii="Times New Roman" w:hAnsi="Times New Roman"/>
          <w:sz w:val="28"/>
          <w:szCs w:val="28"/>
          <w:lang w:val="es-CO"/>
        </w:rPr>
        <w:t>‘</w:t>
      </w:r>
      <w:r w:rsidR="00684A8D" w:rsidRPr="007F2045">
        <w:rPr>
          <w:rFonts w:ascii="Times New Roman" w:hAnsi="Times New Roman"/>
          <w:sz w:val="28"/>
          <w:szCs w:val="28"/>
          <w:lang w:val="es-CO"/>
        </w:rPr>
        <w:t>decidir</w:t>
      </w:r>
      <w:r w:rsidR="009E4F74" w:rsidRPr="007F2045">
        <w:rPr>
          <w:rFonts w:ascii="Times New Roman" w:hAnsi="Times New Roman"/>
          <w:sz w:val="28"/>
          <w:szCs w:val="28"/>
          <w:lang w:val="es-CO"/>
        </w:rPr>
        <w:t xml:space="preserve"> </w:t>
      </w:r>
      <w:r w:rsidR="00684A8D" w:rsidRPr="007F2045">
        <w:rPr>
          <w:rFonts w:ascii="Times New Roman" w:hAnsi="Times New Roman"/>
          <w:sz w:val="28"/>
          <w:szCs w:val="28"/>
          <w:u w:val="single"/>
          <w:lang w:val="es-CO"/>
        </w:rPr>
        <w:t>definitivamente</w:t>
      </w:r>
      <w:r w:rsidR="007C5747" w:rsidRPr="007F2045">
        <w:rPr>
          <w:rFonts w:ascii="Times New Roman" w:hAnsi="Times New Roman"/>
          <w:sz w:val="28"/>
          <w:szCs w:val="28"/>
          <w:u w:val="single"/>
          <w:lang w:val="es-CO"/>
        </w:rPr>
        <w:t>’</w:t>
      </w:r>
      <w:r w:rsidR="00684A8D" w:rsidRPr="007F2045">
        <w:rPr>
          <w:rFonts w:ascii="Times New Roman" w:hAnsi="Times New Roman"/>
          <w:sz w:val="28"/>
          <w:szCs w:val="28"/>
          <w:lang w:val="es-CO"/>
        </w:rPr>
        <w:t xml:space="preserve"> sobre ellos, tal como se ordena</w:t>
      </w:r>
      <w:r w:rsidR="009E4F74" w:rsidRPr="007F2045">
        <w:rPr>
          <w:rFonts w:ascii="Times New Roman" w:hAnsi="Times New Roman"/>
          <w:sz w:val="28"/>
          <w:szCs w:val="28"/>
          <w:lang w:val="es-CO"/>
        </w:rPr>
        <w:t xml:space="preserve"> </w:t>
      </w:r>
      <w:r w:rsidR="00684A8D" w:rsidRPr="007F2045">
        <w:rPr>
          <w:rFonts w:ascii="Times New Roman" w:hAnsi="Times New Roman"/>
          <w:sz w:val="28"/>
          <w:szCs w:val="28"/>
          <w:lang w:val="es-CO"/>
        </w:rPr>
        <w:t>en el artículo 241-7, concordante con el 214-6 de la Constitución Nacional</w:t>
      </w:r>
      <w:r w:rsidR="007C5747" w:rsidRPr="007F2045">
        <w:rPr>
          <w:rFonts w:ascii="Times New Roman" w:hAnsi="Times New Roman"/>
          <w:sz w:val="28"/>
          <w:szCs w:val="28"/>
          <w:lang w:val="es-CO"/>
        </w:rPr>
        <w:t>”</w:t>
      </w:r>
      <w:r w:rsidR="00684A8D" w:rsidRPr="007F2045">
        <w:rPr>
          <w:rFonts w:ascii="Times New Roman" w:hAnsi="Times New Roman"/>
          <w:sz w:val="28"/>
          <w:szCs w:val="28"/>
          <w:lang w:val="es-CO"/>
        </w:rPr>
        <w:t xml:space="preserve">. </w:t>
      </w:r>
      <w:r w:rsidR="007C5747" w:rsidRPr="007F2045">
        <w:rPr>
          <w:rFonts w:ascii="Times New Roman" w:hAnsi="Times New Roman"/>
          <w:sz w:val="28"/>
          <w:szCs w:val="28"/>
          <w:lang w:val="es-CO"/>
        </w:rPr>
        <w:t xml:space="preserve">A partir de esta última inferencia, </w:t>
      </w:r>
      <w:r w:rsidR="00684A8D" w:rsidRPr="007F2045">
        <w:rPr>
          <w:rFonts w:ascii="Times New Roman" w:hAnsi="Times New Roman"/>
          <w:sz w:val="28"/>
          <w:szCs w:val="28"/>
          <w:lang w:val="es-CO"/>
        </w:rPr>
        <w:t>indicó que “los fallos que dicta esta Corporación en relación con dichos decretos legislativos tienen el carácter de definitivos y sobre ellos no se puede volver, porque, según el artículo 243 de la Constitución, hacen tránsito a cosa juzgada constitucional”.</w:t>
      </w:r>
    </w:p>
    <w:p w14:paraId="5414820B" w14:textId="77777777" w:rsidR="00684A8D" w:rsidRPr="007F2045" w:rsidRDefault="00684A8D" w:rsidP="001B5728">
      <w:pPr>
        <w:pStyle w:val="Prrafodelista"/>
        <w:spacing w:after="0" w:line="240" w:lineRule="auto"/>
        <w:rPr>
          <w:rFonts w:ascii="Times New Roman" w:hAnsi="Times New Roman"/>
          <w:sz w:val="28"/>
          <w:szCs w:val="28"/>
          <w:lang w:val="es-CO"/>
        </w:rPr>
      </w:pPr>
    </w:p>
    <w:p w14:paraId="31CDB890" w14:textId="77777777" w:rsidR="00684A8D" w:rsidRPr="007F2045" w:rsidRDefault="007C5747"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L</w:t>
      </w:r>
      <w:r w:rsidR="00684A8D" w:rsidRPr="007F2045">
        <w:rPr>
          <w:rFonts w:ascii="Times New Roman" w:hAnsi="Times New Roman"/>
          <w:sz w:val="28"/>
          <w:szCs w:val="28"/>
          <w:lang w:val="es-CO"/>
        </w:rPr>
        <w:t>a Corte</w:t>
      </w:r>
      <w:r w:rsidRPr="007F2045">
        <w:rPr>
          <w:rFonts w:ascii="Times New Roman" w:hAnsi="Times New Roman"/>
          <w:sz w:val="28"/>
          <w:szCs w:val="28"/>
          <w:lang w:val="es-CO"/>
        </w:rPr>
        <w:t xml:space="preserve"> </w:t>
      </w:r>
      <w:r w:rsidR="00684A8D" w:rsidRPr="007F2045">
        <w:rPr>
          <w:rFonts w:ascii="Times New Roman" w:hAnsi="Times New Roman"/>
          <w:sz w:val="28"/>
          <w:szCs w:val="28"/>
          <w:lang w:val="es-CO"/>
        </w:rPr>
        <w:t xml:space="preserve">destacó que “si es deber de la Corte pronunciarse en forma definitiva sobre los decretos legislativos, en los </w:t>
      </w:r>
      <w:r w:rsidRPr="007F2045">
        <w:rPr>
          <w:rFonts w:ascii="Times New Roman" w:hAnsi="Times New Roman"/>
          <w:sz w:val="28"/>
          <w:szCs w:val="28"/>
          <w:lang w:val="es-CO"/>
        </w:rPr>
        <w:t>‘</w:t>
      </w:r>
      <w:r w:rsidR="00684A8D" w:rsidRPr="007F2045">
        <w:rPr>
          <w:rFonts w:ascii="Times New Roman" w:hAnsi="Times New Roman"/>
          <w:sz w:val="28"/>
          <w:szCs w:val="28"/>
          <w:lang w:val="es-CO"/>
        </w:rPr>
        <w:t>estrictos y precisos términos</w:t>
      </w:r>
      <w:r w:rsidRPr="007F2045">
        <w:rPr>
          <w:rFonts w:ascii="Times New Roman" w:hAnsi="Times New Roman"/>
          <w:sz w:val="28"/>
          <w:szCs w:val="28"/>
          <w:lang w:val="es-CO"/>
        </w:rPr>
        <w:t>’</w:t>
      </w:r>
      <w:r w:rsidR="00684A8D" w:rsidRPr="007F2045">
        <w:rPr>
          <w:rFonts w:ascii="Times New Roman" w:hAnsi="Times New Roman"/>
          <w:sz w:val="28"/>
          <w:szCs w:val="28"/>
          <w:lang w:val="es-CO"/>
        </w:rPr>
        <w:t xml:space="preserve"> contemplados en el artículo 241 de la Constitución, mal puede una ley, como es la que se estudia, establecer la suspensión provisional de dichos actos jurídicos, lo que configura una clara y abierta violación de la normatividad</w:t>
      </w:r>
      <w:r w:rsidRPr="007F2045">
        <w:rPr>
          <w:rFonts w:ascii="Times New Roman" w:hAnsi="Times New Roman"/>
          <w:sz w:val="28"/>
          <w:szCs w:val="28"/>
          <w:lang w:val="es-CO"/>
        </w:rPr>
        <w:t xml:space="preserve"> </w:t>
      </w:r>
      <w:r w:rsidR="00684A8D" w:rsidRPr="007F2045">
        <w:rPr>
          <w:rFonts w:ascii="Times New Roman" w:hAnsi="Times New Roman"/>
          <w:sz w:val="28"/>
          <w:szCs w:val="28"/>
          <w:lang w:val="es-CO"/>
        </w:rPr>
        <w:t>Suprema”.</w:t>
      </w:r>
    </w:p>
    <w:p w14:paraId="3C2E3A9D" w14:textId="77777777" w:rsidR="00684A8D" w:rsidRPr="007F2045" w:rsidRDefault="00684A8D" w:rsidP="001B5728">
      <w:pPr>
        <w:pStyle w:val="Prrafodelista"/>
        <w:spacing w:after="0" w:line="240" w:lineRule="auto"/>
        <w:rPr>
          <w:rFonts w:ascii="Times New Roman" w:hAnsi="Times New Roman"/>
          <w:sz w:val="28"/>
          <w:szCs w:val="28"/>
          <w:lang w:val="es-CO"/>
        </w:rPr>
      </w:pPr>
    </w:p>
    <w:p w14:paraId="548B6BC1" w14:textId="77777777" w:rsidR="00684A8D" w:rsidRPr="007F2045" w:rsidRDefault="6FF1B433"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De la lectura de la disposición, así como del pronunciamiento de la Corte, puede concluirse que el contenido normativo juzgado no se refería a los decretos declaratorios del estado de excepción</w:t>
      </w:r>
      <w:r w:rsidR="07B93833" w:rsidRPr="007F2045">
        <w:rPr>
          <w:rFonts w:ascii="Times New Roman" w:hAnsi="Times New Roman"/>
          <w:sz w:val="28"/>
          <w:szCs w:val="28"/>
          <w:lang w:val="es-CO"/>
        </w:rPr>
        <w:t>,</w:t>
      </w:r>
      <w:r w:rsidRPr="007F2045">
        <w:rPr>
          <w:rFonts w:ascii="Times New Roman" w:hAnsi="Times New Roman"/>
          <w:sz w:val="28"/>
          <w:szCs w:val="28"/>
          <w:lang w:val="es-CO"/>
        </w:rPr>
        <w:t xml:space="preserve"> sino únicamente a los que se expedían a su amparo. El propósito de la disposición consistía en evitar que el presidente de la República</w:t>
      </w:r>
      <w:r w:rsidR="0026720F" w:rsidRPr="007F2045">
        <w:rPr>
          <w:rFonts w:ascii="Times New Roman" w:hAnsi="Times New Roman"/>
          <w:sz w:val="28"/>
          <w:szCs w:val="28"/>
          <w:lang w:val="es-CO"/>
        </w:rPr>
        <w:t>,</w:t>
      </w:r>
      <w:r w:rsidRPr="007F2045">
        <w:rPr>
          <w:rFonts w:ascii="Times New Roman" w:hAnsi="Times New Roman"/>
          <w:sz w:val="28"/>
          <w:szCs w:val="28"/>
          <w:lang w:val="es-CO"/>
        </w:rPr>
        <w:t xml:space="preserve"> </w:t>
      </w:r>
      <w:r w:rsidR="0026720F" w:rsidRPr="007F2045">
        <w:rPr>
          <w:rFonts w:ascii="Times New Roman" w:hAnsi="Times New Roman"/>
          <w:sz w:val="28"/>
          <w:szCs w:val="28"/>
          <w:lang w:val="es-CO"/>
        </w:rPr>
        <w:t>en ejercicio de las facultades</w:t>
      </w:r>
      <w:r w:rsidRPr="007F2045">
        <w:rPr>
          <w:rFonts w:ascii="Times New Roman" w:hAnsi="Times New Roman"/>
          <w:sz w:val="28"/>
          <w:szCs w:val="28"/>
          <w:lang w:val="es-CO"/>
        </w:rPr>
        <w:t xml:space="preserve"> de </w:t>
      </w:r>
      <w:r w:rsidR="3810C89E" w:rsidRPr="007F2045">
        <w:rPr>
          <w:rFonts w:ascii="Times New Roman" w:hAnsi="Times New Roman"/>
          <w:sz w:val="28"/>
          <w:szCs w:val="28"/>
          <w:lang w:val="es-CO"/>
        </w:rPr>
        <w:t>excepción</w:t>
      </w:r>
      <w:r w:rsidR="0026720F" w:rsidRPr="007F2045">
        <w:rPr>
          <w:rFonts w:ascii="Times New Roman" w:hAnsi="Times New Roman"/>
          <w:sz w:val="28"/>
          <w:szCs w:val="28"/>
          <w:lang w:val="es-CO"/>
        </w:rPr>
        <w:t>,</w:t>
      </w:r>
      <w:r w:rsidRPr="007F2045">
        <w:rPr>
          <w:rFonts w:ascii="Times New Roman" w:hAnsi="Times New Roman"/>
          <w:sz w:val="28"/>
          <w:szCs w:val="28"/>
          <w:lang w:val="es-CO"/>
        </w:rPr>
        <w:t xml:space="preserve"> reprodujera decretos con fuerza de ley declarados inexequibles o </w:t>
      </w:r>
      <w:r w:rsidR="00192677" w:rsidRPr="007F2045">
        <w:rPr>
          <w:rFonts w:ascii="Times New Roman" w:hAnsi="Times New Roman"/>
          <w:sz w:val="28"/>
          <w:szCs w:val="28"/>
          <w:lang w:val="es-CO"/>
        </w:rPr>
        <w:t>cuya</w:t>
      </w:r>
      <w:r w:rsidR="07B93833" w:rsidRPr="007F2045">
        <w:rPr>
          <w:rFonts w:ascii="Times New Roman" w:hAnsi="Times New Roman"/>
          <w:sz w:val="28"/>
          <w:szCs w:val="28"/>
          <w:lang w:val="es-CO"/>
        </w:rPr>
        <w:t xml:space="preserve"> eficacia o ejecutoria se hubiese </w:t>
      </w:r>
      <w:r w:rsidRPr="007F2045">
        <w:rPr>
          <w:rFonts w:ascii="Times New Roman" w:hAnsi="Times New Roman"/>
          <w:sz w:val="28"/>
          <w:szCs w:val="28"/>
          <w:lang w:val="es-CO"/>
        </w:rPr>
        <w:t xml:space="preserve">suspendido. </w:t>
      </w:r>
      <w:r w:rsidR="2D75912D" w:rsidRPr="007F2045">
        <w:rPr>
          <w:rFonts w:ascii="Times New Roman" w:hAnsi="Times New Roman"/>
          <w:sz w:val="28"/>
          <w:szCs w:val="28"/>
          <w:lang w:val="es-CO"/>
        </w:rPr>
        <w:t>Conforme al sentido de esa disposición</w:t>
      </w:r>
      <w:r w:rsidR="355E0CE5" w:rsidRPr="007F2045">
        <w:rPr>
          <w:rFonts w:ascii="Times New Roman" w:hAnsi="Times New Roman"/>
          <w:sz w:val="28"/>
          <w:szCs w:val="28"/>
          <w:lang w:val="es-CO"/>
        </w:rPr>
        <w:t>,</w:t>
      </w:r>
      <w:r w:rsidR="2D75912D" w:rsidRPr="007F2045">
        <w:rPr>
          <w:rFonts w:ascii="Times New Roman" w:hAnsi="Times New Roman"/>
          <w:sz w:val="28"/>
          <w:szCs w:val="28"/>
          <w:lang w:val="es-CO"/>
        </w:rPr>
        <w:t xml:space="preserve"> una situación de anormalidad no constituía una razón para reproducir una norma considerada, previamente, contraria a la Constitución. </w:t>
      </w:r>
    </w:p>
    <w:p w14:paraId="03B1B956" w14:textId="77777777" w:rsidR="00684A8D" w:rsidRPr="007F2045" w:rsidRDefault="00684A8D" w:rsidP="001B5728">
      <w:pPr>
        <w:pStyle w:val="Prrafodelista"/>
        <w:tabs>
          <w:tab w:val="left" w:pos="284"/>
          <w:tab w:val="left" w:pos="426"/>
        </w:tabs>
        <w:spacing w:after="0" w:line="240" w:lineRule="auto"/>
        <w:ind w:left="0"/>
        <w:rPr>
          <w:rFonts w:ascii="Times New Roman" w:hAnsi="Times New Roman"/>
          <w:sz w:val="28"/>
          <w:szCs w:val="28"/>
          <w:lang w:val="es-CO"/>
        </w:rPr>
      </w:pPr>
    </w:p>
    <w:p w14:paraId="541FD323" w14:textId="77777777" w:rsidR="00684A8D" w:rsidRPr="007F2045" w:rsidRDefault="00684A8D"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Esta conclusión se apoya en una consideración importante. La</w:t>
      </w:r>
      <w:r w:rsidR="004F5866" w:rsidRPr="007F2045">
        <w:rPr>
          <w:rFonts w:ascii="Times New Roman" w:hAnsi="Times New Roman"/>
          <w:sz w:val="28"/>
          <w:szCs w:val="28"/>
          <w:lang w:val="es-CO"/>
        </w:rPr>
        <w:t xml:space="preserve"> norma</w:t>
      </w:r>
      <w:r w:rsidRPr="007F2045">
        <w:rPr>
          <w:rFonts w:ascii="Times New Roman" w:hAnsi="Times New Roman"/>
          <w:sz w:val="28"/>
          <w:szCs w:val="28"/>
          <w:lang w:val="es-CO"/>
        </w:rPr>
        <w:t xml:space="preserve"> establecía que la prohibición de reproducción era aplicable a menos que des</w:t>
      </w:r>
      <w:r w:rsidR="00F91FAB" w:rsidRPr="007F2045">
        <w:rPr>
          <w:rFonts w:ascii="Times New Roman" w:hAnsi="Times New Roman"/>
          <w:sz w:val="28"/>
          <w:szCs w:val="28"/>
          <w:lang w:val="es-CO"/>
        </w:rPr>
        <w:t>a</w:t>
      </w:r>
      <w:r w:rsidRPr="007F2045">
        <w:rPr>
          <w:rFonts w:ascii="Times New Roman" w:hAnsi="Times New Roman"/>
          <w:sz w:val="28"/>
          <w:szCs w:val="28"/>
          <w:lang w:val="es-CO"/>
        </w:rPr>
        <w:t>parecieran los fundamentos que habían dado origen a la declaratoria de inexequibilidad o a la suspensión. Ese mandato, según la Corte, habría “</w:t>
      </w:r>
      <w:r w:rsidRPr="007F2045">
        <w:rPr>
          <w:rFonts w:ascii="Times New Roman" w:hAnsi="Times New Roman"/>
          <w:sz w:val="28"/>
          <w:szCs w:val="28"/>
          <w:shd w:val="clear" w:color="auto" w:fill="FFFFFF"/>
          <w:lang w:val="es-CO"/>
        </w:rPr>
        <w:t>de entenderse en los términos consagrados en el inciso segundo del artículo 243 de la Carta</w:t>
      </w:r>
      <w:r w:rsidR="00192677" w:rsidRPr="007F2045">
        <w:rPr>
          <w:rFonts w:ascii="Times New Roman" w:hAnsi="Times New Roman"/>
          <w:szCs w:val="28"/>
          <w:shd w:val="clear" w:color="auto" w:fill="FFFFFF"/>
          <w:vertAlign w:val="superscript"/>
          <w:lang w:val="es-CO"/>
        </w:rPr>
        <w:footnoteReference w:id="40"/>
      </w:r>
      <w:r w:rsidR="00192677" w:rsidRPr="007F2045">
        <w:rPr>
          <w:rFonts w:ascii="Times New Roman" w:hAnsi="Times New Roman"/>
          <w:sz w:val="28"/>
          <w:szCs w:val="28"/>
          <w:shd w:val="clear" w:color="auto" w:fill="FFFFFF"/>
          <w:lang w:val="es-CO"/>
        </w:rPr>
        <w:t>.</w:t>
      </w:r>
      <w:r w:rsidRPr="007F2045">
        <w:rPr>
          <w:rFonts w:ascii="Times New Roman" w:hAnsi="Times New Roman"/>
          <w:sz w:val="28"/>
          <w:szCs w:val="28"/>
          <w:shd w:val="clear" w:color="auto" w:fill="FFFFFF"/>
          <w:lang w:val="es-CO"/>
        </w:rPr>
        <w:t> </w:t>
      </w:r>
    </w:p>
    <w:p w14:paraId="63F3B6B6" w14:textId="77777777" w:rsidR="00684A8D" w:rsidRPr="007F2045" w:rsidRDefault="00684A8D" w:rsidP="001B5728">
      <w:pPr>
        <w:pStyle w:val="Prrafodelista"/>
        <w:spacing w:after="0" w:line="240" w:lineRule="auto"/>
        <w:rPr>
          <w:rFonts w:ascii="Times New Roman" w:hAnsi="Times New Roman"/>
          <w:sz w:val="28"/>
          <w:szCs w:val="28"/>
          <w:lang w:val="es-CO"/>
        </w:rPr>
      </w:pPr>
    </w:p>
    <w:p w14:paraId="17B54B85" w14:textId="77777777" w:rsidR="00684A8D" w:rsidRPr="007F2045" w:rsidRDefault="00684A8D"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De esta forma</w:t>
      </w:r>
      <w:r w:rsidR="007C5747" w:rsidRPr="007F2045">
        <w:rPr>
          <w:rFonts w:ascii="Times New Roman" w:hAnsi="Times New Roman"/>
          <w:sz w:val="28"/>
          <w:szCs w:val="28"/>
          <w:lang w:val="es-CO"/>
        </w:rPr>
        <w:t>,</w:t>
      </w:r>
      <w:r w:rsidRPr="007F2045">
        <w:rPr>
          <w:rFonts w:ascii="Times New Roman" w:hAnsi="Times New Roman"/>
          <w:sz w:val="28"/>
          <w:szCs w:val="28"/>
          <w:lang w:val="es-CO"/>
        </w:rPr>
        <w:t xml:space="preserve"> si el decreto declaratorio constituye un instrumento que se encuentra en una relación estrecha con las </w:t>
      </w:r>
      <w:r w:rsidRPr="007F2045">
        <w:rPr>
          <w:rFonts w:ascii="Times New Roman" w:hAnsi="Times New Roman"/>
          <w:i/>
          <w:iCs/>
          <w:sz w:val="28"/>
          <w:szCs w:val="28"/>
          <w:lang w:val="es-CO"/>
        </w:rPr>
        <w:t>condiciones fácticas</w:t>
      </w:r>
      <w:r w:rsidRPr="007F2045">
        <w:rPr>
          <w:rFonts w:ascii="Times New Roman" w:hAnsi="Times New Roman"/>
          <w:sz w:val="28"/>
          <w:szCs w:val="28"/>
          <w:lang w:val="es-CO"/>
        </w:rPr>
        <w:t xml:space="preserve"> constatadas por el presidente de la República</w:t>
      </w:r>
      <w:r w:rsidR="006C5914" w:rsidRPr="007F2045">
        <w:rPr>
          <w:rFonts w:ascii="Times New Roman" w:hAnsi="Times New Roman"/>
          <w:sz w:val="28"/>
          <w:szCs w:val="28"/>
          <w:lang w:val="es-CO"/>
        </w:rPr>
        <w:t>,</w:t>
      </w:r>
      <w:r w:rsidR="003F50FA" w:rsidRPr="007F2045">
        <w:rPr>
          <w:rFonts w:ascii="Times New Roman" w:hAnsi="Times New Roman"/>
          <w:sz w:val="28"/>
          <w:szCs w:val="28"/>
          <w:lang w:val="es-CO"/>
        </w:rPr>
        <w:t xml:space="preserve"> para dar respuesta a una situación </w:t>
      </w:r>
      <w:r w:rsidR="006C5914" w:rsidRPr="007F2045">
        <w:rPr>
          <w:rFonts w:ascii="Times New Roman" w:hAnsi="Times New Roman"/>
          <w:sz w:val="28"/>
          <w:szCs w:val="28"/>
          <w:lang w:val="es-CO"/>
        </w:rPr>
        <w:t xml:space="preserve">que otorga poderes de </w:t>
      </w:r>
      <w:r w:rsidR="00573594" w:rsidRPr="007F2045">
        <w:rPr>
          <w:rFonts w:ascii="Times New Roman" w:hAnsi="Times New Roman"/>
          <w:sz w:val="28"/>
          <w:szCs w:val="28"/>
          <w:lang w:val="es-CO"/>
        </w:rPr>
        <w:t>emergencia</w:t>
      </w:r>
      <w:r w:rsidR="006C5914" w:rsidRPr="007F2045">
        <w:rPr>
          <w:rFonts w:ascii="Times New Roman" w:hAnsi="Times New Roman"/>
          <w:sz w:val="28"/>
          <w:szCs w:val="28"/>
          <w:lang w:val="es-CO"/>
        </w:rPr>
        <w:t xml:space="preserve">, </w:t>
      </w:r>
      <w:r w:rsidR="00BF14A8" w:rsidRPr="007F2045">
        <w:rPr>
          <w:rFonts w:ascii="Times New Roman" w:hAnsi="Times New Roman"/>
          <w:sz w:val="28"/>
          <w:szCs w:val="28"/>
          <w:lang w:val="es-CO"/>
        </w:rPr>
        <w:t>no es posible</w:t>
      </w:r>
      <w:r w:rsidRPr="007F2045">
        <w:rPr>
          <w:rFonts w:ascii="Times New Roman" w:hAnsi="Times New Roman"/>
          <w:sz w:val="28"/>
          <w:szCs w:val="28"/>
          <w:lang w:val="es-CO"/>
        </w:rPr>
        <w:t xml:space="preserve"> entender que la disposición </w:t>
      </w:r>
      <w:r w:rsidR="00573594" w:rsidRPr="007F2045">
        <w:rPr>
          <w:rFonts w:ascii="Times New Roman" w:hAnsi="Times New Roman"/>
          <w:sz w:val="28"/>
          <w:szCs w:val="28"/>
          <w:lang w:val="es-CO"/>
        </w:rPr>
        <w:t xml:space="preserve">controlada </w:t>
      </w:r>
      <w:r w:rsidRPr="007F2045">
        <w:rPr>
          <w:rFonts w:ascii="Times New Roman" w:hAnsi="Times New Roman"/>
          <w:sz w:val="28"/>
          <w:szCs w:val="28"/>
          <w:lang w:val="es-CO"/>
        </w:rPr>
        <w:t xml:space="preserve">tuviera por objeto referirse a la hipótesis en la cual un decreto declaratorio reprodujera el contenido material de un decreto, también declaratorio, previamente suspendido. Una interpretación diferente del alcance de esta disposición no parecería </w:t>
      </w:r>
      <w:r w:rsidR="00EC52F4" w:rsidRPr="007F2045">
        <w:rPr>
          <w:rFonts w:ascii="Times New Roman" w:hAnsi="Times New Roman"/>
          <w:sz w:val="28"/>
          <w:szCs w:val="28"/>
          <w:lang w:val="es-CO"/>
        </w:rPr>
        <w:t xml:space="preserve">corresponder </w:t>
      </w:r>
      <w:r w:rsidRPr="007F2045">
        <w:rPr>
          <w:rFonts w:ascii="Times New Roman" w:hAnsi="Times New Roman"/>
          <w:sz w:val="28"/>
          <w:szCs w:val="28"/>
          <w:lang w:val="es-CO"/>
        </w:rPr>
        <w:t xml:space="preserve">con las diferencias que respecto de su </w:t>
      </w:r>
      <w:r w:rsidRPr="007F2045">
        <w:rPr>
          <w:rFonts w:ascii="Times New Roman" w:hAnsi="Times New Roman"/>
          <w:sz w:val="28"/>
          <w:szCs w:val="28"/>
          <w:lang w:val="es-CO"/>
        </w:rPr>
        <w:lastRenderedPageBreak/>
        <w:t xml:space="preserve">función y de su control existen entre </w:t>
      </w:r>
      <w:r w:rsidR="007C5747" w:rsidRPr="007F2045">
        <w:rPr>
          <w:rFonts w:ascii="Times New Roman" w:hAnsi="Times New Roman"/>
          <w:sz w:val="28"/>
          <w:szCs w:val="28"/>
          <w:lang w:val="es-CO"/>
        </w:rPr>
        <w:t xml:space="preserve">los </w:t>
      </w:r>
      <w:r w:rsidRPr="007F2045">
        <w:rPr>
          <w:rFonts w:ascii="Times New Roman" w:hAnsi="Times New Roman"/>
          <w:sz w:val="28"/>
          <w:szCs w:val="28"/>
          <w:lang w:val="es-CO"/>
        </w:rPr>
        <w:t>decreto</w:t>
      </w:r>
      <w:r w:rsidR="007C5747" w:rsidRPr="007F2045">
        <w:rPr>
          <w:rFonts w:ascii="Times New Roman" w:hAnsi="Times New Roman"/>
          <w:sz w:val="28"/>
          <w:szCs w:val="28"/>
          <w:lang w:val="es-CO"/>
        </w:rPr>
        <w:t>s</w:t>
      </w:r>
      <w:r w:rsidRPr="007F2045">
        <w:rPr>
          <w:rFonts w:ascii="Times New Roman" w:hAnsi="Times New Roman"/>
          <w:sz w:val="28"/>
          <w:szCs w:val="28"/>
          <w:lang w:val="es-CO"/>
        </w:rPr>
        <w:t xml:space="preserve"> declaratorio</w:t>
      </w:r>
      <w:r w:rsidR="007C5747" w:rsidRPr="007F2045">
        <w:rPr>
          <w:rFonts w:ascii="Times New Roman" w:hAnsi="Times New Roman"/>
          <w:sz w:val="28"/>
          <w:szCs w:val="28"/>
          <w:lang w:val="es-CO"/>
        </w:rPr>
        <w:t>s</w:t>
      </w:r>
      <w:r w:rsidRPr="007F2045">
        <w:rPr>
          <w:rFonts w:ascii="Times New Roman" w:hAnsi="Times New Roman"/>
          <w:sz w:val="28"/>
          <w:szCs w:val="28"/>
          <w:lang w:val="es-CO"/>
        </w:rPr>
        <w:t xml:space="preserve"> y </w:t>
      </w:r>
      <w:r w:rsidR="007C5747" w:rsidRPr="007F2045">
        <w:rPr>
          <w:rFonts w:ascii="Times New Roman" w:hAnsi="Times New Roman"/>
          <w:sz w:val="28"/>
          <w:szCs w:val="28"/>
          <w:lang w:val="es-CO"/>
        </w:rPr>
        <w:t xml:space="preserve">los </w:t>
      </w:r>
      <w:r w:rsidRPr="007F2045">
        <w:rPr>
          <w:rFonts w:ascii="Times New Roman" w:hAnsi="Times New Roman"/>
          <w:sz w:val="28"/>
          <w:szCs w:val="28"/>
          <w:lang w:val="es-CO"/>
        </w:rPr>
        <w:t xml:space="preserve">de desarrollo.  </w:t>
      </w:r>
    </w:p>
    <w:p w14:paraId="211EFA45" w14:textId="77777777" w:rsidR="00684A8D" w:rsidRPr="007F2045" w:rsidRDefault="00684A8D" w:rsidP="001B5728">
      <w:pPr>
        <w:pStyle w:val="Prrafodelista"/>
        <w:spacing w:after="0" w:line="240" w:lineRule="auto"/>
        <w:rPr>
          <w:rFonts w:ascii="Times New Roman" w:hAnsi="Times New Roman"/>
          <w:sz w:val="28"/>
          <w:szCs w:val="28"/>
          <w:lang w:val="es-CO"/>
        </w:rPr>
      </w:pPr>
    </w:p>
    <w:p w14:paraId="3C73F173" w14:textId="77777777" w:rsidR="00684A8D" w:rsidRPr="007F2045" w:rsidRDefault="6FF1B433"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En contra de esta conclusión podría afirmarse que</w:t>
      </w:r>
      <w:r w:rsidR="355E0CE5" w:rsidRPr="007F2045">
        <w:rPr>
          <w:rFonts w:ascii="Times New Roman" w:hAnsi="Times New Roman"/>
          <w:sz w:val="28"/>
          <w:szCs w:val="28"/>
          <w:lang w:val="es-CO"/>
        </w:rPr>
        <w:t>,</w:t>
      </w:r>
      <w:r w:rsidRPr="007F2045">
        <w:rPr>
          <w:rFonts w:ascii="Times New Roman" w:hAnsi="Times New Roman"/>
          <w:sz w:val="28"/>
          <w:szCs w:val="28"/>
          <w:lang w:val="es-CO"/>
        </w:rPr>
        <w:t xml:space="preserve"> en la primera parte de su pronunciamiento</w:t>
      </w:r>
      <w:r w:rsidR="355E0CE5" w:rsidRPr="007F2045">
        <w:rPr>
          <w:rFonts w:ascii="Times New Roman" w:hAnsi="Times New Roman"/>
          <w:sz w:val="28"/>
          <w:szCs w:val="28"/>
          <w:lang w:val="es-CO"/>
        </w:rPr>
        <w:t>,</w:t>
      </w:r>
      <w:r w:rsidRPr="007F2045">
        <w:rPr>
          <w:rFonts w:ascii="Times New Roman" w:hAnsi="Times New Roman"/>
          <w:sz w:val="28"/>
          <w:szCs w:val="28"/>
          <w:lang w:val="es-CO"/>
        </w:rPr>
        <w:t xml:space="preserve"> la Corte inició señalando que la</w:t>
      </w:r>
      <w:r w:rsidR="0026720F" w:rsidRPr="007F2045">
        <w:rPr>
          <w:rFonts w:ascii="Times New Roman" w:hAnsi="Times New Roman"/>
          <w:sz w:val="28"/>
          <w:szCs w:val="28"/>
          <w:lang w:val="es-CO"/>
        </w:rPr>
        <w:t xml:space="preserve"> </w:t>
      </w:r>
      <w:r w:rsidRPr="007F2045">
        <w:rPr>
          <w:rFonts w:ascii="Times New Roman" w:hAnsi="Times New Roman"/>
          <w:sz w:val="28"/>
          <w:szCs w:val="28"/>
          <w:lang w:val="es-CO"/>
        </w:rPr>
        <w:t>“declaración solamente la puede hacer el presidente de la República por medio de decretos legislativos que deben llevar la firma de todos los ministros del despacho, instrumento que también ha de utilizar para dictar las medidas destinadas a conjurar la crisis y ponerle fin”</w:t>
      </w:r>
      <w:r w:rsidR="0026720F" w:rsidRPr="007F2045">
        <w:rPr>
          <w:rFonts w:ascii="Times New Roman" w:hAnsi="Times New Roman"/>
          <w:sz w:val="28"/>
          <w:szCs w:val="28"/>
          <w:lang w:val="es-CO"/>
        </w:rPr>
        <w:t>, p</w:t>
      </w:r>
      <w:r w:rsidRPr="007F2045">
        <w:rPr>
          <w:rFonts w:ascii="Times New Roman" w:hAnsi="Times New Roman"/>
          <w:sz w:val="28"/>
          <w:szCs w:val="28"/>
          <w:lang w:val="es-CO"/>
        </w:rPr>
        <w:t>recis</w:t>
      </w:r>
      <w:r w:rsidR="0026720F" w:rsidRPr="007F2045">
        <w:rPr>
          <w:rFonts w:ascii="Times New Roman" w:hAnsi="Times New Roman"/>
          <w:sz w:val="28"/>
          <w:szCs w:val="28"/>
          <w:lang w:val="es-CO"/>
        </w:rPr>
        <w:t>ando</w:t>
      </w:r>
      <w:r w:rsidRPr="007F2045">
        <w:rPr>
          <w:rFonts w:ascii="Times New Roman" w:hAnsi="Times New Roman"/>
          <w:sz w:val="28"/>
          <w:szCs w:val="28"/>
          <w:lang w:val="es-CO"/>
        </w:rPr>
        <w:t xml:space="preserve">, luego de ello, “que no le cabe duda a la Corte de que el artículo 19 que se analiza, se refiere a esta clase de actos jurídicos”. </w:t>
      </w:r>
    </w:p>
    <w:p w14:paraId="47028E16" w14:textId="77777777" w:rsidR="00684A8D" w:rsidRPr="007F2045" w:rsidRDefault="00684A8D" w:rsidP="001B5728">
      <w:pPr>
        <w:pStyle w:val="Prrafodelista"/>
        <w:spacing w:after="0" w:line="240" w:lineRule="auto"/>
        <w:rPr>
          <w:rFonts w:ascii="Times New Roman" w:hAnsi="Times New Roman"/>
          <w:sz w:val="28"/>
          <w:szCs w:val="28"/>
          <w:lang w:val="es-CO"/>
        </w:rPr>
      </w:pPr>
    </w:p>
    <w:p w14:paraId="4811BC81" w14:textId="77777777" w:rsidR="00684A8D" w:rsidRPr="007F2045" w:rsidRDefault="6FF1B433"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Este párrafo admitiría dos interpretaciones. La primera</w:t>
      </w:r>
      <w:r w:rsidR="07B93833" w:rsidRPr="007F2045">
        <w:rPr>
          <w:rFonts w:ascii="Times New Roman" w:hAnsi="Times New Roman"/>
          <w:sz w:val="28"/>
          <w:szCs w:val="28"/>
          <w:lang w:val="es-CO"/>
        </w:rPr>
        <w:t>,</w:t>
      </w:r>
      <w:r w:rsidRPr="007F2045">
        <w:rPr>
          <w:rFonts w:ascii="Times New Roman" w:hAnsi="Times New Roman"/>
          <w:sz w:val="28"/>
          <w:szCs w:val="28"/>
          <w:lang w:val="es-CO"/>
        </w:rPr>
        <w:t xml:space="preserve"> indica que la Corte es</w:t>
      </w:r>
      <w:r w:rsidR="3810C89E" w:rsidRPr="007F2045">
        <w:rPr>
          <w:rFonts w:ascii="Times New Roman" w:hAnsi="Times New Roman"/>
          <w:sz w:val="28"/>
          <w:szCs w:val="28"/>
          <w:lang w:val="es-CO"/>
        </w:rPr>
        <w:t>t</w:t>
      </w:r>
      <w:r w:rsidR="004F5866" w:rsidRPr="007F2045">
        <w:rPr>
          <w:rFonts w:ascii="Times New Roman" w:hAnsi="Times New Roman"/>
          <w:sz w:val="28"/>
          <w:szCs w:val="28"/>
          <w:lang w:val="es-CO"/>
        </w:rPr>
        <w:t>aba</w:t>
      </w:r>
      <w:r w:rsidR="3810C89E" w:rsidRPr="007F2045">
        <w:rPr>
          <w:rFonts w:ascii="Times New Roman" w:hAnsi="Times New Roman"/>
          <w:sz w:val="28"/>
          <w:szCs w:val="28"/>
          <w:lang w:val="es-CO"/>
        </w:rPr>
        <w:t xml:space="preserve"> a</w:t>
      </w:r>
      <w:r w:rsidRPr="007F2045">
        <w:rPr>
          <w:rFonts w:ascii="Times New Roman" w:hAnsi="Times New Roman"/>
          <w:sz w:val="28"/>
          <w:szCs w:val="28"/>
          <w:lang w:val="es-CO"/>
        </w:rPr>
        <w:t>firmando que tanto el decreto que declara el estado de excepción como los decretos legislativos mediante los cuales se adopt</w:t>
      </w:r>
      <w:r w:rsidR="07B93833" w:rsidRPr="007F2045">
        <w:rPr>
          <w:rFonts w:ascii="Times New Roman" w:hAnsi="Times New Roman"/>
          <w:sz w:val="28"/>
          <w:szCs w:val="28"/>
          <w:lang w:val="es-CO"/>
        </w:rPr>
        <w:t>a</w:t>
      </w:r>
      <w:r w:rsidRPr="007F2045">
        <w:rPr>
          <w:rFonts w:ascii="Times New Roman" w:hAnsi="Times New Roman"/>
          <w:sz w:val="28"/>
          <w:szCs w:val="28"/>
          <w:lang w:val="es-CO"/>
        </w:rPr>
        <w:t xml:space="preserve">n las medidas para conjurar la crisis están regulados por el artículo 19. La </w:t>
      </w:r>
      <w:r w:rsidRPr="007F2045">
        <w:rPr>
          <w:rFonts w:ascii="Times New Roman" w:hAnsi="Times New Roman"/>
          <w:i/>
          <w:iCs/>
          <w:sz w:val="28"/>
          <w:szCs w:val="28"/>
          <w:lang w:val="es-CO"/>
        </w:rPr>
        <w:t>segunda</w:t>
      </w:r>
      <w:r w:rsidRPr="007F2045">
        <w:rPr>
          <w:rFonts w:ascii="Times New Roman" w:hAnsi="Times New Roman"/>
          <w:sz w:val="28"/>
          <w:szCs w:val="28"/>
          <w:lang w:val="es-CO"/>
        </w:rPr>
        <w:t xml:space="preserve"> sugiere que únicamente aquellos mediante los cuales se adoptan las medidas destinadas a conjurar la crisis son los destinatarios de la regulación.</w:t>
      </w:r>
      <w:r w:rsidR="5BDDD05D" w:rsidRPr="007F2045">
        <w:rPr>
          <w:rFonts w:ascii="Times New Roman" w:hAnsi="Times New Roman"/>
          <w:sz w:val="28"/>
          <w:szCs w:val="28"/>
          <w:lang w:val="es-CO"/>
        </w:rPr>
        <w:t xml:space="preserve"> </w:t>
      </w:r>
      <w:r w:rsidRPr="007F2045">
        <w:rPr>
          <w:rFonts w:ascii="Times New Roman" w:hAnsi="Times New Roman"/>
          <w:sz w:val="28"/>
          <w:szCs w:val="28"/>
          <w:lang w:val="es-CO"/>
        </w:rPr>
        <w:t>La Corte encuentra que solo la segunda interpretación es posible dado que, lo cont</w:t>
      </w:r>
      <w:r w:rsidR="0026720F" w:rsidRPr="007F2045">
        <w:rPr>
          <w:rFonts w:ascii="Times New Roman" w:hAnsi="Times New Roman"/>
          <w:sz w:val="28"/>
          <w:szCs w:val="28"/>
          <w:lang w:val="es-CO"/>
        </w:rPr>
        <w:t>r</w:t>
      </w:r>
      <w:r w:rsidRPr="007F2045">
        <w:rPr>
          <w:rFonts w:ascii="Times New Roman" w:hAnsi="Times New Roman"/>
          <w:sz w:val="28"/>
          <w:szCs w:val="28"/>
          <w:lang w:val="es-CO"/>
        </w:rPr>
        <w:t>ario, conduciría a las dificultades interpretativas señaladas y, adicionalmente</w:t>
      </w:r>
      <w:r w:rsidR="5BDDD05D" w:rsidRPr="007F2045">
        <w:rPr>
          <w:rFonts w:ascii="Times New Roman" w:hAnsi="Times New Roman"/>
          <w:sz w:val="28"/>
          <w:szCs w:val="28"/>
          <w:lang w:val="es-CO"/>
        </w:rPr>
        <w:t>,</w:t>
      </w:r>
      <w:r w:rsidRPr="007F2045">
        <w:rPr>
          <w:rFonts w:ascii="Times New Roman" w:hAnsi="Times New Roman"/>
          <w:sz w:val="28"/>
          <w:szCs w:val="28"/>
          <w:lang w:val="es-CO"/>
        </w:rPr>
        <w:t xml:space="preserve"> no </w:t>
      </w:r>
      <w:r w:rsidR="0026605E" w:rsidRPr="007F2045">
        <w:rPr>
          <w:rFonts w:ascii="Times New Roman" w:hAnsi="Times New Roman"/>
          <w:sz w:val="28"/>
          <w:szCs w:val="28"/>
          <w:lang w:val="es-CO"/>
        </w:rPr>
        <w:t>coincidiría</w:t>
      </w:r>
      <w:r w:rsidR="0026605E" w:rsidRPr="007F2045" w:rsidDel="0026605E">
        <w:rPr>
          <w:rFonts w:ascii="Times New Roman" w:hAnsi="Times New Roman"/>
          <w:sz w:val="28"/>
          <w:szCs w:val="28"/>
          <w:lang w:val="es-CO"/>
        </w:rPr>
        <w:t xml:space="preserve"> </w:t>
      </w:r>
      <w:r w:rsidRPr="007F2045">
        <w:rPr>
          <w:rFonts w:ascii="Times New Roman" w:hAnsi="Times New Roman"/>
          <w:sz w:val="28"/>
          <w:szCs w:val="28"/>
          <w:lang w:val="es-CO"/>
        </w:rPr>
        <w:t>exactamente con la finalidad de la prohibición de reproducir contenidos normativos declarados inexequibles</w:t>
      </w:r>
      <w:r w:rsidR="00684A8D" w:rsidRPr="007F2045">
        <w:rPr>
          <w:rFonts w:ascii="Times New Roman" w:hAnsi="Times New Roman"/>
          <w:szCs w:val="28"/>
          <w:vertAlign w:val="superscript"/>
          <w:lang w:val="es-CO"/>
        </w:rPr>
        <w:footnoteReference w:id="41"/>
      </w:r>
      <w:r w:rsidRPr="007F2045">
        <w:rPr>
          <w:rFonts w:ascii="Times New Roman" w:hAnsi="Times New Roman"/>
          <w:sz w:val="28"/>
          <w:szCs w:val="28"/>
          <w:lang w:val="es-CO"/>
        </w:rPr>
        <w:t xml:space="preserve">.   </w:t>
      </w:r>
    </w:p>
    <w:p w14:paraId="6B798AE2" w14:textId="77777777" w:rsidR="00684A8D" w:rsidRPr="007F2045" w:rsidRDefault="00684A8D" w:rsidP="001B5728">
      <w:pPr>
        <w:pStyle w:val="Prrafodelista"/>
        <w:tabs>
          <w:tab w:val="left" w:pos="284"/>
          <w:tab w:val="left" w:pos="426"/>
        </w:tabs>
        <w:spacing w:after="0" w:line="240" w:lineRule="auto"/>
        <w:ind w:left="0"/>
        <w:rPr>
          <w:rFonts w:ascii="Times New Roman" w:hAnsi="Times New Roman"/>
          <w:sz w:val="28"/>
          <w:szCs w:val="28"/>
          <w:lang w:val="es-CO"/>
        </w:rPr>
      </w:pPr>
    </w:p>
    <w:p w14:paraId="30D20121" w14:textId="77777777" w:rsidR="00684A8D" w:rsidRPr="007F2045" w:rsidRDefault="6FF1B433"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El artículo 20 del proyecto de ley estatutaria regulaba lo relativo al control de legalidad de </w:t>
      </w:r>
      <w:r w:rsidR="647F5B9C" w:rsidRPr="007F2045">
        <w:rPr>
          <w:rFonts w:ascii="Times New Roman" w:hAnsi="Times New Roman"/>
          <w:sz w:val="28"/>
          <w:szCs w:val="28"/>
          <w:lang w:val="es-CO"/>
        </w:rPr>
        <w:t>l</w:t>
      </w:r>
      <w:r w:rsidRPr="007F2045">
        <w:rPr>
          <w:rFonts w:ascii="Times New Roman" w:hAnsi="Times New Roman"/>
          <w:sz w:val="28"/>
          <w:szCs w:val="28"/>
          <w:lang w:val="es-CO"/>
        </w:rPr>
        <w:t>as medidas de carácter general</w:t>
      </w:r>
      <w:r w:rsidR="00C41856" w:rsidRPr="007F2045">
        <w:rPr>
          <w:rFonts w:ascii="Times New Roman" w:hAnsi="Times New Roman"/>
          <w:sz w:val="28"/>
          <w:szCs w:val="28"/>
          <w:lang w:val="es-CO"/>
        </w:rPr>
        <w:t>,</w:t>
      </w:r>
      <w:r w:rsidRPr="007F2045">
        <w:rPr>
          <w:rFonts w:ascii="Times New Roman" w:hAnsi="Times New Roman"/>
          <w:sz w:val="28"/>
          <w:szCs w:val="28"/>
          <w:lang w:val="es-CO"/>
        </w:rPr>
        <w:t xml:space="preserve"> que son dictadas en ejercicio de la función administrativa y como desarrollo de los decretos legislativos. Al respecto</w:t>
      </w:r>
      <w:r w:rsidR="07B93833" w:rsidRPr="007F2045">
        <w:rPr>
          <w:rFonts w:ascii="Times New Roman" w:hAnsi="Times New Roman"/>
          <w:sz w:val="28"/>
          <w:szCs w:val="28"/>
          <w:lang w:val="es-CO"/>
        </w:rPr>
        <w:t>,</w:t>
      </w:r>
      <w:r w:rsidRPr="007F2045">
        <w:rPr>
          <w:rFonts w:ascii="Times New Roman" w:hAnsi="Times New Roman"/>
          <w:sz w:val="28"/>
          <w:szCs w:val="28"/>
          <w:lang w:val="es-CO"/>
        </w:rPr>
        <w:t xml:space="preserve"> preveía que tendrían un control inmediato de legalidad, ejercido por la autoridad de lo contencioso-administrativo en el lugar donde se expidan, si se tratare de entidades territoriales o del Consejo de Estado si emanaren de autoridades nacionales. Luego</w:t>
      </w:r>
      <w:r w:rsidR="07B93833" w:rsidRPr="007F2045">
        <w:rPr>
          <w:rFonts w:ascii="Times New Roman" w:hAnsi="Times New Roman"/>
          <w:sz w:val="28"/>
          <w:szCs w:val="28"/>
          <w:lang w:val="es-CO"/>
        </w:rPr>
        <w:t>,</w:t>
      </w:r>
      <w:r w:rsidRPr="007F2045">
        <w:rPr>
          <w:rFonts w:ascii="Times New Roman" w:hAnsi="Times New Roman"/>
          <w:sz w:val="28"/>
          <w:szCs w:val="28"/>
          <w:lang w:val="es-CO"/>
        </w:rPr>
        <w:t xml:space="preserve"> </w:t>
      </w:r>
      <w:r w:rsidR="07B93833" w:rsidRPr="007F2045">
        <w:rPr>
          <w:rFonts w:ascii="Times New Roman" w:hAnsi="Times New Roman"/>
          <w:sz w:val="28"/>
          <w:szCs w:val="28"/>
          <w:lang w:val="es-CO"/>
        </w:rPr>
        <w:t>disponía</w:t>
      </w:r>
      <w:r w:rsidR="00192677" w:rsidRPr="007F2045">
        <w:rPr>
          <w:rFonts w:ascii="Times New Roman" w:hAnsi="Times New Roman"/>
          <w:sz w:val="28"/>
          <w:szCs w:val="28"/>
          <w:lang w:val="es-CO"/>
        </w:rPr>
        <w:t xml:space="preserve"> que </w:t>
      </w:r>
      <w:r w:rsidRPr="007F2045">
        <w:rPr>
          <w:rFonts w:ascii="Times New Roman" w:eastAsia="Times New Roman" w:hAnsi="Times New Roman"/>
          <w:sz w:val="28"/>
          <w:szCs w:val="28"/>
          <w:lang w:val="es-CO"/>
        </w:rPr>
        <w:t>“[c]</w:t>
      </w:r>
      <w:proofErr w:type="spellStart"/>
      <w:r w:rsidRPr="007F2045">
        <w:rPr>
          <w:rFonts w:ascii="Times New Roman" w:eastAsia="Times New Roman" w:hAnsi="Times New Roman"/>
          <w:sz w:val="28"/>
          <w:szCs w:val="28"/>
          <w:lang w:val="es-CO"/>
        </w:rPr>
        <w:t>uando</w:t>
      </w:r>
      <w:proofErr w:type="spellEnd"/>
      <w:r w:rsidRPr="007F2045">
        <w:rPr>
          <w:rFonts w:ascii="Times New Roman" w:eastAsia="Times New Roman" w:hAnsi="Times New Roman"/>
          <w:sz w:val="28"/>
          <w:szCs w:val="28"/>
          <w:lang w:val="es-CO"/>
        </w:rPr>
        <w:t xml:space="preserve"> la Corte Constitucional de conformidad con lo establecido en el artículo 56 inciso 2o. de la presente ley, no haya suspendido un decreto legislativo, dictado en el ejercicio de las facultades de los estados de excepción, dicho decreto, en todo o en parte, no podrá </w:t>
      </w:r>
      <w:proofErr w:type="spellStart"/>
      <w:r w:rsidRPr="007F2045">
        <w:rPr>
          <w:rFonts w:ascii="Times New Roman" w:eastAsia="Times New Roman" w:hAnsi="Times New Roman"/>
          <w:sz w:val="28"/>
          <w:szCs w:val="28"/>
          <w:lang w:val="es-CO"/>
        </w:rPr>
        <w:t>inaplicarse</w:t>
      </w:r>
      <w:proofErr w:type="spellEnd"/>
      <w:r w:rsidRPr="007F2045">
        <w:rPr>
          <w:rFonts w:ascii="Times New Roman" w:eastAsia="Times New Roman" w:hAnsi="Times New Roman"/>
          <w:sz w:val="28"/>
          <w:szCs w:val="28"/>
          <w:lang w:val="es-CO"/>
        </w:rPr>
        <w:t xml:space="preserve"> o suspenderse por la jurisdicción de lo contencioso administrativo, ni por ninguna autoridad judicial o administrativa”. </w:t>
      </w:r>
    </w:p>
    <w:p w14:paraId="038220BD" w14:textId="77777777" w:rsidR="00684A8D" w:rsidRPr="007F2045" w:rsidRDefault="00684A8D" w:rsidP="001B5728">
      <w:pPr>
        <w:pStyle w:val="Prrafodelista"/>
        <w:tabs>
          <w:tab w:val="left" w:pos="284"/>
          <w:tab w:val="left" w:pos="426"/>
        </w:tabs>
        <w:spacing w:after="0" w:line="240" w:lineRule="auto"/>
        <w:ind w:left="0"/>
        <w:rPr>
          <w:rFonts w:ascii="Times New Roman" w:hAnsi="Times New Roman"/>
          <w:sz w:val="28"/>
          <w:szCs w:val="28"/>
          <w:lang w:val="es-CO"/>
        </w:rPr>
      </w:pPr>
    </w:p>
    <w:p w14:paraId="322EACA8" w14:textId="77777777" w:rsidR="00684A8D" w:rsidRPr="007F2045" w:rsidRDefault="00192677"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iCs/>
          <w:sz w:val="28"/>
          <w:szCs w:val="28"/>
          <w:lang w:val="es-CO"/>
        </w:rPr>
        <w:t>E</w:t>
      </w:r>
      <w:r w:rsidR="00684A8D" w:rsidRPr="007F2045">
        <w:rPr>
          <w:rFonts w:ascii="Times New Roman" w:hAnsi="Times New Roman"/>
          <w:iCs/>
          <w:sz w:val="28"/>
          <w:szCs w:val="28"/>
          <w:lang w:val="es-CO"/>
        </w:rPr>
        <w:t>l artículo 56 al que remitía la disposición</w:t>
      </w:r>
      <w:r w:rsidR="00664F8E" w:rsidRPr="007F2045">
        <w:rPr>
          <w:rFonts w:ascii="Times New Roman" w:hAnsi="Times New Roman"/>
          <w:iCs/>
          <w:sz w:val="28"/>
          <w:szCs w:val="28"/>
          <w:lang w:val="es-CO"/>
        </w:rPr>
        <w:t>,</w:t>
      </w:r>
      <w:r w:rsidR="00684A8D" w:rsidRPr="007F2045">
        <w:rPr>
          <w:rFonts w:ascii="Times New Roman" w:hAnsi="Times New Roman"/>
          <w:iCs/>
          <w:sz w:val="28"/>
          <w:szCs w:val="28"/>
          <w:lang w:val="es-CO"/>
        </w:rPr>
        <w:t xml:space="preserve"> establecía</w:t>
      </w:r>
      <w:r w:rsidR="007C5747" w:rsidRPr="007F2045">
        <w:rPr>
          <w:rFonts w:ascii="Times New Roman" w:hAnsi="Times New Roman"/>
          <w:iCs/>
          <w:sz w:val="28"/>
          <w:szCs w:val="28"/>
          <w:lang w:val="es-CO"/>
        </w:rPr>
        <w:t xml:space="preserve">: </w:t>
      </w:r>
      <w:r w:rsidR="00684A8D" w:rsidRPr="007F2045">
        <w:rPr>
          <w:rFonts w:ascii="Times New Roman" w:hAnsi="Times New Roman"/>
          <w:iCs/>
          <w:sz w:val="28"/>
          <w:szCs w:val="28"/>
          <w:lang w:val="es-CO"/>
        </w:rPr>
        <w:t>“e</w:t>
      </w:r>
      <w:r w:rsidR="00684A8D" w:rsidRPr="007F2045">
        <w:rPr>
          <w:rFonts w:ascii="Times New Roman" w:hAnsi="Times New Roman"/>
          <w:bCs/>
          <w:iCs/>
          <w:sz w:val="28"/>
          <w:szCs w:val="28"/>
          <w:lang w:val="es-CO"/>
        </w:rPr>
        <w:t xml:space="preserve">n cualquier momento, y antes del vencimiento del término </w:t>
      </w:r>
      <w:r w:rsidR="004351DF" w:rsidRPr="007F2045">
        <w:rPr>
          <w:rFonts w:ascii="Times New Roman" w:hAnsi="Times New Roman"/>
          <w:bCs/>
          <w:iCs/>
          <w:sz w:val="28"/>
          <w:szCs w:val="28"/>
          <w:lang w:val="es-CO"/>
        </w:rPr>
        <w:t>previsto</w:t>
      </w:r>
      <w:r w:rsidR="00684A8D" w:rsidRPr="007F2045">
        <w:rPr>
          <w:rFonts w:ascii="Times New Roman" w:hAnsi="Times New Roman"/>
          <w:bCs/>
          <w:iCs/>
          <w:sz w:val="28"/>
          <w:szCs w:val="28"/>
          <w:lang w:val="es-CO"/>
        </w:rPr>
        <w:t>, el Gobierno podrá derogar las medidas de excepción adoptadas si considerare que las graves causas de perturbación han desaparecido o han sido conjuradas</w:t>
      </w:r>
      <w:r w:rsidR="00C5769B" w:rsidRPr="007F2045">
        <w:rPr>
          <w:rFonts w:ascii="Times New Roman" w:hAnsi="Times New Roman"/>
          <w:bCs/>
          <w:iCs/>
          <w:sz w:val="28"/>
          <w:szCs w:val="28"/>
          <w:lang w:val="es-CO"/>
        </w:rPr>
        <w:t>”. Así mismo,</w:t>
      </w:r>
      <w:r w:rsidR="00684A8D" w:rsidRPr="007F2045">
        <w:rPr>
          <w:rFonts w:ascii="Times New Roman" w:hAnsi="Times New Roman"/>
          <w:bCs/>
          <w:iCs/>
          <w:sz w:val="28"/>
          <w:szCs w:val="28"/>
          <w:lang w:val="es-CO"/>
        </w:rPr>
        <w:t xml:space="preserve"> </w:t>
      </w:r>
      <w:r w:rsidR="007C5747" w:rsidRPr="007F2045">
        <w:rPr>
          <w:rFonts w:ascii="Times New Roman" w:hAnsi="Times New Roman"/>
          <w:bCs/>
          <w:iCs/>
          <w:sz w:val="28"/>
          <w:szCs w:val="28"/>
          <w:lang w:val="es-CO"/>
        </w:rPr>
        <w:t xml:space="preserve">preceptuaba </w:t>
      </w:r>
      <w:r w:rsidR="00684A8D" w:rsidRPr="007F2045">
        <w:rPr>
          <w:rFonts w:ascii="Times New Roman" w:hAnsi="Times New Roman"/>
          <w:bCs/>
          <w:iCs/>
          <w:sz w:val="28"/>
          <w:szCs w:val="28"/>
          <w:lang w:val="es-CO"/>
        </w:rPr>
        <w:t>que “mientras se adopta la decisión definitiva, podrá la Corte Constitucional en pleno y dentro de los diez días siguientes a la fecha en que avocó su conocimiento, suspender, aún de oficio, los efectos de un decreto expedido durante los estados de excepción, siempre que contenga una manifiesta violación de la Constitución</w:t>
      </w:r>
      <w:r w:rsidR="007C5747" w:rsidRPr="007F2045">
        <w:rPr>
          <w:rFonts w:ascii="Times New Roman" w:hAnsi="Times New Roman"/>
          <w:bCs/>
          <w:iCs/>
          <w:sz w:val="28"/>
          <w:szCs w:val="28"/>
          <w:lang w:val="es-CO"/>
        </w:rPr>
        <w:t>”</w:t>
      </w:r>
      <w:r w:rsidR="00684A8D" w:rsidRPr="007F2045">
        <w:rPr>
          <w:rFonts w:ascii="Times New Roman" w:hAnsi="Times New Roman"/>
          <w:bCs/>
          <w:iCs/>
          <w:sz w:val="28"/>
          <w:szCs w:val="28"/>
          <w:lang w:val="es-CO"/>
        </w:rPr>
        <w:t>.</w:t>
      </w:r>
    </w:p>
    <w:p w14:paraId="43A27323" w14:textId="77777777" w:rsidR="00684A8D" w:rsidRPr="007F2045" w:rsidRDefault="00684A8D" w:rsidP="001B5728">
      <w:pPr>
        <w:shd w:val="clear" w:color="auto" w:fill="FFFFFF"/>
        <w:spacing w:after="0" w:line="240" w:lineRule="auto"/>
        <w:ind w:right="335"/>
        <w:textAlignment w:val="baseline"/>
        <w:rPr>
          <w:rFonts w:ascii="Times New Roman" w:hAnsi="Times New Roman"/>
          <w:sz w:val="28"/>
          <w:szCs w:val="28"/>
          <w:lang w:val="es-CO"/>
        </w:rPr>
      </w:pPr>
      <w:r w:rsidRPr="007F2045">
        <w:rPr>
          <w:rFonts w:ascii="Times New Roman" w:hAnsi="Times New Roman"/>
          <w:i/>
          <w:iCs/>
          <w:sz w:val="28"/>
          <w:szCs w:val="28"/>
          <w:lang w:val="es-CO"/>
        </w:rPr>
        <w:t> </w:t>
      </w:r>
    </w:p>
    <w:p w14:paraId="4A27D1D7" w14:textId="77777777" w:rsidR="00684A8D" w:rsidRPr="007F2045" w:rsidRDefault="00684A8D"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La Corte inició destacando que los dos primeros incisos del artículo 20 regula</w:t>
      </w:r>
      <w:r w:rsidR="00192677" w:rsidRPr="007F2045">
        <w:rPr>
          <w:rFonts w:ascii="Times New Roman" w:hAnsi="Times New Roman"/>
          <w:sz w:val="28"/>
          <w:szCs w:val="28"/>
          <w:lang w:val="es-CO"/>
        </w:rPr>
        <w:t>ban</w:t>
      </w:r>
      <w:r w:rsidRPr="007F2045">
        <w:rPr>
          <w:rFonts w:ascii="Times New Roman" w:hAnsi="Times New Roman"/>
          <w:sz w:val="28"/>
          <w:szCs w:val="28"/>
          <w:lang w:val="es-CO"/>
        </w:rPr>
        <w:t xml:space="preserve"> “el control automático de legalidad de los actos administrativos que se expidan como desarrollo de los decretos legislativos dictados por el</w:t>
      </w:r>
      <w:r w:rsidR="005B56F4" w:rsidRPr="007F2045">
        <w:rPr>
          <w:rFonts w:ascii="Times New Roman" w:hAnsi="Times New Roman"/>
          <w:sz w:val="28"/>
          <w:szCs w:val="28"/>
          <w:lang w:val="es-CO"/>
        </w:rPr>
        <w:t xml:space="preserve"> </w:t>
      </w:r>
      <w:r w:rsidR="00C5769B" w:rsidRPr="007F2045">
        <w:rPr>
          <w:rFonts w:ascii="Times New Roman" w:hAnsi="Times New Roman"/>
          <w:sz w:val="28"/>
          <w:szCs w:val="28"/>
          <w:lang w:val="es-CO"/>
        </w:rPr>
        <w:t>[p]</w:t>
      </w:r>
      <w:r w:rsidRPr="007F2045">
        <w:rPr>
          <w:rFonts w:ascii="Times New Roman" w:hAnsi="Times New Roman"/>
          <w:sz w:val="28"/>
          <w:szCs w:val="28"/>
          <w:lang w:val="es-CO"/>
        </w:rPr>
        <w:t>residente de la República durante los estados de excepción”. Destacó, a continuación</w:t>
      </w:r>
      <w:r w:rsidR="00996104" w:rsidRPr="007F2045">
        <w:rPr>
          <w:rFonts w:ascii="Times New Roman" w:hAnsi="Times New Roman"/>
          <w:sz w:val="28"/>
          <w:szCs w:val="28"/>
          <w:lang w:val="es-CO"/>
        </w:rPr>
        <w:t>,</w:t>
      </w:r>
      <w:r w:rsidRPr="007F2045">
        <w:rPr>
          <w:rFonts w:ascii="Times New Roman" w:hAnsi="Times New Roman"/>
          <w:sz w:val="28"/>
          <w:szCs w:val="28"/>
          <w:lang w:val="es-CO"/>
        </w:rPr>
        <w:t xml:space="preserve"> que</w:t>
      </w:r>
      <w:r w:rsidR="00942B82" w:rsidRPr="007F2045">
        <w:rPr>
          <w:rFonts w:ascii="Times New Roman" w:hAnsi="Times New Roman"/>
          <w:sz w:val="28"/>
          <w:szCs w:val="28"/>
          <w:lang w:val="es-CO"/>
        </w:rPr>
        <w:t xml:space="preserve"> tales disposiciones </w:t>
      </w:r>
      <w:r w:rsidRPr="007F2045">
        <w:rPr>
          <w:rFonts w:ascii="Times New Roman" w:hAnsi="Times New Roman"/>
          <w:sz w:val="28"/>
          <w:szCs w:val="28"/>
          <w:lang w:val="es-CO"/>
        </w:rPr>
        <w:t xml:space="preserve">“encajan dentro de lo contemplado en el </w:t>
      </w:r>
      <w:r w:rsidRPr="007F2045">
        <w:rPr>
          <w:rFonts w:ascii="Times New Roman" w:hAnsi="Times New Roman"/>
          <w:sz w:val="28"/>
          <w:szCs w:val="28"/>
          <w:lang w:val="es-CO"/>
        </w:rPr>
        <w:lastRenderedPageBreak/>
        <w:t xml:space="preserve">artículo 237 de la Carta, que le atribuye al Consejo de Estado las funciones de tribunal supremo de lo contencioso administrativo, y el conocimiento de las acciones de nulidad por inconstitucionalidad de los decretos dictados por el Gobierno </w:t>
      </w:r>
      <w:r w:rsidR="00094739" w:rsidRPr="007F2045">
        <w:rPr>
          <w:rFonts w:ascii="Times New Roman" w:hAnsi="Times New Roman"/>
          <w:sz w:val="28"/>
          <w:szCs w:val="28"/>
          <w:lang w:val="es-CO"/>
        </w:rPr>
        <w:t>n</w:t>
      </w:r>
      <w:r w:rsidRPr="007F2045">
        <w:rPr>
          <w:rFonts w:ascii="Times New Roman" w:hAnsi="Times New Roman"/>
          <w:sz w:val="28"/>
          <w:szCs w:val="28"/>
          <w:lang w:val="es-CO"/>
        </w:rPr>
        <w:t>acional, cuya competencia no corresponda a la Corte Constitucional, al igual que el cumplimiento de las demás funciones que le asigne la ley”.</w:t>
      </w:r>
    </w:p>
    <w:p w14:paraId="74AA13EC" w14:textId="77777777" w:rsidR="00684A8D" w:rsidRPr="007F2045" w:rsidRDefault="00684A8D" w:rsidP="001B5728">
      <w:pPr>
        <w:pStyle w:val="Prrafodelista"/>
        <w:tabs>
          <w:tab w:val="left" w:pos="284"/>
          <w:tab w:val="left" w:pos="426"/>
        </w:tabs>
        <w:spacing w:after="0" w:line="240" w:lineRule="auto"/>
        <w:ind w:left="0"/>
        <w:rPr>
          <w:rFonts w:ascii="Times New Roman" w:hAnsi="Times New Roman"/>
          <w:sz w:val="28"/>
          <w:szCs w:val="28"/>
          <w:lang w:val="es-CO"/>
        </w:rPr>
      </w:pPr>
    </w:p>
    <w:p w14:paraId="3BCB3760" w14:textId="77777777" w:rsidR="00684A8D" w:rsidRPr="007F2045" w:rsidRDefault="00684A8D"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La Corte afirmó, sin embargo, </w:t>
      </w:r>
      <w:r w:rsidR="00664F8E" w:rsidRPr="007F2045">
        <w:rPr>
          <w:rFonts w:ascii="Times New Roman" w:hAnsi="Times New Roman"/>
          <w:sz w:val="28"/>
          <w:szCs w:val="28"/>
          <w:lang w:val="es-CO"/>
        </w:rPr>
        <w:t xml:space="preserve">que </w:t>
      </w:r>
      <w:r w:rsidRPr="007F2045">
        <w:rPr>
          <w:rFonts w:ascii="Times New Roman" w:hAnsi="Times New Roman"/>
          <w:sz w:val="28"/>
          <w:szCs w:val="28"/>
          <w:lang w:val="es-CO"/>
        </w:rPr>
        <w:t>ello no ocurría con el tercer inciso de la disposición, cuyo análisis debía realizarse teniendo en cuenta el inciso 2 del artículo 56 conforme al cual “(…) mientras se adopta la decisión definitiva, podrá la Corte Constitucional en pleno y dentro de los diez días siguientes a la fecha en que avocó su conocimiento, suspender, aún de oficio, los efectos de un decreto expedido durante los estados de excepción, siempre que contenga una manifiesta violación de la Constitución</w:t>
      </w:r>
      <w:r w:rsidR="00996104" w:rsidRPr="007F2045">
        <w:rPr>
          <w:rFonts w:ascii="Times New Roman" w:hAnsi="Times New Roman"/>
          <w:sz w:val="28"/>
          <w:szCs w:val="28"/>
          <w:lang w:val="es-CO"/>
        </w:rPr>
        <w:t>”</w:t>
      </w:r>
      <w:r w:rsidRPr="007F2045">
        <w:rPr>
          <w:rFonts w:ascii="Times New Roman" w:hAnsi="Times New Roman"/>
          <w:sz w:val="28"/>
          <w:szCs w:val="28"/>
          <w:lang w:val="es-CO"/>
        </w:rPr>
        <w:t>.</w:t>
      </w:r>
    </w:p>
    <w:p w14:paraId="7E18346A" w14:textId="77777777" w:rsidR="00684A8D" w:rsidRPr="007F2045" w:rsidRDefault="00684A8D" w:rsidP="001B5728">
      <w:pPr>
        <w:pStyle w:val="Prrafodelista"/>
        <w:spacing w:after="0" w:line="240" w:lineRule="auto"/>
        <w:rPr>
          <w:rFonts w:ascii="Times New Roman" w:hAnsi="Times New Roman"/>
          <w:sz w:val="28"/>
          <w:szCs w:val="28"/>
          <w:lang w:val="es-CO"/>
        </w:rPr>
      </w:pPr>
    </w:p>
    <w:p w14:paraId="019FBED9" w14:textId="77777777" w:rsidR="00684A8D" w:rsidRPr="007F2045" w:rsidRDefault="00684A8D"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Con esa precisión, la Corte declaró que tales disposiciones “resultan inexequibles por los mismos motivos que se expusieron al estudiar el artículo 19 del presente proyecto de ley, que consagra la figura de la suspensión provisional de los decretos legislativos”. A su vez, al ocuparse de manera concreta de lo establecido en el inciso </w:t>
      </w:r>
      <w:r w:rsidR="00D05DB3" w:rsidRPr="007F2045">
        <w:rPr>
          <w:rFonts w:ascii="Times New Roman" w:hAnsi="Times New Roman"/>
          <w:sz w:val="28"/>
          <w:szCs w:val="28"/>
          <w:lang w:val="es-CO"/>
        </w:rPr>
        <w:t xml:space="preserve">2 </w:t>
      </w:r>
      <w:r w:rsidRPr="007F2045">
        <w:rPr>
          <w:rFonts w:ascii="Times New Roman" w:hAnsi="Times New Roman"/>
          <w:sz w:val="28"/>
          <w:szCs w:val="28"/>
          <w:lang w:val="es-CO"/>
        </w:rPr>
        <w:t>del artículo 56</w:t>
      </w:r>
      <w:r w:rsidR="004F5866" w:rsidRPr="007F2045">
        <w:rPr>
          <w:rFonts w:ascii="Times New Roman" w:hAnsi="Times New Roman"/>
          <w:sz w:val="28"/>
          <w:szCs w:val="28"/>
          <w:lang w:val="es-CO"/>
        </w:rPr>
        <w:t>,</w:t>
      </w:r>
      <w:r w:rsidRPr="007F2045">
        <w:rPr>
          <w:rFonts w:ascii="Times New Roman" w:hAnsi="Times New Roman"/>
          <w:sz w:val="28"/>
          <w:szCs w:val="28"/>
          <w:lang w:val="es-CO"/>
        </w:rPr>
        <w:t xml:space="preserve"> la Corte señaló </w:t>
      </w:r>
      <w:r w:rsidR="00942B82" w:rsidRPr="007F2045">
        <w:rPr>
          <w:rFonts w:ascii="Times New Roman" w:hAnsi="Times New Roman"/>
          <w:sz w:val="28"/>
          <w:szCs w:val="28"/>
          <w:lang w:val="es-CO"/>
        </w:rPr>
        <w:t xml:space="preserve">que </w:t>
      </w:r>
      <w:r w:rsidRPr="007F2045">
        <w:rPr>
          <w:rFonts w:ascii="Times New Roman" w:hAnsi="Times New Roman"/>
          <w:sz w:val="28"/>
          <w:szCs w:val="28"/>
          <w:lang w:val="es-CO"/>
        </w:rPr>
        <w:t>esa disposición era contrari</w:t>
      </w:r>
      <w:r w:rsidR="00942B82" w:rsidRPr="007F2045">
        <w:rPr>
          <w:rFonts w:ascii="Times New Roman" w:hAnsi="Times New Roman"/>
          <w:sz w:val="28"/>
          <w:szCs w:val="28"/>
          <w:lang w:val="es-CO"/>
        </w:rPr>
        <w:t>a</w:t>
      </w:r>
      <w:r w:rsidRPr="007F2045">
        <w:rPr>
          <w:rFonts w:ascii="Times New Roman" w:hAnsi="Times New Roman"/>
          <w:sz w:val="28"/>
          <w:szCs w:val="28"/>
          <w:lang w:val="es-CO"/>
        </w:rPr>
        <w:t xml:space="preserve"> a la Constitución</w:t>
      </w:r>
      <w:r w:rsidR="00942B82" w:rsidRPr="007F2045">
        <w:rPr>
          <w:rFonts w:ascii="Times New Roman" w:hAnsi="Times New Roman"/>
          <w:sz w:val="28"/>
          <w:szCs w:val="28"/>
          <w:lang w:val="es-CO"/>
        </w:rPr>
        <w:t xml:space="preserve"> </w:t>
      </w:r>
      <w:r w:rsidRPr="007F2045">
        <w:rPr>
          <w:rFonts w:ascii="Times New Roman" w:hAnsi="Times New Roman"/>
          <w:sz w:val="28"/>
          <w:szCs w:val="28"/>
          <w:lang w:val="es-CO"/>
        </w:rPr>
        <w:t>“por consagrar la procedencia del instituto de la suspensión provisional dentro del proceso de control constitucional de los decretos legislativos expedidos por el Presidente de la República durante los periodos excepcionales</w:t>
      </w:r>
      <w:r w:rsidR="00942B82" w:rsidRPr="007F2045">
        <w:rPr>
          <w:rFonts w:ascii="Times New Roman" w:hAnsi="Times New Roman"/>
          <w:sz w:val="28"/>
          <w:szCs w:val="28"/>
          <w:lang w:val="es-CO"/>
        </w:rPr>
        <w:t xml:space="preserve"> (…)</w:t>
      </w:r>
      <w:r w:rsidRPr="007F2045">
        <w:rPr>
          <w:rFonts w:ascii="Times New Roman" w:hAnsi="Times New Roman"/>
          <w:sz w:val="28"/>
          <w:szCs w:val="28"/>
          <w:lang w:val="es-CO"/>
        </w:rPr>
        <w:t>”.</w:t>
      </w:r>
      <w:r w:rsidRPr="007F2045">
        <w:rPr>
          <w:rFonts w:ascii="Times New Roman" w:hAnsi="Times New Roman"/>
          <w:lang w:val="es-CO"/>
        </w:rPr>
        <w:t xml:space="preserve"> </w:t>
      </w:r>
    </w:p>
    <w:p w14:paraId="68693384" w14:textId="77777777" w:rsidR="00684A8D" w:rsidRPr="007F2045" w:rsidRDefault="00684A8D" w:rsidP="001B5728">
      <w:pPr>
        <w:pStyle w:val="Prrafodelista"/>
        <w:spacing w:after="0" w:line="240" w:lineRule="auto"/>
        <w:rPr>
          <w:rFonts w:ascii="Times New Roman" w:hAnsi="Times New Roman"/>
          <w:sz w:val="28"/>
          <w:szCs w:val="28"/>
          <w:lang w:val="es-CO"/>
        </w:rPr>
      </w:pPr>
    </w:p>
    <w:p w14:paraId="26EA40FF" w14:textId="77777777" w:rsidR="00684A8D" w:rsidRPr="007F2045" w:rsidRDefault="00684A8D"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El examen de las dos disposiciones declaradas inexequibles evidencia la distinción clara entre los decretos declaratorios y los decretos de desarrollo. Si se examina con detalle</w:t>
      </w:r>
      <w:r w:rsidR="00996104" w:rsidRPr="007F2045">
        <w:rPr>
          <w:rFonts w:ascii="Times New Roman" w:hAnsi="Times New Roman"/>
          <w:sz w:val="28"/>
          <w:szCs w:val="28"/>
          <w:lang w:val="es-CO"/>
        </w:rPr>
        <w:t>,</w:t>
      </w:r>
      <w:r w:rsidRPr="007F2045">
        <w:rPr>
          <w:rFonts w:ascii="Times New Roman" w:hAnsi="Times New Roman"/>
          <w:sz w:val="28"/>
          <w:szCs w:val="28"/>
          <w:lang w:val="es-CO"/>
        </w:rPr>
        <w:t xml:space="preserve"> la posibilidad </w:t>
      </w:r>
      <w:r w:rsidR="00942B82" w:rsidRPr="007F2045">
        <w:rPr>
          <w:rFonts w:ascii="Times New Roman" w:hAnsi="Times New Roman"/>
          <w:sz w:val="28"/>
          <w:szCs w:val="28"/>
          <w:lang w:val="es-CO"/>
        </w:rPr>
        <w:t xml:space="preserve">de </w:t>
      </w:r>
      <w:r w:rsidRPr="007F2045">
        <w:rPr>
          <w:rFonts w:ascii="Times New Roman" w:hAnsi="Times New Roman"/>
          <w:sz w:val="28"/>
          <w:szCs w:val="28"/>
          <w:lang w:val="es-CO"/>
        </w:rPr>
        <w:t>la suspensión se predica</w:t>
      </w:r>
      <w:r w:rsidR="00942B82" w:rsidRPr="007F2045">
        <w:rPr>
          <w:rFonts w:ascii="Times New Roman" w:hAnsi="Times New Roman"/>
          <w:sz w:val="28"/>
          <w:szCs w:val="28"/>
          <w:lang w:val="es-CO"/>
        </w:rPr>
        <w:t>ba</w:t>
      </w:r>
      <w:r w:rsidRPr="007F2045">
        <w:rPr>
          <w:rFonts w:ascii="Times New Roman" w:hAnsi="Times New Roman"/>
          <w:sz w:val="28"/>
          <w:szCs w:val="28"/>
          <w:lang w:val="es-CO"/>
        </w:rPr>
        <w:t xml:space="preserve"> de los decretos dictados “</w:t>
      </w:r>
      <w:r w:rsidRPr="007F2045">
        <w:rPr>
          <w:rFonts w:ascii="Times New Roman" w:hAnsi="Times New Roman"/>
          <w:bCs/>
          <w:iCs/>
          <w:sz w:val="28"/>
          <w:szCs w:val="28"/>
          <w:lang w:val="es-CO"/>
        </w:rPr>
        <w:t>en el ejercicio de las facultades de los estados de excepción” o expedido</w:t>
      </w:r>
      <w:r w:rsidR="00942B82" w:rsidRPr="007F2045">
        <w:rPr>
          <w:rFonts w:ascii="Times New Roman" w:hAnsi="Times New Roman"/>
          <w:bCs/>
          <w:iCs/>
          <w:sz w:val="28"/>
          <w:szCs w:val="28"/>
          <w:lang w:val="es-CO"/>
        </w:rPr>
        <w:t>s</w:t>
      </w:r>
      <w:r w:rsidRPr="007F2045">
        <w:rPr>
          <w:rFonts w:ascii="Times New Roman" w:hAnsi="Times New Roman"/>
          <w:bCs/>
          <w:iCs/>
          <w:sz w:val="28"/>
          <w:szCs w:val="28"/>
          <w:lang w:val="es-CO"/>
        </w:rPr>
        <w:t xml:space="preserve"> “durante los estados de excepción”. </w:t>
      </w:r>
      <w:r w:rsidR="00942B82" w:rsidRPr="007F2045">
        <w:rPr>
          <w:rFonts w:ascii="Times New Roman" w:hAnsi="Times New Roman"/>
          <w:bCs/>
          <w:iCs/>
          <w:sz w:val="28"/>
          <w:szCs w:val="28"/>
          <w:lang w:val="es-CO"/>
        </w:rPr>
        <w:t>Según la C</w:t>
      </w:r>
      <w:r w:rsidRPr="007F2045">
        <w:rPr>
          <w:rFonts w:ascii="Times New Roman" w:hAnsi="Times New Roman"/>
          <w:bCs/>
          <w:iCs/>
          <w:sz w:val="28"/>
          <w:szCs w:val="28"/>
          <w:lang w:val="es-CO"/>
        </w:rPr>
        <w:t>onstituci</w:t>
      </w:r>
      <w:r w:rsidR="00942B82" w:rsidRPr="007F2045">
        <w:rPr>
          <w:rFonts w:ascii="Times New Roman" w:hAnsi="Times New Roman"/>
          <w:bCs/>
          <w:iCs/>
          <w:sz w:val="28"/>
          <w:szCs w:val="28"/>
          <w:lang w:val="es-CO"/>
        </w:rPr>
        <w:t>ón</w:t>
      </w:r>
      <w:r w:rsidR="00996104" w:rsidRPr="007F2045">
        <w:rPr>
          <w:rFonts w:ascii="Times New Roman" w:hAnsi="Times New Roman"/>
          <w:bCs/>
          <w:iCs/>
          <w:sz w:val="28"/>
          <w:szCs w:val="28"/>
          <w:lang w:val="es-CO"/>
        </w:rPr>
        <w:t>,</w:t>
      </w:r>
      <w:r w:rsidRPr="007F2045">
        <w:rPr>
          <w:rFonts w:ascii="Times New Roman" w:hAnsi="Times New Roman"/>
          <w:bCs/>
          <w:iCs/>
          <w:sz w:val="28"/>
          <w:szCs w:val="28"/>
          <w:lang w:val="es-CO"/>
        </w:rPr>
        <w:t xml:space="preserve"> el estado de excepción solo existe después de que es declarado, de manera que cuando los artículos utilizan las expresiones transcritas se refieren a las facultades ejercidas </w:t>
      </w:r>
      <w:r w:rsidR="00664F8E" w:rsidRPr="007F2045">
        <w:rPr>
          <w:rFonts w:ascii="Times New Roman" w:hAnsi="Times New Roman"/>
          <w:bCs/>
          <w:iCs/>
          <w:sz w:val="28"/>
          <w:szCs w:val="28"/>
          <w:lang w:val="es-CO"/>
        </w:rPr>
        <w:t xml:space="preserve">una vez ello ha ocurrido </w:t>
      </w:r>
      <w:r w:rsidRPr="007F2045">
        <w:rPr>
          <w:rFonts w:ascii="Times New Roman" w:hAnsi="Times New Roman"/>
          <w:bCs/>
          <w:iCs/>
          <w:sz w:val="28"/>
          <w:szCs w:val="28"/>
          <w:lang w:val="es-CO"/>
        </w:rPr>
        <w:t xml:space="preserve">y no a la declaración misma. En adición </w:t>
      </w:r>
      <w:r w:rsidR="007E0A17" w:rsidRPr="007F2045">
        <w:rPr>
          <w:rFonts w:ascii="Times New Roman" w:hAnsi="Times New Roman"/>
          <w:bCs/>
          <w:iCs/>
          <w:sz w:val="28"/>
          <w:szCs w:val="28"/>
          <w:lang w:val="es-CO"/>
        </w:rPr>
        <w:t>a lo anterior</w:t>
      </w:r>
      <w:r w:rsidRPr="007F2045">
        <w:rPr>
          <w:rFonts w:ascii="Times New Roman" w:hAnsi="Times New Roman"/>
          <w:bCs/>
          <w:iCs/>
          <w:sz w:val="28"/>
          <w:szCs w:val="28"/>
          <w:lang w:val="es-CO"/>
        </w:rPr>
        <w:t>, debe considerarse</w:t>
      </w:r>
      <w:r w:rsidR="007E0A17" w:rsidRPr="007F2045">
        <w:rPr>
          <w:rFonts w:ascii="Times New Roman" w:hAnsi="Times New Roman"/>
          <w:bCs/>
          <w:iCs/>
          <w:sz w:val="28"/>
          <w:szCs w:val="28"/>
          <w:lang w:val="es-CO"/>
        </w:rPr>
        <w:t xml:space="preserve"> que</w:t>
      </w:r>
      <w:r w:rsidRPr="007F2045">
        <w:rPr>
          <w:rFonts w:ascii="Times New Roman" w:hAnsi="Times New Roman"/>
          <w:bCs/>
          <w:iCs/>
          <w:sz w:val="28"/>
          <w:szCs w:val="28"/>
          <w:lang w:val="es-CO"/>
        </w:rPr>
        <w:t xml:space="preserve">, a partir de una interpretación sistemática, si el primer inciso del artículo 56 regulaba la competencia del presidente de la República para derogar las medidas de excepción que hubiere adoptado </w:t>
      </w:r>
      <w:r w:rsidR="00791F8A" w:rsidRPr="007F2045">
        <w:rPr>
          <w:rFonts w:ascii="Times New Roman" w:hAnsi="Times New Roman"/>
          <w:bCs/>
          <w:iCs/>
          <w:sz w:val="28"/>
          <w:szCs w:val="28"/>
          <w:lang w:val="es-CO"/>
        </w:rPr>
        <w:t>–</w:t>
      </w:r>
      <w:r w:rsidRPr="007F2045">
        <w:rPr>
          <w:rFonts w:ascii="Times New Roman" w:hAnsi="Times New Roman"/>
          <w:bCs/>
          <w:iCs/>
          <w:sz w:val="28"/>
          <w:szCs w:val="28"/>
          <w:lang w:val="es-CO"/>
        </w:rPr>
        <w:t>decretos de desarrollo</w:t>
      </w:r>
      <w:r w:rsidR="00791F8A" w:rsidRPr="007F2045">
        <w:rPr>
          <w:rFonts w:ascii="Times New Roman" w:hAnsi="Times New Roman"/>
          <w:bCs/>
          <w:iCs/>
          <w:sz w:val="28"/>
          <w:szCs w:val="28"/>
          <w:lang w:val="es-CO"/>
        </w:rPr>
        <w:t>–</w:t>
      </w:r>
      <w:r w:rsidR="00996104" w:rsidRPr="007F2045">
        <w:rPr>
          <w:rFonts w:ascii="Times New Roman" w:hAnsi="Times New Roman"/>
          <w:bCs/>
          <w:iCs/>
          <w:sz w:val="28"/>
          <w:szCs w:val="28"/>
          <w:lang w:val="es-CO"/>
        </w:rPr>
        <w:t>,</w:t>
      </w:r>
      <w:r w:rsidRPr="007F2045">
        <w:rPr>
          <w:rFonts w:ascii="Times New Roman" w:hAnsi="Times New Roman"/>
          <w:bCs/>
          <w:iCs/>
          <w:sz w:val="28"/>
          <w:szCs w:val="28"/>
          <w:lang w:val="es-CO"/>
        </w:rPr>
        <w:t xml:space="preserve"> </w:t>
      </w:r>
      <w:r w:rsidR="00664F8E" w:rsidRPr="007F2045">
        <w:rPr>
          <w:rFonts w:ascii="Times New Roman" w:hAnsi="Times New Roman"/>
          <w:bCs/>
          <w:iCs/>
          <w:sz w:val="28"/>
          <w:szCs w:val="28"/>
          <w:lang w:val="es-CO"/>
        </w:rPr>
        <w:t xml:space="preserve">es difícil concluir que </w:t>
      </w:r>
      <w:r w:rsidRPr="007F2045">
        <w:rPr>
          <w:rFonts w:ascii="Times New Roman" w:hAnsi="Times New Roman"/>
          <w:bCs/>
          <w:iCs/>
          <w:sz w:val="28"/>
          <w:szCs w:val="28"/>
          <w:lang w:val="es-CO"/>
        </w:rPr>
        <w:t xml:space="preserve">el segundo inciso </w:t>
      </w:r>
      <w:r w:rsidR="00664F8E" w:rsidRPr="007F2045">
        <w:rPr>
          <w:rFonts w:ascii="Times New Roman" w:hAnsi="Times New Roman"/>
          <w:bCs/>
          <w:iCs/>
          <w:sz w:val="28"/>
          <w:szCs w:val="28"/>
          <w:lang w:val="es-CO"/>
        </w:rPr>
        <w:t xml:space="preserve">no </w:t>
      </w:r>
      <w:r w:rsidRPr="007F2045">
        <w:rPr>
          <w:rFonts w:ascii="Times New Roman" w:hAnsi="Times New Roman"/>
          <w:bCs/>
          <w:iCs/>
          <w:sz w:val="28"/>
          <w:szCs w:val="28"/>
          <w:lang w:val="es-CO"/>
        </w:rPr>
        <w:t>se ocup</w:t>
      </w:r>
      <w:r w:rsidR="00664F8E" w:rsidRPr="007F2045">
        <w:rPr>
          <w:rFonts w:ascii="Times New Roman" w:hAnsi="Times New Roman"/>
          <w:bCs/>
          <w:iCs/>
          <w:sz w:val="28"/>
          <w:szCs w:val="28"/>
          <w:lang w:val="es-CO"/>
        </w:rPr>
        <w:t>e</w:t>
      </w:r>
      <w:r w:rsidRPr="007F2045">
        <w:rPr>
          <w:rFonts w:ascii="Times New Roman" w:hAnsi="Times New Roman"/>
          <w:bCs/>
          <w:iCs/>
          <w:sz w:val="28"/>
          <w:szCs w:val="28"/>
          <w:lang w:val="es-CO"/>
        </w:rPr>
        <w:t xml:space="preserve"> de la posibilidad de suspender el mismo tipo de medidas, esto es, las adoptadas en desarrollo del estado de excepción.</w:t>
      </w:r>
    </w:p>
    <w:p w14:paraId="03CC471D" w14:textId="77777777" w:rsidR="00684A8D" w:rsidRPr="007F2045" w:rsidRDefault="00684A8D" w:rsidP="001B5728">
      <w:pPr>
        <w:pStyle w:val="Prrafodelista"/>
        <w:spacing w:after="0" w:line="240" w:lineRule="auto"/>
        <w:rPr>
          <w:rFonts w:ascii="Times New Roman" w:hAnsi="Times New Roman"/>
          <w:bCs/>
          <w:iCs/>
          <w:sz w:val="28"/>
          <w:szCs w:val="28"/>
          <w:lang w:val="es-CO"/>
        </w:rPr>
      </w:pPr>
    </w:p>
    <w:p w14:paraId="4ED0DA28" w14:textId="77777777" w:rsidR="00684A8D" w:rsidRPr="007F2045" w:rsidRDefault="00684A8D"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bCs/>
          <w:iCs/>
          <w:sz w:val="28"/>
          <w:szCs w:val="28"/>
          <w:lang w:val="es-CO"/>
        </w:rPr>
        <w:t>La regulación de la suspensión prevista en las citadas disposiciones se refería</w:t>
      </w:r>
      <w:r w:rsidR="00996104" w:rsidRPr="007F2045">
        <w:rPr>
          <w:rFonts w:ascii="Times New Roman" w:hAnsi="Times New Roman"/>
          <w:bCs/>
          <w:iCs/>
          <w:sz w:val="28"/>
          <w:szCs w:val="28"/>
          <w:lang w:val="es-CO"/>
        </w:rPr>
        <w:t>,</w:t>
      </w:r>
      <w:r w:rsidRPr="007F2045">
        <w:rPr>
          <w:rFonts w:ascii="Times New Roman" w:hAnsi="Times New Roman"/>
          <w:bCs/>
          <w:iCs/>
          <w:sz w:val="28"/>
          <w:szCs w:val="28"/>
          <w:lang w:val="es-CO"/>
        </w:rPr>
        <w:t xml:space="preserve"> entonces</w:t>
      </w:r>
      <w:r w:rsidR="00996104" w:rsidRPr="007F2045">
        <w:rPr>
          <w:rFonts w:ascii="Times New Roman" w:hAnsi="Times New Roman"/>
          <w:bCs/>
          <w:iCs/>
          <w:sz w:val="28"/>
          <w:szCs w:val="28"/>
          <w:lang w:val="es-CO"/>
        </w:rPr>
        <w:t>,</w:t>
      </w:r>
      <w:r w:rsidRPr="007F2045">
        <w:rPr>
          <w:rFonts w:ascii="Times New Roman" w:hAnsi="Times New Roman"/>
          <w:bCs/>
          <w:iCs/>
          <w:sz w:val="28"/>
          <w:szCs w:val="28"/>
          <w:lang w:val="es-CO"/>
        </w:rPr>
        <w:t xml:space="preserve"> a los decretos legislativos dictados al amparo de las facultades derivadas del decreto declaratorio. </w:t>
      </w:r>
      <w:r w:rsidRPr="007F2045">
        <w:rPr>
          <w:rFonts w:ascii="Times New Roman" w:hAnsi="Times New Roman"/>
          <w:sz w:val="28"/>
          <w:szCs w:val="28"/>
          <w:lang w:val="es-CO"/>
        </w:rPr>
        <w:t xml:space="preserve">Lo propio ocurría también con la facultad de suspensión provisional establecida en los artículos 27 y 38 del mismo proyecto de ley. </w:t>
      </w:r>
    </w:p>
    <w:p w14:paraId="3D4E1A55" w14:textId="77777777" w:rsidR="00684A8D" w:rsidRPr="007F2045" w:rsidRDefault="00684A8D" w:rsidP="001B5728">
      <w:pPr>
        <w:pStyle w:val="Prrafodelista"/>
        <w:spacing w:after="0" w:line="240" w:lineRule="auto"/>
        <w:rPr>
          <w:rFonts w:ascii="Times New Roman" w:hAnsi="Times New Roman"/>
          <w:sz w:val="28"/>
          <w:szCs w:val="28"/>
          <w:lang w:val="es-CO"/>
        </w:rPr>
      </w:pPr>
    </w:p>
    <w:p w14:paraId="7854F4A2" w14:textId="77777777" w:rsidR="00967A38" w:rsidRPr="007F2045" w:rsidRDefault="00684A8D"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El primero, luego de</w:t>
      </w:r>
      <w:r w:rsidR="00967A38" w:rsidRPr="007F2045">
        <w:rPr>
          <w:rFonts w:ascii="Times New Roman" w:hAnsi="Times New Roman"/>
          <w:sz w:val="28"/>
          <w:szCs w:val="28"/>
          <w:lang w:val="es-CO"/>
        </w:rPr>
        <w:t xml:space="preserve"> prever</w:t>
      </w:r>
      <w:r w:rsidRPr="007F2045">
        <w:rPr>
          <w:rFonts w:ascii="Times New Roman" w:hAnsi="Times New Roman"/>
          <w:sz w:val="28"/>
          <w:szCs w:val="28"/>
          <w:lang w:val="es-CO"/>
        </w:rPr>
        <w:t xml:space="preserve"> algunas de las medidas que el presidente podría adoptar mediante decretos legislativos y en desarrollo de estos durante el estado de guerra exterior, establecía que “[</w:t>
      </w:r>
      <w:r w:rsidRPr="007F2045">
        <w:rPr>
          <w:rFonts w:ascii="Times New Roman" w:hAnsi="Times New Roman"/>
          <w:sz w:val="28"/>
          <w:szCs w:val="28"/>
          <w:shd w:val="clear" w:color="auto" w:fill="FFFFFF"/>
          <w:lang w:val="es-CO"/>
        </w:rPr>
        <w:t>t]odas estas determinaciones están sometidas al control de la Corte Constitucional, la cual podrá suspenderlas provisionalmente en un plazo máximo de cuarenta y ocho (48) horas, sin perjuicio del control definitivo que ejercerá dentro de los plazos establecidos en la Constitución</w:t>
      </w:r>
      <w:r w:rsidR="00996104" w:rsidRPr="007F2045">
        <w:rPr>
          <w:rFonts w:ascii="Times New Roman" w:hAnsi="Times New Roman"/>
          <w:sz w:val="28"/>
          <w:szCs w:val="28"/>
          <w:shd w:val="clear" w:color="auto" w:fill="FFFFFF"/>
          <w:lang w:val="es-CO"/>
        </w:rPr>
        <w:t>”</w:t>
      </w:r>
      <w:r w:rsidRPr="007F2045">
        <w:rPr>
          <w:rFonts w:ascii="Times New Roman" w:hAnsi="Times New Roman"/>
          <w:i/>
          <w:sz w:val="28"/>
          <w:szCs w:val="28"/>
          <w:shd w:val="clear" w:color="auto" w:fill="FFFFFF"/>
          <w:lang w:val="es-CO"/>
        </w:rPr>
        <w:t>.</w:t>
      </w:r>
      <w:r w:rsidRPr="007F2045">
        <w:rPr>
          <w:rFonts w:ascii="Times New Roman" w:hAnsi="Times New Roman"/>
          <w:sz w:val="28"/>
          <w:szCs w:val="28"/>
          <w:shd w:val="clear" w:color="auto" w:fill="FFFFFF"/>
          <w:lang w:val="es-CO"/>
        </w:rPr>
        <w:t xml:space="preserve"> A su vez</w:t>
      </w:r>
      <w:r w:rsidR="00996104" w:rsidRPr="007F2045">
        <w:rPr>
          <w:rFonts w:ascii="Times New Roman" w:hAnsi="Times New Roman"/>
          <w:sz w:val="28"/>
          <w:szCs w:val="28"/>
          <w:shd w:val="clear" w:color="auto" w:fill="FFFFFF"/>
          <w:lang w:val="es-CO"/>
        </w:rPr>
        <w:t>,</w:t>
      </w:r>
      <w:r w:rsidRPr="007F2045">
        <w:rPr>
          <w:rFonts w:ascii="Times New Roman" w:hAnsi="Times New Roman"/>
          <w:sz w:val="28"/>
          <w:szCs w:val="28"/>
          <w:shd w:val="clear" w:color="auto" w:fill="FFFFFF"/>
          <w:lang w:val="es-CO"/>
        </w:rPr>
        <w:t xml:space="preserve"> el artículo 38, después de enunciar algunas medidas </w:t>
      </w:r>
      <w:r w:rsidRPr="007F2045">
        <w:rPr>
          <w:rFonts w:ascii="Times New Roman" w:hAnsi="Times New Roman"/>
          <w:sz w:val="28"/>
          <w:szCs w:val="28"/>
          <w:shd w:val="clear" w:color="auto" w:fill="FFFFFF"/>
          <w:lang w:val="es-CO"/>
        </w:rPr>
        <w:lastRenderedPageBreak/>
        <w:t>que durante el estado de conmoción interior podría adoptar el Gobierno,</w:t>
      </w:r>
      <w:r w:rsidR="00AE73BC" w:rsidRPr="007F2045">
        <w:rPr>
          <w:rFonts w:ascii="Times New Roman" w:hAnsi="Times New Roman"/>
          <w:sz w:val="28"/>
          <w:szCs w:val="28"/>
          <w:shd w:val="clear" w:color="auto" w:fill="FFFFFF"/>
          <w:lang w:val="es-CO"/>
        </w:rPr>
        <w:t xml:space="preserve"> establecía</w:t>
      </w:r>
      <w:r w:rsidR="00942B82" w:rsidRPr="007F2045">
        <w:rPr>
          <w:rFonts w:ascii="Times New Roman" w:hAnsi="Times New Roman"/>
          <w:sz w:val="28"/>
          <w:szCs w:val="28"/>
          <w:shd w:val="clear" w:color="auto" w:fill="FFFFFF"/>
          <w:lang w:val="es-CO"/>
        </w:rPr>
        <w:t xml:space="preserve"> una competencia igual a la mencionada</w:t>
      </w:r>
      <w:r w:rsidRPr="007F2045">
        <w:rPr>
          <w:rFonts w:ascii="Times New Roman" w:hAnsi="Times New Roman"/>
          <w:i/>
          <w:sz w:val="28"/>
          <w:szCs w:val="28"/>
          <w:shd w:val="clear" w:color="auto" w:fill="FFFFFF"/>
          <w:lang w:val="es-CO"/>
        </w:rPr>
        <w:t>.</w:t>
      </w:r>
      <w:r w:rsidRPr="007F2045">
        <w:rPr>
          <w:rFonts w:ascii="Times New Roman" w:hAnsi="Times New Roman"/>
          <w:sz w:val="28"/>
          <w:szCs w:val="28"/>
          <w:shd w:val="clear" w:color="auto" w:fill="FFFFFF"/>
          <w:lang w:val="es-CO"/>
        </w:rPr>
        <w:t xml:space="preserve"> </w:t>
      </w:r>
    </w:p>
    <w:p w14:paraId="6E39EF2C" w14:textId="77777777" w:rsidR="00967A38" w:rsidRPr="007F2045" w:rsidRDefault="00967A38" w:rsidP="001B5728">
      <w:pPr>
        <w:pStyle w:val="Prrafodelista"/>
        <w:spacing w:after="0" w:line="240" w:lineRule="auto"/>
        <w:rPr>
          <w:rFonts w:ascii="Times New Roman" w:hAnsi="Times New Roman"/>
          <w:sz w:val="28"/>
          <w:szCs w:val="28"/>
          <w:shd w:val="clear" w:color="auto" w:fill="FFFFFF"/>
          <w:lang w:val="es-CO"/>
        </w:rPr>
      </w:pPr>
    </w:p>
    <w:p w14:paraId="3F9962CC" w14:textId="77777777" w:rsidR="00684A8D" w:rsidRPr="007F2045" w:rsidRDefault="00996104"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shd w:val="clear" w:color="auto" w:fill="FFFFFF"/>
          <w:lang w:val="es-CO"/>
        </w:rPr>
        <w:t xml:space="preserve">A diferencia de las otras disposiciones –las contenidas en los artículos 19, 20 y 56–, genéricas y abstractas, solo estas –las contenidas en sus artículos 27 y 38–, de manera específica, </w:t>
      </w:r>
      <w:r w:rsidR="002258D5" w:rsidRPr="007F2045">
        <w:rPr>
          <w:rFonts w:ascii="Times New Roman" w:hAnsi="Times New Roman"/>
          <w:sz w:val="28"/>
          <w:szCs w:val="28"/>
          <w:shd w:val="clear" w:color="auto" w:fill="FFFFFF"/>
          <w:lang w:val="es-CO"/>
        </w:rPr>
        <w:t xml:space="preserve">regulaban un supuesto especial de suspensión provisional </w:t>
      </w:r>
      <w:r w:rsidRPr="007F2045">
        <w:rPr>
          <w:rFonts w:ascii="Times New Roman" w:hAnsi="Times New Roman"/>
          <w:sz w:val="28"/>
          <w:szCs w:val="28"/>
          <w:shd w:val="clear" w:color="auto" w:fill="FFFFFF"/>
          <w:lang w:val="es-CO"/>
        </w:rPr>
        <w:t>respecto de ciertas determinaciones que podía adoptar el presidente de la República al amparo de los estados de excepción de guerra y de conmoción interior.</w:t>
      </w:r>
    </w:p>
    <w:p w14:paraId="7A6FF0AA" w14:textId="77777777" w:rsidR="00684A8D" w:rsidRPr="007F2045" w:rsidRDefault="00684A8D" w:rsidP="001B5728">
      <w:pPr>
        <w:pStyle w:val="Prrafodelista"/>
        <w:spacing w:after="0" w:line="240" w:lineRule="auto"/>
        <w:rPr>
          <w:rFonts w:ascii="Times New Roman" w:hAnsi="Times New Roman"/>
          <w:sz w:val="28"/>
          <w:szCs w:val="28"/>
          <w:lang w:val="es-CO"/>
        </w:rPr>
      </w:pPr>
    </w:p>
    <w:p w14:paraId="3370B1AE" w14:textId="77777777" w:rsidR="00684A8D" w:rsidRPr="007F2045" w:rsidRDefault="00684A8D"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La Corte precisó que tales </w:t>
      </w:r>
      <w:r w:rsidR="002258D5" w:rsidRPr="007F2045">
        <w:rPr>
          <w:rFonts w:ascii="Times New Roman" w:hAnsi="Times New Roman"/>
          <w:sz w:val="28"/>
          <w:szCs w:val="28"/>
          <w:lang w:val="es-CO"/>
        </w:rPr>
        <w:t xml:space="preserve">apartados </w:t>
      </w:r>
      <w:r w:rsidRPr="007F2045">
        <w:rPr>
          <w:rFonts w:ascii="Times New Roman" w:hAnsi="Times New Roman"/>
          <w:sz w:val="28"/>
          <w:szCs w:val="28"/>
          <w:lang w:val="es-CO"/>
        </w:rPr>
        <w:t>eran inconstitucionales</w:t>
      </w:r>
      <w:r w:rsidR="00EE18CC" w:rsidRPr="007F2045">
        <w:rPr>
          <w:rFonts w:ascii="Times New Roman" w:hAnsi="Times New Roman"/>
          <w:sz w:val="28"/>
          <w:szCs w:val="28"/>
          <w:lang w:val="es-CO"/>
        </w:rPr>
        <w:t>. Sostuvo</w:t>
      </w:r>
      <w:r w:rsidRPr="007F2045">
        <w:rPr>
          <w:rFonts w:ascii="Times New Roman" w:hAnsi="Times New Roman"/>
          <w:sz w:val="28"/>
          <w:szCs w:val="28"/>
          <w:lang w:val="es-CO"/>
        </w:rPr>
        <w:t xml:space="preserve"> que, “como se expuso al revisar los artículos 19 y 20 del presente proyecto de ley, que también instituían dicha figura jurídica, la ley no puede atribuir a la Corte Constitucional una competencia que la Constitución no le asigna”. Para la Sala “el artículo 241 del Estatuto Supremo al confiar a esta Corporación, la guarda de la integridad y supremacía de la Constitución, dejó claramente establecido que dicha labor debía realizarla </w:t>
      </w:r>
      <w:r w:rsidR="00C5769B" w:rsidRPr="007F2045">
        <w:rPr>
          <w:rFonts w:ascii="Times New Roman" w:hAnsi="Times New Roman"/>
          <w:sz w:val="28"/>
          <w:szCs w:val="28"/>
          <w:lang w:val="es-CO"/>
        </w:rPr>
        <w:t>‘</w:t>
      </w:r>
      <w:r w:rsidRPr="007F2045">
        <w:rPr>
          <w:rFonts w:ascii="Times New Roman" w:hAnsi="Times New Roman"/>
          <w:sz w:val="28"/>
          <w:szCs w:val="28"/>
          <w:lang w:val="es-CO"/>
        </w:rPr>
        <w:t>en los estrictos y precisos términos</w:t>
      </w:r>
      <w:r w:rsidR="00C5769B" w:rsidRPr="007F2045">
        <w:rPr>
          <w:rFonts w:ascii="Times New Roman" w:hAnsi="Times New Roman"/>
          <w:sz w:val="28"/>
          <w:szCs w:val="28"/>
          <w:lang w:val="es-CO"/>
        </w:rPr>
        <w:t>’</w:t>
      </w:r>
      <w:r w:rsidRPr="007F2045">
        <w:rPr>
          <w:rFonts w:ascii="Times New Roman" w:hAnsi="Times New Roman"/>
          <w:sz w:val="28"/>
          <w:szCs w:val="28"/>
          <w:lang w:val="es-CO"/>
        </w:rPr>
        <w:t xml:space="preserve"> que la misma norma consagra”. Según la Corte, </w:t>
      </w:r>
      <w:r w:rsidR="00EE18CC" w:rsidRPr="007F2045">
        <w:rPr>
          <w:rFonts w:ascii="Times New Roman" w:hAnsi="Times New Roman"/>
          <w:sz w:val="28"/>
          <w:szCs w:val="28"/>
          <w:lang w:val="es-CO"/>
        </w:rPr>
        <w:t xml:space="preserve">su competencia para decidir definitivamente </w:t>
      </w:r>
      <w:r w:rsidRPr="007F2045">
        <w:rPr>
          <w:rFonts w:ascii="Times New Roman" w:hAnsi="Times New Roman"/>
          <w:sz w:val="28"/>
          <w:szCs w:val="28"/>
          <w:lang w:val="es-CO"/>
        </w:rPr>
        <w:t xml:space="preserve">significaba que “no puede suspender provisionalmente dichos ordenamientos, pues sus decisiones deben ser definitivas, esto es, por una sola vez y para siempre”. </w:t>
      </w:r>
    </w:p>
    <w:p w14:paraId="055D26DF" w14:textId="77777777" w:rsidR="00684A8D" w:rsidRPr="007F2045" w:rsidRDefault="00684A8D" w:rsidP="001B5728">
      <w:pPr>
        <w:pStyle w:val="Prrafodelista"/>
        <w:tabs>
          <w:tab w:val="left" w:pos="284"/>
          <w:tab w:val="left" w:pos="426"/>
        </w:tabs>
        <w:spacing w:after="0" w:line="240" w:lineRule="auto"/>
        <w:ind w:left="0"/>
        <w:rPr>
          <w:rFonts w:ascii="Times New Roman" w:hAnsi="Times New Roman"/>
          <w:sz w:val="28"/>
          <w:szCs w:val="28"/>
          <w:lang w:val="es-CO"/>
        </w:rPr>
      </w:pPr>
    </w:p>
    <w:p w14:paraId="61A8F780" w14:textId="77777777" w:rsidR="00684A8D" w:rsidRPr="007F2045" w:rsidRDefault="002258D5"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Así, e</w:t>
      </w:r>
      <w:r w:rsidR="00684A8D" w:rsidRPr="007F2045">
        <w:rPr>
          <w:rFonts w:ascii="Times New Roman" w:hAnsi="Times New Roman"/>
          <w:sz w:val="28"/>
          <w:szCs w:val="28"/>
          <w:lang w:val="es-CO"/>
        </w:rPr>
        <w:t xml:space="preserve">s </w:t>
      </w:r>
      <w:r w:rsidRPr="007F2045">
        <w:rPr>
          <w:rFonts w:ascii="Times New Roman" w:hAnsi="Times New Roman"/>
          <w:sz w:val="28"/>
          <w:szCs w:val="28"/>
          <w:lang w:val="es-CO"/>
        </w:rPr>
        <w:t xml:space="preserve">evidente </w:t>
      </w:r>
      <w:r w:rsidR="00684A8D" w:rsidRPr="007F2045">
        <w:rPr>
          <w:rFonts w:ascii="Times New Roman" w:hAnsi="Times New Roman"/>
          <w:sz w:val="28"/>
          <w:szCs w:val="28"/>
          <w:lang w:val="es-CO"/>
        </w:rPr>
        <w:t xml:space="preserve">que la suspensión provisional </w:t>
      </w:r>
      <w:r w:rsidRPr="007F2045">
        <w:rPr>
          <w:rFonts w:ascii="Times New Roman" w:hAnsi="Times New Roman"/>
          <w:sz w:val="28"/>
          <w:szCs w:val="28"/>
          <w:lang w:val="es-CO"/>
        </w:rPr>
        <w:t xml:space="preserve">que se </w:t>
      </w:r>
      <w:r w:rsidR="00684A8D" w:rsidRPr="007F2045">
        <w:rPr>
          <w:rFonts w:ascii="Times New Roman" w:hAnsi="Times New Roman"/>
          <w:sz w:val="28"/>
          <w:szCs w:val="28"/>
          <w:lang w:val="es-CO"/>
        </w:rPr>
        <w:t>regula</w:t>
      </w:r>
      <w:r w:rsidRPr="007F2045">
        <w:rPr>
          <w:rFonts w:ascii="Times New Roman" w:hAnsi="Times New Roman"/>
          <w:sz w:val="28"/>
          <w:szCs w:val="28"/>
          <w:lang w:val="es-CO"/>
        </w:rPr>
        <w:t>ba</w:t>
      </w:r>
      <w:r w:rsidR="00684A8D" w:rsidRPr="007F2045">
        <w:rPr>
          <w:rFonts w:ascii="Times New Roman" w:hAnsi="Times New Roman"/>
          <w:sz w:val="28"/>
          <w:szCs w:val="28"/>
          <w:lang w:val="es-CO"/>
        </w:rPr>
        <w:t xml:space="preserve"> en estas disposiciones aludía a los decretos de desarrollo relacionados con medidas específicas adoptadas durante el estado de guerra o el estado de conmoción interior. De este modo</w:t>
      </w:r>
      <w:r w:rsidRPr="007F2045">
        <w:rPr>
          <w:rFonts w:ascii="Times New Roman" w:hAnsi="Times New Roman"/>
          <w:sz w:val="28"/>
          <w:szCs w:val="28"/>
          <w:lang w:val="es-CO"/>
        </w:rPr>
        <w:t>,</w:t>
      </w:r>
      <w:r w:rsidR="00684A8D" w:rsidRPr="007F2045">
        <w:rPr>
          <w:rFonts w:ascii="Times New Roman" w:hAnsi="Times New Roman"/>
          <w:sz w:val="28"/>
          <w:szCs w:val="28"/>
          <w:lang w:val="es-CO"/>
        </w:rPr>
        <w:t xml:space="preserve"> no regulaban la suspensión provisional de los efectos de los decretos declaratorios.</w:t>
      </w:r>
    </w:p>
    <w:p w14:paraId="2A2BD613" w14:textId="77777777" w:rsidR="00684A8D" w:rsidRPr="007F2045" w:rsidRDefault="00684A8D" w:rsidP="001B5728">
      <w:pPr>
        <w:pStyle w:val="Prrafodelista"/>
        <w:spacing w:after="0" w:line="240" w:lineRule="auto"/>
        <w:rPr>
          <w:rFonts w:ascii="Times New Roman" w:hAnsi="Times New Roman"/>
          <w:sz w:val="28"/>
          <w:szCs w:val="28"/>
          <w:lang w:val="es-CO"/>
        </w:rPr>
      </w:pPr>
    </w:p>
    <w:p w14:paraId="6EC051F1" w14:textId="77777777" w:rsidR="00684A8D" w:rsidRPr="007F2045" w:rsidRDefault="00684A8D"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 En suma, es posible concluir que los artículos 19, 20, 27, 38 y 56 del proyecto de ley controlado en la sentencia C-179 de 1994 no contemplaban la facultad de suspensión provisional respecto de los decretos que declaran un estado de excepción. Ello </w:t>
      </w:r>
      <w:r w:rsidR="00E366D9" w:rsidRPr="007F2045">
        <w:rPr>
          <w:rFonts w:ascii="Times New Roman" w:hAnsi="Times New Roman"/>
          <w:sz w:val="28"/>
          <w:szCs w:val="28"/>
          <w:lang w:val="es-CO"/>
        </w:rPr>
        <w:t xml:space="preserve">significa </w:t>
      </w:r>
      <w:r w:rsidRPr="007F2045">
        <w:rPr>
          <w:rFonts w:ascii="Times New Roman" w:hAnsi="Times New Roman"/>
          <w:sz w:val="28"/>
          <w:szCs w:val="28"/>
          <w:lang w:val="es-CO"/>
        </w:rPr>
        <w:t xml:space="preserve">que la decisión de la Corte no implicó, desde la perspectiva del objeto de control, la inconstitucionalidad de dicha facultad. </w:t>
      </w:r>
    </w:p>
    <w:p w14:paraId="63148FD9" w14:textId="77777777" w:rsidR="00684A8D" w:rsidRPr="007F2045" w:rsidRDefault="00684A8D" w:rsidP="001B5728">
      <w:pPr>
        <w:pStyle w:val="Prrafodelista"/>
        <w:spacing w:after="0" w:line="240" w:lineRule="auto"/>
        <w:rPr>
          <w:rFonts w:ascii="Times New Roman" w:hAnsi="Times New Roman"/>
          <w:sz w:val="28"/>
          <w:szCs w:val="28"/>
          <w:lang w:val="es-CO"/>
        </w:rPr>
      </w:pPr>
    </w:p>
    <w:p w14:paraId="26DF5711" w14:textId="77777777" w:rsidR="00684A8D" w:rsidRPr="007F2045" w:rsidRDefault="00684A8D"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En contra de la conclusión anterior cabe considerar </w:t>
      </w:r>
      <w:r w:rsidR="000867F2" w:rsidRPr="007F2045">
        <w:rPr>
          <w:rFonts w:ascii="Times New Roman" w:hAnsi="Times New Roman"/>
          <w:sz w:val="28"/>
          <w:szCs w:val="28"/>
          <w:lang w:val="es-CO"/>
        </w:rPr>
        <w:t xml:space="preserve">la siguiente </w:t>
      </w:r>
      <w:r w:rsidRPr="007F2045">
        <w:rPr>
          <w:rFonts w:ascii="Times New Roman" w:hAnsi="Times New Roman"/>
          <w:sz w:val="28"/>
          <w:szCs w:val="28"/>
          <w:lang w:val="es-CO"/>
        </w:rPr>
        <w:t>objeción</w:t>
      </w:r>
      <w:r w:rsidR="000867F2" w:rsidRPr="007F2045">
        <w:rPr>
          <w:rFonts w:ascii="Times New Roman" w:hAnsi="Times New Roman"/>
          <w:sz w:val="28"/>
          <w:szCs w:val="28"/>
          <w:lang w:val="es-CO"/>
        </w:rPr>
        <w:t>.</w:t>
      </w:r>
      <w:r w:rsidRPr="007F2045">
        <w:rPr>
          <w:rFonts w:ascii="Times New Roman" w:hAnsi="Times New Roman"/>
          <w:sz w:val="28"/>
          <w:szCs w:val="28"/>
          <w:lang w:val="es-CO"/>
        </w:rPr>
        <w:t xml:space="preserve"> </w:t>
      </w:r>
      <w:r w:rsidR="002258D5" w:rsidRPr="007F2045">
        <w:rPr>
          <w:rFonts w:ascii="Times New Roman" w:hAnsi="Times New Roman"/>
          <w:sz w:val="28"/>
          <w:szCs w:val="28"/>
          <w:lang w:val="es-CO"/>
        </w:rPr>
        <w:t>P</w:t>
      </w:r>
      <w:r w:rsidRPr="007F2045">
        <w:rPr>
          <w:rFonts w:ascii="Times New Roman" w:hAnsi="Times New Roman"/>
          <w:sz w:val="28"/>
          <w:szCs w:val="28"/>
          <w:lang w:val="es-CO"/>
        </w:rPr>
        <w:t>odría afirmarse que las razones de la inconstitucionalidad de la facultad de suspensión provisional de los decretos legislativos serían también predicables del decreto declaratorio. En ese sentido, no exist</w:t>
      </w:r>
      <w:r w:rsidR="00AE73BC" w:rsidRPr="007F2045">
        <w:rPr>
          <w:rFonts w:ascii="Times New Roman" w:hAnsi="Times New Roman"/>
          <w:sz w:val="28"/>
          <w:szCs w:val="28"/>
          <w:lang w:val="es-CO"/>
        </w:rPr>
        <w:t>irían</w:t>
      </w:r>
      <w:r w:rsidRPr="007F2045">
        <w:rPr>
          <w:rFonts w:ascii="Times New Roman" w:hAnsi="Times New Roman"/>
          <w:sz w:val="28"/>
          <w:szCs w:val="28"/>
          <w:lang w:val="es-CO"/>
        </w:rPr>
        <w:t xml:space="preserve"> razones para sugerir que los dos argumentos centrales de la Corte </w:t>
      </w:r>
      <w:r w:rsidR="00BB7C53" w:rsidRPr="007F2045">
        <w:rPr>
          <w:rFonts w:ascii="Times New Roman" w:hAnsi="Times New Roman"/>
          <w:sz w:val="28"/>
          <w:szCs w:val="28"/>
          <w:lang w:val="es-CO"/>
        </w:rPr>
        <w:t>–</w:t>
      </w:r>
      <w:r w:rsidRPr="007F2045">
        <w:rPr>
          <w:rFonts w:ascii="Times New Roman" w:hAnsi="Times New Roman"/>
          <w:sz w:val="28"/>
          <w:szCs w:val="28"/>
          <w:lang w:val="es-CO"/>
        </w:rPr>
        <w:t>el carácter definitivo del control previsto en el artículo 241.7 y la inexistencia de una competencia específica con ese alcance</w:t>
      </w:r>
      <w:r w:rsidR="00BB7C53" w:rsidRPr="007F2045">
        <w:rPr>
          <w:rFonts w:ascii="Times New Roman" w:hAnsi="Times New Roman"/>
          <w:sz w:val="28"/>
          <w:szCs w:val="28"/>
          <w:lang w:val="es-CO"/>
        </w:rPr>
        <w:t>–</w:t>
      </w:r>
      <w:r w:rsidRPr="007F2045">
        <w:rPr>
          <w:rFonts w:ascii="Times New Roman" w:hAnsi="Times New Roman"/>
          <w:sz w:val="28"/>
          <w:szCs w:val="28"/>
          <w:lang w:val="es-CO"/>
        </w:rPr>
        <w:t xml:space="preserve"> serían aplicables también al caso de los decretos declaratorios. En esa dirección</w:t>
      </w:r>
      <w:r w:rsidR="002258D5" w:rsidRPr="007F2045">
        <w:rPr>
          <w:rFonts w:ascii="Times New Roman" w:hAnsi="Times New Roman"/>
          <w:sz w:val="28"/>
          <w:szCs w:val="28"/>
          <w:lang w:val="es-CO"/>
        </w:rPr>
        <w:t>,</w:t>
      </w:r>
      <w:r w:rsidRPr="007F2045">
        <w:rPr>
          <w:rFonts w:ascii="Times New Roman" w:hAnsi="Times New Roman"/>
          <w:sz w:val="28"/>
          <w:szCs w:val="28"/>
          <w:lang w:val="es-CO"/>
        </w:rPr>
        <w:t xml:space="preserve"> los efectos de la cosa juzgada alcanzarían a</w:t>
      </w:r>
      <w:r w:rsidR="005E587A" w:rsidRPr="007F2045">
        <w:rPr>
          <w:rFonts w:ascii="Times New Roman" w:hAnsi="Times New Roman"/>
          <w:sz w:val="28"/>
          <w:szCs w:val="28"/>
          <w:lang w:val="es-CO"/>
        </w:rPr>
        <w:t xml:space="preserve"> tales</w:t>
      </w:r>
      <w:r w:rsidRPr="007F2045">
        <w:rPr>
          <w:rFonts w:ascii="Times New Roman" w:hAnsi="Times New Roman"/>
          <w:sz w:val="28"/>
          <w:szCs w:val="28"/>
          <w:lang w:val="es-CO"/>
        </w:rPr>
        <w:t xml:space="preserve"> decreto</w:t>
      </w:r>
      <w:r w:rsidR="005E587A" w:rsidRPr="007F2045">
        <w:rPr>
          <w:rFonts w:ascii="Times New Roman" w:hAnsi="Times New Roman"/>
          <w:sz w:val="28"/>
          <w:szCs w:val="28"/>
          <w:lang w:val="es-CO"/>
        </w:rPr>
        <w:t>s</w:t>
      </w:r>
      <w:r w:rsidRPr="007F2045">
        <w:rPr>
          <w:rFonts w:ascii="Times New Roman" w:hAnsi="Times New Roman"/>
          <w:sz w:val="28"/>
          <w:szCs w:val="28"/>
          <w:lang w:val="es-CO"/>
        </w:rPr>
        <w:t>.</w:t>
      </w:r>
    </w:p>
    <w:p w14:paraId="611BFBD8" w14:textId="77777777" w:rsidR="006A141F" w:rsidRPr="007F2045" w:rsidRDefault="006A141F" w:rsidP="001B5728">
      <w:pPr>
        <w:spacing w:after="0" w:line="240" w:lineRule="auto"/>
        <w:rPr>
          <w:rFonts w:ascii="Times New Roman" w:hAnsi="Times New Roman"/>
          <w:sz w:val="28"/>
          <w:szCs w:val="28"/>
          <w:lang w:val="es-CO"/>
        </w:rPr>
      </w:pPr>
    </w:p>
    <w:p w14:paraId="0999710D" w14:textId="77777777" w:rsidR="00684A8D" w:rsidRPr="007F2045" w:rsidRDefault="00684A8D"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Esta objeción, sin embargo, no</w:t>
      </w:r>
      <w:r w:rsidR="00AE73BC" w:rsidRPr="007F2045">
        <w:rPr>
          <w:rFonts w:ascii="Times New Roman" w:hAnsi="Times New Roman"/>
          <w:sz w:val="28"/>
          <w:szCs w:val="28"/>
          <w:lang w:val="es-CO"/>
        </w:rPr>
        <w:t xml:space="preserve"> </w:t>
      </w:r>
      <w:r w:rsidR="00DA61B2" w:rsidRPr="007F2045">
        <w:rPr>
          <w:rFonts w:ascii="Times New Roman" w:hAnsi="Times New Roman"/>
          <w:sz w:val="28"/>
          <w:szCs w:val="28"/>
          <w:lang w:val="es-CO"/>
        </w:rPr>
        <w:t xml:space="preserve">es de recibo </w:t>
      </w:r>
      <w:r w:rsidRPr="007F2045">
        <w:rPr>
          <w:rFonts w:ascii="Times New Roman" w:hAnsi="Times New Roman"/>
          <w:sz w:val="28"/>
          <w:szCs w:val="28"/>
          <w:lang w:val="es-CO"/>
        </w:rPr>
        <w:t xml:space="preserve">al menos por dos </w:t>
      </w:r>
      <w:r w:rsidR="002258D5" w:rsidRPr="007F2045">
        <w:rPr>
          <w:rFonts w:ascii="Times New Roman" w:hAnsi="Times New Roman"/>
          <w:sz w:val="28"/>
          <w:szCs w:val="28"/>
          <w:lang w:val="es-CO"/>
        </w:rPr>
        <w:t>razones</w:t>
      </w:r>
      <w:r w:rsidRPr="007F2045">
        <w:rPr>
          <w:rFonts w:ascii="Times New Roman" w:hAnsi="Times New Roman"/>
          <w:sz w:val="28"/>
          <w:szCs w:val="28"/>
          <w:lang w:val="es-CO"/>
        </w:rPr>
        <w:t xml:space="preserve">. </w:t>
      </w:r>
      <w:r w:rsidRPr="007F2045">
        <w:rPr>
          <w:rFonts w:ascii="Times New Roman" w:hAnsi="Times New Roman"/>
          <w:i/>
          <w:iCs/>
          <w:sz w:val="28"/>
          <w:szCs w:val="28"/>
          <w:lang w:val="es-CO"/>
        </w:rPr>
        <w:t>Por un lado</w:t>
      </w:r>
      <w:r w:rsidRPr="007F2045">
        <w:rPr>
          <w:rFonts w:ascii="Times New Roman" w:hAnsi="Times New Roman"/>
          <w:sz w:val="28"/>
          <w:szCs w:val="28"/>
          <w:lang w:val="es-CO"/>
        </w:rPr>
        <w:t xml:space="preserve">, los efectos de la cosa </w:t>
      </w:r>
      <w:r w:rsidR="006E682A" w:rsidRPr="007F2045">
        <w:rPr>
          <w:rFonts w:ascii="Times New Roman" w:hAnsi="Times New Roman"/>
          <w:sz w:val="28"/>
          <w:szCs w:val="28"/>
          <w:lang w:val="es-CO"/>
        </w:rPr>
        <w:t>juzgada</w:t>
      </w:r>
      <w:r w:rsidRPr="007F2045">
        <w:rPr>
          <w:rFonts w:ascii="Times New Roman" w:hAnsi="Times New Roman"/>
          <w:sz w:val="28"/>
          <w:szCs w:val="28"/>
          <w:lang w:val="es-CO"/>
        </w:rPr>
        <w:t xml:space="preserve"> </w:t>
      </w:r>
      <w:r w:rsidR="006A141F" w:rsidRPr="007F2045">
        <w:rPr>
          <w:rFonts w:ascii="Times New Roman" w:hAnsi="Times New Roman"/>
          <w:sz w:val="28"/>
          <w:szCs w:val="28"/>
          <w:lang w:val="es-CO"/>
        </w:rPr>
        <w:t>se definen en función del</w:t>
      </w:r>
      <w:r w:rsidRPr="007F2045">
        <w:rPr>
          <w:rFonts w:ascii="Times New Roman" w:hAnsi="Times New Roman"/>
          <w:sz w:val="28"/>
          <w:szCs w:val="28"/>
          <w:lang w:val="es-CO"/>
        </w:rPr>
        <w:t xml:space="preserve"> objeto de control y, </w:t>
      </w:r>
      <w:r w:rsidRPr="007F2045">
        <w:rPr>
          <w:rFonts w:ascii="Times New Roman" w:hAnsi="Times New Roman"/>
          <w:i/>
          <w:iCs/>
          <w:sz w:val="28"/>
          <w:szCs w:val="28"/>
          <w:lang w:val="es-CO"/>
        </w:rPr>
        <w:t xml:space="preserve">por </w:t>
      </w:r>
      <w:r w:rsidR="00931496" w:rsidRPr="007F2045">
        <w:rPr>
          <w:rFonts w:ascii="Times New Roman" w:hAnsi="Times New Roman"/>
          <w:i/>
          <w:iCs/>
          <w:sz w:val="28"/>
          <w:szCs w:val="28"/>
          <w:lang w:val="es-CO"/>
        </w:rPr>
        <w:t xml:space="preserve">el </w:t>
      </w:r>
      <w:r w:rsidRPr="007F2045">
        <w:rPr>
          <w:rFonts w:ascii="Times New Roman" w:hAnsi="Times New Roman"/>
          <w:i/>
          <w:iCs/>
          <w:sz w:val="28"/>
          <w:szCs w:val="28"/>
          <w:lang w:val="es-CO"/>
        </w:rPr>
        <w:t>otro</w:t>
      </w:r>
      <w:r w:rsidRPr="007F2045">
        <w:rPr>
          <w:rFonts w:ascii="Times New Roman" w:hAnsi="Times New Roman"/>
          <w:sz w:val="28"/>
          <w:szCs w:val="28"/>
          <w:lang w:val="es-CO"/>
        </w:rPr>
        <w:t xml:space="preserve">, </w:t>
      </w:r>
      <w:r w:rsidR="006A141F" w:rsidRPr="007F2045">
        <w:rPr>
          <w:rFonts w:ascii="Times New Roman" w:hAnsi="Times New Roman"/>
          <w:sz w:val="28"/>
          <w:szCs w:val="28"/>
          <w:lang w:val="es-CO"/>
        </w:rPr>
        <w:t xml:space="preserve">el </w:t>
      </w:r>
      <w:r w:rsidRPr="007F2045">
        <w:rPr>
          <w:rFonts w:ascii="Times New Roman" w:hAnsi="Times New Roman"/>
          <w:sz w:val="28"/>
          <w:szCs w:val="28"/>
          <w:lang w:val="es-CO"/>
        </w:rPr>
        <w:t>decreto declaratorio</w:t>
      </w:r>
      <w:r w:rsidR="006A141F" w:rsidRPr="007F2045">
        <w:rPr>
          <w:rFonts w:ascii="Times New Roman" w:hAnsi="Times New Roman"/>
          <w:sz w:val="28"/>
          <w:szCs w:val="28"/>
          <w:lang w:val="es-CO"/>
        </w:rPr>
        <w:t>, como se explicó,</w:t>
      </w:r>
      <w:r w:rsidRPr="007F2045">
        <w:rPr>
          <w:rFonts w:ascii="Times New Roman" w:hAnsi="Times New Roman"/>
          <w:sz w:val="28"/>
          <w:szCs w:val="28"/>
          <w:lang w:val="es-CO"/>
        </w:rPr>
        <w:t xml:space="preserve"> es</w:t>
      </w:r>
      <w:r w:rsidR="00224BC0" w:rsidRPr="007F2045">
        <w:rPr>
          <w:rFonts w:ascii="Times New Roman" w:hAnsi="Times New Roman"/>
          <w:sz w:val="28"/>
          <w:szCs w:val="28"/>
          <w:lang w:val="es-CO"/>
        </w:rPr>
        <w:t xml:space="preserve"> </w:t>
      </w:r>
      <w:r w:rsidRPr="007F2045">
        <w:rPr>
          <w:rFonts w:ascii="Times New Roman" w:hAnsi="Times New Roman"/>
          <w:sz w:val="28"/>
          <w:szCs w:val="28"/>
          <w:lang w:val="es-CO"/>
        </w:rPr>
        <w:t>diferente a los decretos de desarrollo</w:t>
      </w:r>
      <w:r w:rsidR="002258D5" w:rsidRPr="007F2045">
        <w:rPr>
          <w:rFonts w:ascii="Times New Roman" w:hAnsi="Times New Roman"/>
          <w:sz w:val="28"/>
          <w:szCs w:val="28"/>
          <w:lang w:val="es-CO"/>
        </w:rPr>
        <w:t xml:space="preserve">, </w:t>
      </w:r>
      <w:r w:rsidR="006A141F" w:rsidRPr="007F2045">
        <w:rPr>
          <w:rFonts w:ascii="Times New Roman" w:hAnsi="Times New Roman"/>
          <w:sz w:val="28"/>
          <w:szCs w:val="28"/>
          <w:lang w:val="es-CO"/>
        </w:rPr>
        <w:t>pues sirve</w:t>
      </w:r>
      <w:r w:rsidR="002258D5" w:rsidRPr="007F2045">
        <w:rPr>
          <w:rFonts w:ascii="Times New Roman" w:hAnsi="Times New Roman"/>
          <w:sz w:val="28"/>
          <w:szCs w:val="28"/>
          <w:lang w:val="es-CO"/>
        </w:rPr>
        <w:t xml:space="preserve"> de fundamento de validez de los segundos</w:t>
      </w:r>
      <w:r w:rsidRPr="007F2045">
        <w:rPr>
          <w:rFonts w:ascii="Times New Roman" w:hAnsi="Times New Roman"/>
          <w:sz w:val="28"/>
          <w:szCs w:val="28"/>
          <w:lang w:val="es-CO"/>
        </w:rPr>
        <w:t>.</w:t>
      </w:r>
    </w:p>
    <w:p w14:paraId="5E92C28F" w14:textId="77777777" w:rsidR="006A141F" w:rsidRPr="007F2045" w:rsidRDefault="006A141F" w:rsidP="001B5728">
      <w:pPr>
        <w:pStyle w:val="Prrafodelista"/>
        <w:tabs>
          <w:tab w:val="left" w:pos="284"/>
          <w:tab w:val="left" w:pos="426"/>
        </w:tabs>
        <w:spacing w:after="0" w:line="240" w:lineRule="auto"/>
        <w:ind w:left="0"/>
        <w:rPr>
          <w:rFonts w:ascii="Times New Roman" w:hAnsi="Times New Roman"/>
          <w:sz w:val="28"/>
          <w:szCs w:val="28"/>
          <w:lang w:val="es-CO"/>
        </w:rPr>
      </w:pPr>
    </w:p>
    <w:p w14:paraId="3F3EC2B0" w14:textId="77777777" w:rsidR="005E587A" w:rsidRPr="007F2045" w:rsidRDefault="005E587A"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Sobre esto último, debe resaltarse que </w:t>
      </w:r>
      <w:r w:rsidR="00684A8D" w:rsidRPr="007F2045">
        <w:rPr>
          <w:rFonts w:ascii="Times New Roman" w:hAnsi="Times New Roman"/>
          <w:sz w:val="28"/>
          <w:szCs w:val="28"/>
          <w:lang w:val="es-CO"/>
        </w:rPr>
        <w:t xml:space="preserve">la definición de la regla de decisión </w:t>
      </w:r>
      <w:r w:rsidR="005A78CD" w:rsidRPr="007F2045">
        <w:rPr>
          <w:rFonts w:ascii="Times New Roman" w:hAnsi="Times New Roman"/>
          <w:sz w:val="28"/>
          <w:szCs w:val="28"/>
          <w:lang w:val="es-CO"/>
        </w:rPr>
        <w:t>(</w:t>
      </w:r>
      <w:r w:rsidR="00684A8D" w:rsidRPr="007F2045">
        <w:rPr>
          <w:rFonts w:ascii="Times New Roman" w:hAnsi="Times New Roman"/>
          <w:i/>
          <w:iCs/>
          <w:sz w:val="28"/>
          <w:szCs w:val="28"/>
          <w:lang w:val="es-CO"/>
        </w:rPr>
        <w:t>que justificó la declaratoria de inconstitucionalidad de la suspensión provisional de los efectos de los decretos de desarrollo</w:t>
      </w:r>
      <w:r w:rsidR="002A699C" w:rsidRPr="007F2045">
        <w:rPr>
          <w:rFonts w:ascii="Times New Roman" w:hAnsi="Times New Roman"/>
          <w:sz w:val="28"/>
          <w:szCs w:val="28"/>
          <w:lang w:val="es-CO"/>
        </w:rPr>
        <w:t>)</w:t>
      </w:r>
      <w:r w:rsidR="00684A8D" w:rsidRPr="007F2045">
        <w:rPr>
          <w:rFonts w:ascii="Times New Roman" w:hAnsi="Times New Roman"/>
          <w:sz w:val="28"/>
          <w:szCs w:val="28"/>
          <w:lang w:val="es-CO"/>
        </w:rPr>
        <w:t>, no tom</w:t>
      </w:r>
      <w:r w:rsidR="00BB7C53" w:rsidRPr="007F2045">
        <w:rPr>
          <w:rFonts w:ascii="Times New Roman" w:hAnsi="Times New Roman"/>
          <w:sz w:val="28"/>
          <w:szCs w:val="28"/>
          <w:lang w:val="es-CO"/>
        </w:rPr>
        <w:t>ó</w:t>
      </w:r>
      <w:r w:rsidR="00684A8D" w:rsidRPr="007F2045">
        <w:rPr>
          <w:rFonts w:ascii="Times New Roman" w:hAnsi="Times New Roman"/>
          <w:sz w:val="28"/>
          <w:szCs w:val="28"/>
          <w:lang w:val="es-CO"/>
        </w:rPr>
        <w:t xml:space="preserve"> en consideración las especiales características y funciones del decreto declaratorio. En particular, la sentencia C-179 de 1994 no tuvo </w:t>
      </w:r>
      <w:r w:rsidRPr="007F2045">
        <w:rPr>
          <w:rFonts w:ascii="Times New Roman" w:hAnsi="Times New Roman"/>
          <w:sz w:val="28"/>
          <w:szCs w:val="28"/>
          <w:lang w:val="es-CO"/>
        </w:rPr>
        <w:t xml:space="preserve">expresamente </w:t>
      </w:r>
      <w:r w:rsidR="00684A8D" w:rsidRPr="007F2045">
        <w:rPr>
          <w:rFonts w:ascii="Times New Roman" w:hAnsi="Times New Roman"/>
          <w:sz w:val="28"/>
          <w:szCs w:val="28"/>
          <w:lang w:val="es-CO"/>
        </w:rPr>
        <w:t xml:space="preserve">en cuenta su </w:t>
      </w:r>
      <w:r w:rsidR="00684A8D" w:rsidRPr="007F2045">
        <w:rPr>
          <w:rFonts w:ascii="Times New Roman" w:hAnsi="Times New Roman"/>
          <w:sz w:val="28"/>
          <w:szCs w:val="28"/>
          <w:lang w:val="es-CO"/>
        </w:rPr>
        <w:lastRenderedPageBreak/>
        <w:t xml:space="preserve">función </w:t>
      </w:r>
      <w:proofErr w:type="spellStart"/>
      <w:r w:rsidR="00684A8D" w:rsidRPr="007F2045">
        <w:rPr>
          <w:rFonts w:ascii="Times New Roman" w:hAnsi="Times New Roman"/>
          <w:sz w:val="28"/>
          <w:szCs w:val="28"/>
          <w:lang w:val="es-CO"/>
        </w:rPr>
        <w:t>autohabilitante</w:t>
      </w:r>
      <w:proofErr w:type="spellEnd"/>
      <w:r w:rsidR="00684A8D" w:rsidRPr="007F2045">
        <w:rPr>
          <w:rFonts w:ascii="Times New Roman" w:hAnsi="Times New Roman"/>
          <w:sz w:val="28"/>
          <w:szCs w:val="28"/>
          <w:lang w:val="es-CO"/>
        </w:rPr>
        <w:t xml:space="preserve">, la naturaleza del control judicial que ejerce este </w:t>
      </w:r>
      <w:r w:rsidR="00865163" w:rsidRPr="007F2045">
        <w:rPr>
          <w:rFonts w:ascii="Times New Roman" w:hAnsi="Times New Roman"/>
          <w:sz w:val="28"/>
          <w:szCs w:val="28"/>
          <w:lang w:val="es-CO"/>
        </w:rPr>
        <w:t>T</w:t>
      </w:r>
      <w:r w:rsidR="00684A8D" w:rsidRPr="007F2045">
        <w:rPr>
          <w:rFonts w:ascii="Times New Roman" w:hAnsi="Times New Roman"/>
          <w:sz w:val="28"/>
          <w:szCs w:val="28"/>
          <w:lang w:val="es-CO"/>
        </w:rPr>
        <w:t xml:space="preserve">ribunal y los debates que han tenido lugar </w:t>
      </w:r>
      <w:r w:rsidR="00E51770" w:rsidRPr="007F2045">
        <w:rPr>
          <w:rFonts w:ascii="Times New Roman" w:hAnsi="Times New Roman"/>
          <w:sz w:val="28"/>
          <w:szCs w:val="28"/>
          <w:lang w:val="es-CO"/>
        </w:rPr>
        <w:t xml:space="preserve">sobre </w:t>
      </w:r>
      <w:r w:rsidR="00684A8D" w:rsidRPr="007F2045">
        <w:rPr>
          <w:rFonts w:ascii="Times New Roman" w:hAnsi="Times New Roman"/>
          <w:sz w:val="28"/>
          <w:szCs w:val="28"/>
          <w:lang w:val="es-CO"/>
        </w:rPr>
        <w:t>el fundamento de esa facultad.</w:t>
      </w:r>
      <w:r w:rsidRPr="007F2045">
        <w:rPr>
          <w:rFonts w:ascii="Times New Roman" w:hAnsi="Times New Roman"/>
          <w:sz w:val="28"/>
          <w:szCs w:val="28"/>
          <w:lang w:val="es-CO"/>
        </w:rPr>
        <w:t xml:space="preserve"> </w:t>
      </w:r>
    </w:p>
    <w:p w14:paraId="65BFB280" w14:textId="77777777" w:rsidR="008232ED" w:rsidRPr="007F2045" w:rsidRDefault="008232ED" w:rsidP="001B5728">
      <w:pPr>
        <w:pStyle w:val="Prrafodelista"/>
        <w:spacing w:after="0" w:line="240" w:lineRule="auto"/>
        <w:rPr>
          <w:rFonts w:ascii="Times New Roman" w:hAnsi="Times New Roman"/>
          <w:sz w:val="28"/>
          <w:szCs w:val="28"/>
          <w:lang w:val="es-CO"/>
        </w:rPr>
      </w:pPr>
    </w:p>
    <w:p w14:paraId="062FCD2B" w14:textId="77777777" w:rsidR="00684A8D" w:rsidRPr="007F2045" w:rsidRDefault="008232ED" w:rsidP="001B5728">
      <w:pPr>
        <w:pStyle w:val="Prrafodelista"/>
        <w:numPr>
          <w:ilvl w:val="0"/>
          <w:numId w:val="2"/>
        </w:numPr>
        <w:tabs>
          <w:tab w:val="left" w:pos="426"/>
          <w:tab w:val="left" w:pos="567"/>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Por consiguiente, delimitado así el alcance de la cosa juzgada derivada de la sentencia C-179 de 1994, respecto de los decretos que declaran un estado de excepción, es claro que la competencia para suspender provisionalmente las disposiciones objeto de control por parte de esta Corte, e identificada en el auto 272 de 2023, es también predicable de dichos decretos. </w:t>
      </w:r>
    </w:p>
    <w:p w14:paraId="72DE96FA" w14:textId="77777777" w:rsidR="00684A8D" w:rsidRPr="007F2045" w:rsidRDefault="00684A8D" w:rsidP="001B5728">
      <w:pPr>
        <w:pStyle w:val="Prrafodelista"/>
        <w:tabs>
          <w:tab w:val="left" w:pos="284"/>
          <w:tab w:val="left" w:pos="426"/>
        </w:tabs>
        <w:spacing w:after="0" w:line="240" w:lineRule="auto"/>
        <w:ind w:left="0"/>
        <w:rPr>
          <w:rFonts w:ascii="Times New Roman" w:hAnsi="Times New Roman"/>
          <w:sz w:val="28"/>
          <w:szCs w:val="28"/>
          <w:lang w:val="es-CO"/>
        </w:rPr>
      </w:pPr>
      <w:r w:rsidRPr="007F2045">
        <w:rPr>
          <w:rFonts w:ascii="Times New Roman" w:hAnsi="Times New Roman"/>
          <w:sz w:val="28"/>
          <w:szCs w:val="28"/>
          <w:lang w:val="es-CO"/>
        </w:rPr>
        <w:t xml:space="preserve"> </w:t>
      </w:r>
    </w:p>
    <w:p w14:paraId="6052E30A" w14:textId="77777777" w:rsidR="00684A8D" w:rsidRPr="007F2045" w:rsidRDefault="00684A8D" w:rsidP="001B5728">
      <w:pPr>
        <w:pStyle w:val="Subttulo2"/>
        <w:ind w:left="1134" w:hanging="425"/>
        <w:rPr>
          <w:lang w:val="es-CO"/>
        </w:rPr>
      </w:pPr>
      <w:r w:rsidRPr="007F2045">
        <w:rPr>
          <w:lang w:val="es-CO"/>
        </w:rPr>
        <w:t xml:space="preserve">En ninguna decisión posterior adoptada por la Sala Plena de la Corte Constitucional se ha declarado la improcedencia de la suspensión provisional respecto del decreto que declara </w:t>
      </w:r>
      <w:r w:rsidR="002258D5" w:rsidRPr="007F2045">
        <w:rPr>
          <w:lang w:val="es-CO"/>
        </w:rPr>
        <w:t>un estado de excepción</w:t>
      </w:r>
    </w:p>
    <w:p w14:paraId="66DCD7F6" w14:textId="77777777" w:rsidR="00684A8D" w:rsidRPr="007F2045" w:rsidRDefault="00684A8D" w:rsidP="001B5728">
      <w:pPr>
        <w:pStyle w:val="Prrafodelista"/>
        <w:tabs>
          <w:tab w:val="left" w:pos="284"/>
          <w:tab w:val="left" w:pos="426"/>
        </w:tabs>
        <w:spacing w:after="0" w:line="240" w:lineRule="auto"/>
        <w:rPr>
          <w:rFonts w:ascii="Times New Roman" w:hAnsi="Times New Roman"/>
          <w:b/>
          <w:sz w:val="28"/>
          <w:szCs w:val="28"/>
          <w:lang w:val="es-CO"/>
        </w:rPr>
      </w:pPr>
    </w:p>
    <w:p w14:paraId="4155F6B2" w14:textId="77777777" w:rsidR="00684A8D" w:rsidRPr="007F2045" w:rsidRDefault="00684A8D"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bookmarkStart w:id="7" w:name="_Ref222209292"/>
      <w:r w:rsidRPr="007F2045">
        <w:rPr>
          <w:rFonts w:ascii="Times New Roman" w:hAnsi="Times New Roman"/>
          <w:sz w:val="28"/>
          <w:szCs w:val="28"/>
          <w:lang w:val="es-CO"/>
        </w:rPr>
        <w:t>La Corte ha constatado que</w:t>
      </w:r>
      <w:r w:rsidR="00AA4179" w:rsidRPr="007F2045">
        <w:rPr>
          <w:rFonts w:ascii="Times New Roman" w:hAnsi="Times New Roman"/>
          <w:sz w:val="28"/>
          <w:szCs w:val="28"/>
          <w:lang w:val="es-CO"/>
        </w:rPr>
        <w:t>,</w:t>
      </w:r>
      <w:r w:rsidRPr="007F2045">
        <w:rPr>
          <w:rFonts w:ascii="Times New Roman" w:hAnsi="Times New Roman"/>
          <w:sz w:val="28"/>
          <w:szCs w:val="28"/>
          <w:lang w:val="es-CO"/>
        </w:rPr>
        <w:t xml:space="preserve"> con posterioridad a la sentencia C-179 de 1994</w:t>
      </w:r>
      <w:r w:rsidR="005E587A" w:rsidRPr="007F2045">
        <w:rPr>
          <w:rFonts w:ascii="Times New Roman" w:hAnsi="Times New Roman"/>
          <w:sz w:val="28"/>
          <w:szCs w:val="28"/>
          <w:lang w:val="es-CO"/>
        </w:rPr>
        <w:t>,</w:t>
      </w:r>
      <w:r w:rsidRPr="007F2045">
        <w:rPr>
          <w:rFonts w:ascii="Times New Roman" w:hAnsi="Times New Roman"/>
          <w:sz w:val="28"/>
          <w:szCs w:val="28"/>
          <w:lang w:val="es-CO"/>
        </w:rPr>
        <w:t xml:space="preserve"> la Sala Plena no se ha pronunciado sobre la imposibilidad de decretar la suspensión provisional de los efectos de un decreto que haya declarado el estado de emergencia económica</w:t>
      </w:r>
      <w:r w:rsidR="00921E51" w:rsidRPr="007F2045">
        <w:rPr>
          <w:rFonts w:ascii="Times New Roman" w:hAnsi="Times New Roman"/>
          <w:sz w:val="28"/>
          <w:szCs w:val="28"/>
          <w:lang w:val="es-CO"/>
        </w:rPr>
        <w:t xml:space="preserve"> o </w:t>
      </w:r>
      <w:r w:rsidRPr="007F2045">
        <w:rPr>
          <w:rFonts w:ascii="Times New Roman" w:hAnsi="Times New Roman"/>
          <w:sz w:val="28"/>
          <w:szCs w:val="28"/>
          <w:lang w:val="es-CO"/>
        </w:rPr>
        <w:t>social. A continuación</w:t>
      </w:r>
      <w:r w:rsidR="00BD0801" w:rsidRPr="007F2045">
        <w:rPr>
          <w:rFonts w:ascii="Times New Roman" w:hAnsi="Times New Roman"/>
          <w:sz w:val="28"/>
          <w:szCs w:val="28"/>
          <w:lang w:val="es-CO"/>
        </w:rPr>
        <w:t>,</w:t>
      </w:r>
      <w:r w:rsidRPr="007F2045">
        <w:rPr>
          <w:rFonts w:ascii="Times New Roman" w:hAnsi="Times New Roman"/>
          <w:sz w:val="28"/>
          <w:szCs w:val="28"/>
          <w:lang w:val="es-CO"/>
        </w:rPr>
        <w:t xml:space="preserve"> se refieren las providencias en las que la Sala Plena se ha ocupado de resolver solicitudes de suspensión.</w:t>
      </w:r>
      <w:bookmarkEnd w:id="7"/>
    </w:p>
    <w:p w14:paraId="19E5EDF2" w14:textId="77777777" w:rsidR="00684A8D" w:rsidRPr="007F2045" w:rsidRDefault="00684A8D" w:rsidP="001B5728">
      <w:pPr>
        <w:pStyle w:val="Prrafodelista"/>
        <w:tabs>
          <w:tab w:val="left" w:pos="284"/>
          <w:tab w:val="left" w:pos="426"/>
        </w:tabs>
        <w:spacing w:after="0" w:line="240" w:lineRule="auto"/>
        <w:ind w:left="0"/>
        <w:rPr>
          <w:rFonts w:ascii="Times New Roman" w:hAnsi="Times New Roman"/>
          <w:sz w:val="28"/>
          <w:szCs w:val="28"/>
          <w:lang w:val="es-CO"/>
        </w:rPr>
      </w:pPr>
    </w:p>
    <w:tbl>
      <w:tblPr>
        <w:tblStyle w:val="Tablaconcuadrcula"/>
        <w:tblW w:w="8926" w:type="dxa"/>
        <w:tblLook w:val="04A0" w:firstRow="1" w:lastRow="0" w:firstColumn="1" w:lastColumn="0" w:noHBand="0" w:noVBand="1"/>
      </w:tblPr>
      <w:tblGrid>
        <w:gridCol w:w="3681"/>
        <w:gridCol w:w="5245"/>
      </w:tblGrid>
      <w:tr w:rsidR="001559F8" w:rsidRPr="007F2045" w14:paraId="7411F3AA" w14:textId="77777777" w:rsidTr="5C4BFFD6">
        <w:tc>
          <w:tcPr>
            <w:tcW w:w="3681" w:type="dxa"/>
            <w:shd w:val="clear" w:color="auto" w:fill="E7E6E6" w:themeFill="background2"/>
          </w:tcPr>
          <w:p w14:paraId="24E62A3E" w14:textId="77777777" w:rsidR="00684A8D" w:rsidRPr="007F2045" w:rsidRDefault="00684A8D" w:rsidP="001B5728">
            <w:pPr>
              <w:spacing w:line="240" w:lineRule="auto"/>
              <w:jc w:val="center"/>
              <w:rPr>
                <w:rFonts w:ascii="Times New Roman" w:hAnsi="Times New Roman"/>
                <w:b/>
                <w:bCs/>
                <w:lang w:val="es-CO"/>
              </w:rPr>
            </w:pPr>
            <w:r w:rsidRPr="007F2045">
              <w:rPr>
                <w:rFonts w:ascii="Times New Roman" w:hAnsi="Times New Roman"/>
                <w:b/>
                <w:bCs/>
                <w:lang w:val="es-CO"/>
              </w:rPr>
              <w:t>Providencia / expediente</w:t>
            </w:r>
          </w:p>
        </w:tc>
        <w:tc>
          <w:tcPr>
            <w:tcW w:w="5245" w:type="dxa"/>
            <w:shd w:val="clear" w:color="auto" w:fill="E7E6E6" w:themeFill="background2"/>
          </w:tcPr>
          <w:p w14:paraId="2CEF5162" w14:textId="77777777" w:rsidR="00684A8D" w:rsidRPr="007F2045" w:rsidRDefault="00684A8D" w:rsidP="001B5728">
            <w:pPr>
              <w:spacing w:line="240" w:lineRule="auto"/>
              <w:jc w:val="center"/>
              <w:rPr>
                <w:rFonts w:ascii="Times New Roman" w:hAnsi="Times New Roman"/>
                <w:b/>
                <w:bCs/>
                <w:lang w:val="es-CO"/>
              </w:rPr>
            </w:pPr>
            <w:r w:rsidRPr="007F2045">
              <w:rPr>
                <w:rFonts w:ascii="Times New Roman" w:hAnsi="Times New Roman"/>
                <w:b/>
                <w:bCs/>
                <w:lang w:val="es-CO"/>
              </w:rPr>
              <w:t xml:space="preserve">Razón fundamental de la Corte para negar la solicitud de suspensión provisional </w:t>
            </w:r>
          </w:p>
        </w:tc>
      </w:tr>
      <w:tr w:rsidR="001559F8" w:rsidRPr="007F2045" w14:paraId="2F91262D" w14:textId="77777777" w:rsidTr="5C4BFFD6">
        <w:tc>
          <w:tcPr>
            <w:tcW w:w="3681" w:type="dxa"/>
            <w:shd w:val="clear" w:color="auto" w:fill="FFFFFF" w:themeFill="background1"/>
          </w:tcPr>
          <w:p w14:paraId="6FBDC381" w14:textId="77777777" w:rsidR="00684A8D" w:rsidRPr="007F2045" w:rsidRDefault="00684A8D" w:rsidP="001B5728">
            <w:pPr>
              <w:spacing w:line="240" w:lineRule="auto"/>
              <w:rPr>
                <w:rFonts w:ascii="Times New Roman" w:hAnsi="Times New Roman"/>
                <w:b/>
                <w:bCs/>
                <w:lang w:val="es-CO"/>
              </w:rPr>
            </w:pPr>
            <w:r w:rsidRPr="007F2045">
              <w:rPr>
                <w:rFonts w:ascii="Times New Roman" w:hAnsi="Times New Roman"/>
                <w:b/>
                <w:bCs/>
                <w:lang w:val="es-CO"/>
              </w:rPr>
              <w:t>Auto 221</w:t>
            </w:r>
            <w:r w:rsidR="00146F6F" w:rsidRPr="007F2045">
              <w:rPr>
                <w:rFonts w:ascii="Times New Roman" w:hAnsi="Times New Roman"/>
                <w:b/>
                <w:bCs/>
                <w:lang w:val="es-CO"/>
              </w:rPr>
              <w:t>/</w:t>
            </w:r>
            <w:r w:rsidR="008A753D" w:rsidRPr="007F2045">
              <w:rPr>
                <w:rFonts w:ascii="Times New Roman" w:hAnsi="Times New Roman"/>
                <w:b/>
                <w:bCs/>
                <w:lang w:val="es-CO"/>
              </w:rPr>
              <w:t>05</w:t>
            </w:r>
          </w:p>
          <w:p w14:paraId="5E022AB7" w14:textId="77777777" w:rsidR="00684A8D" w:rsidRPr="007F2045" w:rsidRDefault="00684A8D" w:rsidP="001B5728">
            <w:pPr>
              <w:spacing w:line="240" w:lineRule="auto"/>
              <w:rPr>
                <w:rFonts w:ascii="Times New Roman" w:hAnsi="Times New Roman"/>
                <w:bCs/>
                <w:lang w:val="es-CO"/>
              </w:rPr>
            </w:pPr>
            <w:r w:rsidRPr="007F2045">
              <w:rPr>
                <w:rFonts w:ascii="Times New Roman" w:hAnsi="Times New Roman"/>
                <w:bCs/>
                <w:lang w:val="es-CO"/>
              </w:rPr>
              <w:t xml:space="preserve">Expediente </w:t>
            </w:r>
            <w:r w:rsidR="008A753D" w:rsidRPr="007F2045">
              <w:rPr>
                <w:rFonts w:ascii="Times New Roman" w:hAnsi="Times New Roman"/>
                <w:bCs/>
                <w:lang w:val="es-CO"/>
              </w:rPr>
              <w:t>D-5935</w:t>
            </w:r>
            <w:r w:rsidRPr="007F2045">
              <w:rPr>
                <w:rFonts w:ascii="Times New Roman" w:hAnsi="Times New Roman"/>
                <w:bCs/>
                <w:lang w:val="es-CO"/>
              </w:rPr>
              <w:t xml:space="preserve"> </w:t>
            </w:r>
          </w:p>
          <w:p w14:paraId="142D9C41" w14:textId="77777777" w:rsidR="00684A8D" w:rsidRPr="007F2045" w:rsidRDefault="00684A8D" w:rsidP="001B5728">
            <w:pPr>
              <w:spacing w:line="240" w:lineRule="auto"/>
              <w:rPr>
                <w:rFonts w:ascii="Times New Roman" w:hAnsi="Times New Roman"/>
                <w:b/>
                <w:bCs/>
                <w:lang w:val="es-CO"/>
              </w:rPr>
            </w:pPr>
            <w:r w:rsidRPr="007F2045">
              <w:rPr>
                <w:rFonts w:ascii="Times New Roman" w:hAnsi="Times New Roman"/>
                <w:bCs/>
                <w:lang w:val="es-CO"/>
              </w:rPr>
              <w:t xml:space="preserve">Recurso de súplica frente al auto que rechazó la demanda en contra </w:t>
            </w:r>
            <w:r w:rsidR="001C49E6" w:rsidRPr="007F2045">
              <w:rPr>
                <w:rFonts w:ascii="Times New Roman" w:hAnsi="Times New Roman"/>
                <w:bCs/>
                <w:lang w:val="es-CO"/>
              </w:rPr>
              <w:t xml:space="preserve">del </w:t>
            </w:r>
            <w:r w:rsidR="001C49E6" w:rsidRPr="007F2045">
              <w:rPr>
                <w:rFonts w:ascii="Times New Roman" w:hAnsi="Times New Roman"/>
                <w:lang w:val="es-CO"/>
              </w:rPr>
              <w:t>artículo 71 de la Ley 975 de 2005 que adicionó el artículo 468 del Código Penal</w:t>
            </w:r>
            <w:r w:rsidR="005E587A" w:rsidRPr="007F2045">
              <w:rPr>
                <w:rFonts w:ascii="Times New Roman" w:hAnsi="Times New Roman"/>
                <w:lang w:val="es-CO"/>
              </w:rPr>
              <w:t>.</w:t>
            </w:r>
          </w:p>
        </w:tc>
        <w:tc>
          <w:tcPr>
            <w:tcW w:w="5245" w:type="dxa"/>
            <w:shd w:val="clear" w:color="auto" w:fill="FFFFFF" w:themeFill="background1"/>
          </w:tcPr>
          <w:p w14:paraId="34D02110" w14:textId="77777777" w:rsidR="00684A8D" w:rsidRPr="007F2045" w:rsidRDefault="00684A8D" w:rsidP="001B5728">
            <w:pPr>
              <w:tabs>
                <w:tab w:val="left" w:pos="709"/>
              </w:tabs>
              <w:spacing w:line="240" w:lineRule="auto"/>
              <w:ind w:right="32"/>
              <w:rPr>
                <w:rFonts w:ascii="Times New Roman" w:hAnsi="Times New Roman"/>
                <w:bCs/>
                <w:lang w:val="es-CO" w:eastAsia="es-CO"/>
              </w:rPr>
            </w:pPr>
            <w:r w:rsidRPr="007F2045">
              <w:rPr>
                <w:rFonts w:ascii="Times New Roman" w:hAnsi="Times New Roman"/>
                <w:bCs/>
                <w:lang w:val="es-CO" w:eastAsia="es-CO"/>
              </w:rPr>
              <w:t xml:space="preserve">La Corte indicó que no era procedente la suspensión provisional debido a que dicha </w:t>
            </w:r>
            <w:r w:rsidRPr="007F2045">
              <w:rPr>
                <w:rFonts w:ascii="Times New Roman" w:hAnsi="Times New Roman"/>
                <w:bCs/>
                <w:iCs/>
                <w:lang w:val="es-CO" w:eastAsia="es-CO"/>
              </w:rPr>
              <w:t>figura no est</w:t>
            </w:r>
            <w:r w:rsidR="00957C20" w:rsidRPr="007F2045">
              <w:rPr>
                <w:rFonts w:ascii="Times New Roman" w:hAnsi="Times New Roman"/>
                <w:bCs/>
                <w:iCs/>
                <w:lang w:val="es-CO" w:eastAsia="es-CO"/>
              </w:rPr>
              <w:t>á</w:t>
            </w:r>
            <w:r w:rsidRPr="007F2045">
              <w:rPr>
                <w:rFonts w:ascii="Times New Roman" w:hAnsi="Times New Roman"/>
                <w:bCs/>
                <w:iCs/>
                <w:lang w:val="es-CO" w:eastAsia="es-CO"/>
              </w:rPr>
              <w:t xml:space="preserve"> prevista para los procesos de control abstracto de constitucionalidad</w:t>
            </w:r>
            <w:r w:rsidR="00275FCF" w:rsidRPr="007F2045">
              <w:rPr>
                <w:rFonts w:ascii="Times New Roman" w:hAnsi="Times New Roman"/>
                <w:bCs/>
                <w:iCs/>
                <w:lang w:val="es-CO" w:eastAsia="es-CO"/>
              </w:rPr>
              <w:t>.</w:t>
            </w:r>
          </w:p>
        </w:tc>
      </w:tr>
      <w:tr w:rsidR="001559F8" w:rsidRPr="007F2045" w14:paraId="464DC192" w14:textId="77777777" w:rsidTr="5C4BFFD6">
        <w:tc>
          <w:tcPr>
            <w:tcW w:w="3681" w:type="dxa"/>
            <w:shd w:val="clear" w:color="auto" w:fill="FFFFFF" w:themeFill="background1"/>
          </w:tcPr>
          <w:p w14:paraId="6E724B23" w14:textId="77777777" w:rsidR="00684A8D" w:rsidRPr="007F2045" w:rsidRDefault="00684A8D" w:rsidP="001B5728">
            <w:pPr>
              <w:spacing w:line="240" w:lineRule="auto"/>
              <w:rPr>
                <w:rFonts w:ascii="Times New Roman" w:hAnsi="Times New Roman"/>
                <w:b/>
                <w:bCs/>
                <w:lang w:val="es-CO"/>
              </w:rPr>
            </w:pPr>
            <w:r w:rsidRPr="007F2045">
              <w:rPr>
                <w:rFonts w:ascii="Times New Roman" w:hAnsi="Times New Roman"/>
                <w:b/>
                <w:bCs/>
                <w:lang w:val="es-CO"/>
              </w:rPr>
              <w:t>Auto 368</w:t>
            </w:r>
            <w:r w:rsidR="00146F6F" w:rsidRPr="007F2045">
              <w:rPr>
                <w:rFonts w:ascii="Times New Roman" w:hAnsi="Times New Roman"/>
                <w:b/>
                <w:bCs/>
                <w:lang w:val="es-CO"/>
              </w:rPr>
              <w:t>/</w:t>
            </w:r>
            <w:r w:rsidRPr="007F2045">
              <w:rPr>
                <w:rFonts w:ascii="Times New Roman" w:hAnsi="Times New Roman"/>
                <w:b/>
                <w:bCs/>
                <w:lang w:val="es-CO"/>
              </w:rPr>
              <w:t>15</w:t>
            </w:r>
          </w:p>
          <w:p w14:paraId="31B95FCC" w14:textId="77777777" w:rsidR="00684A8D" w:rsidRPr="007F2045" w:rsidRDefault="00684A8D" w:rsidP="001B5728">
            <w:pPr>
              <w:spacing w:line="240" w:lineRule="auto"/>
              <w:rPr>
                <w:rFonts w:ascii="Times New Roman" w:hAnsi="Times New Roman"/>
                <w:bCs/>
                <w:lang w:val="es-CO"/>
              </w:rPr>
            </w:pPr>
            <w:r w:rsidRPr="007F2045">
              <w:rPr>
                <w:rFonts w:ascii="Times New Roman" w:hAnsi="Times New Roman"/>
                <w:bCs/>
                <w:lang w:val="es-CO"/>
              </w:rPr>
              <w:t xml:space="preserve">Expediente </w:t>
            </w:r>
            <w:r w:rsidR="007E4ECE" w:rsidRPr="007F2045">
              <w:rPr>
                <w:rFonts w:ascii="Times New Roman" w:hAnsi="Times New Roman"/>
                <w:bCs/>
                <w:lang w:val="es-CO"/>
              </w:rPr>
              <w:t>D-10890</w:t>
            </w:r>
            <w:r w:rsidR="005E587A" w:rsidRPr="007F2045">
              <w:rPr>
                <w:rFonts w:ascii="Times New Roman" w:hAnsi="Times New Roman"/>
                <w:bCs/>
                <w:lang w:val="es-CO"/>
              </w:rPr>
              <w:t>A</w:t>
            </w:r>
          </w:p>
          <w:p w14:paraId="2F9CE61C" w14:textId="77777777" w:rsidR="00684A8D" w:rsidRPr="007F2045" w:rsidRDefault="00684A8D" w:rsidP="001B5728">
            <w:pPr>
              <w:spacing w:line="240" w:lineRule="auto"/>
              <w:rPr>
                <w:rFonts w:ascii="Times New Roman" w:hAnsi="Times New Roman"/>
                <w:b/>
                <w:bCs/>
                <w:lang w:val="es-CO"/>
              </w:rPr>
            </w:pPr>
            <w:r w:rsidRPr="007F2045">
              <w:rPr>
                <w:rFonts w:ascii="Times New Roman" w:hAnsi="Times New Roman"/>
                <w:bCs/>
                <w:lang w:val="es-CO"/>
              </w:rPr>
              <w:t>Demanda</w:t>
            </w:r>
            <w:r w:rsidR="007E4ECE" w:rsidRPr="007F2045">
              <w:rPr>
                <w:rFonts w:ascii="Times New Roman" w:hAnsi="Times New Roman"/>
                <w:bCs/>
                <w:lang w:val="es-CO"/>
              </w:rPr>
              <w:t>s</w:t>
            </w:r>
            <w:r w:rsidRPr="007F2045">
              <w:rPr>
                <w:rFonts w:ascii="Times New Roman" w:hAnsi="Times New Roman"/>
                <w:bCs/>
                <w:lang w:val="es-CO"/>
              </w:rPr>
              <w:t xml:space="preserve"> de inconstitucionalidad en contra de </w:t>
            </w:r>
            <w:r w:rsidR="003A3528" w:rsidRPr="007F2045">
              <w:rPr>
                <w:rFonts w:ascii="Times New Roman" w:hAnsi="Times New Roman"/>
                <w:bCs/>
                <w:lang w:val="es-CO"/>
              </w:rPr>
              <w:t>los artículos 14, 15, 16, 17, 18 y 19 del Acto Legislativo 02 de 2015, “por medio del cual se adopta una reforma de equilibrio de poderes y reajuste institucional y se dictan otras disposiciones”.</w:t>
            </w:r>
          </w:p>
        </w:tc>
        <w:tc>
          <w:tcPr>
            <w:tcW w:w="5245" w:type="dxa"/>
            <w:shd w:val="clear" w:color="auto" w:fill="FFFFFF" w:themeFill="background1"/>
          </w:tcPr>
          <w:p w14:paraId="31348136" w14:textId="77777777" w:rsidR="00684A8D" w:rsidRPr="007F2045" w:rsidRDefault="00684A8D" w:rsidP="001B5728">
            <w:pPr>
              <w:tabs>
                <w:tab w:val="left" w:pos="709"/>
              </w:tabs>
              <w:spacing w:line="240" w:lineRule="auto"/>
              <w:ind w:right="32"/>
              <w:rPr>
                <w:rFonts w:ascii="Times New Roman" w:hAnsi="Times New Roman"/>
                <w:bCs/>
                <w:lang w:val="es-CO" w:eastAsia="es-CO"/>
              </w:rPr>
            </w:pPr>
            <w:r w:rsidRPr="007F2045">
              <w:rPr>
                <w:rFonts w:ascii="Times New Roman" w:hAnsi="Times New Roman"/>
                <w:bCs/>
                <w:lang w:val="es-CO" w:eastAsia="es-CO"/>
              </w:rPr>
              <w:t xml:space="preserve">La Corte indicó que no era procedente la suspensión provisional debido a que dicha </w:t>
            </w:r>
            <w:r w:rsidRPr="007F2045">
              <w:rPr>
                <w:rFonts w:ascii="Times New Roman" w:hAnsi="Times New Roman"/>
                <w:bCs/>
                <w:iCs/>
                <w:lang w:val="es-CO" w:eastAsia="es-CO"/>
              </w:rPr>
              <w:t>figura no está</w:t>
            </w:r>
            <w:r w:rsidR="00957C20" w:rsidRPr="007F2045">
              <w:rPr>
                <w:rFonts w:ascii="Times New Roman" w:hAnsi="Times New Roman"/>
                <w:bCs/>
                <w:iCs/>
                <w:lang w:val="es-CO" w:eastAsia="es-CO"/>
              </w:rPr>
              <w:t xml:space="preserve"> p</w:t>
            </w:r>
            <w:r w:rsidRPr="007F2045">
              <w:rPr>
                <w:rFonts w:ascii="Times New Roman" w:hAnsi="Times New Roman"/>
                <w:bCs/>
                <w:iCs/>
                <w:lang w:val="es-CO" w:eastAsia="es-CO"/>
              </w:rPr>
              <w:t>revista para los procesos de control abstracto de constitucionalidad</w:t>
            </w:r>
            <w:r w:rsidR="00275FCF" w:rsidRPr="007F2045">
              <w:rPr>
                <w:rFonts w:ascii="Times New Roman" w:hAnsi="Times New Roman"/>
                <w:bCs/>
                <w:iCs/>
                <w:lang w:val="es-CO" w:eastAsia="es-CO"/>
              </w:rPr>
              <w:t>.</w:t>
            </w:r>
          </w:p>
        </w:tc>
      </w:tr>
      <w:tr w:rsidR="001559F8" w:rsidRPr="007F2045" w14:paraId="7AD30F7C" w14:textId="77777777" w:rsidTr="5C4BFFD6">
        <w:tc>
          <w:tcPr>
            <w:tcW w:w="3681" w:type="dxa"/>
          </w:tcPr>
          <w:p w14:paraId="3007C66C" w14:textId="77777777" w:rsidR="00684A8D" w:rsidRPr="007F2045" w:rsidRDefault="00684A8D" w:rsidP="001B5728">
            <w:pPr>
              <w:tabs>
                <w:tab w:val="left" w:pos="2049"/>
              </w:tabs>
              <w:spacing w:line="240" w:lineRule="auto"/>
              <w:rPr>
                <w:rFonts w:ascii="Times New Roman" w:hAnsi="Times New Roman"/>
                <w:b/>
                <w:bCs/>
                <w:lang w:val="es-CO"/>
              </w:rPr>
            </w:pPr>
            <w:r w:rsidRPr="007F2045">
              <w:rPr>
                <w:rFonts w:ascii="Times New Roman" w:hAnsi="Times New Roman"/>
                <w:b/>
                <w:bCs/>
                <w:lang w:val="es-CO"/>
              </w:rPr>
              <w:t>Auto 161</w:t>
            </w:r>
            <w:r w:rsidR="00146F6F" w:rsidRPr="007F2045">
              <w:rPr>
                <w:rFonts w:ascii="Times New Roman" w:hAnsi="Times New Roman"/>
                <w:b/>
                <w:bCs/>
                <w:lang w:val="es-CO"/>
              </w:rPr>
              <w:t>/</w:t>
            </w:r>
            <w:r w:rsidRPr="007F2045">
              <w:rPr>
                <w:rFonts w:ascii="Times New Roman" w:hAnsi="Times New Roman"/>
                <w:b/>
                <w:bCs/>
                <w:lang w:val="es-CO"/>
              </w:rPr>
              <w:t>20</w:t>
            </w:r>
          </w:p>
          <w:p w14:paraId="3553E28B" w14:textId="77777777" w:rsidR="00684A8D" w:rsidRPr="007F2045" w:rsidRDefault="00684A8D" w:rsidP="001B5728">
            <w:pPr>
              <w:tabs>
                <w:tab w:val="left" w:pos="2049"/>
              </w:tabs>
              <w:spacing w:line="240" w:lineRule="auto"/>
              <w:rPr>
                <w:rFonts w:ascii="Times New Roman" w:hAnsi="Times New Roman"/>
                <w:lang w:val="es-CO"/>
              </w:rPr>
            </w:pPr>
            <w:r w:rsidRPr="007F2045">
              <w:rPr>
                <w:rFonts w:ascii="Times New Roman" w:hAnsi="Times New Roman"/>
                <w:lang w:val="es-CO"/>
              </w:rPr>
              <w:t>Expediente RE-252</w:t>
            </w:r>
          </w:p>
          <w:p w14:paraId="6E26C902" w14:textId="77777777" w:rsidR="00684A8D" w:rsidRPr="007F2045" w:rsidRDefault="00684A8D" w:rsidP="001B5728">
            <w:pPr>
              <w:tabs>
                <w:tab w:val="left" w:pos="2049"/>
              </w:tabs>
              <w:spacing w:line="240" w:lineRule="auto"/>
              <w:rPr>
                <w:rFonts w:ascii="Times New Roman" w:hAnsi="Times New Roman"/>
                <w:lang w:val="es-CO"/>
              </w:rPr>
            </w:pPr>
            <w:r w:rsidRPr="007F2045">
              <w:rPr>
                <w:rFonts w:ascii="Times New Roman" w:hAnsi="Times New Roman"/>
                <w:lang w:val="es-CO"/>
              </w:rPr>
              <w:t>Revisión de constitucionalidad del Decreto de desarrollo 488 de 2020</w:t>
            </w:r>
          </w:p>
        </w:tc>
        <w:tc>
          <w:tcPr>
            <w:tcW w:w="5245" w:type="dxa"/>
          </w:tcPr>
          <w:p w14:paraId="60FA3BC0" w14:textId="77777777" w:rsidR="00684A8D" w:rsidRPr="007F2045" w:rsidRDefault="00684A8D" w:rsidP="001B5728">
            <w:pPr>
              <w:spacing w:line="240" w:lineRule="auto"/>
              <w:rPr>
                <w:rFonts w:ascii="Times New Roman" w:hAnsi="Times New Roman"/>
                <w:lang w:val="es-CO"/>
              </w:rPr>
            </w:pPr>
            <w:r w:rsidRPr="007F2045">
              <w:rPr>
                <w:rFonts w:ascii="Times New Roman" w:hAnsi="Times New Roman"/>
                <w:lang w:val="es-CO"/>
              </w:rPr>
              <w:t xml:space="preserve">La Corte consideró que no tiene competencia para realizar declaratorias de suspensión provisional sobre decretos legislativos, lo que impone el rechazo de tales solicitudes. Ello obedecía, entre otras razones, a lo decidido en la </w:t>
            </w:r>
            <w:r w:rsidR="00807294" w:rsidRPr="007F2045">
              <w:rPr>
                <w:rFonts w:ascii="Times New Roman" w:hAnsi="Times New Roman"/>
                <w:lang w:val="es-CO"/>
              </w:rPr>
              <w:t xml:space="preserve">citada </w:t>
            </w:r>
            <w:r w:rsidRPr="007F2045">
              <w:rPr>
                <w:rFonts w:ascii="Times New Roman" w:hAnsi="Times New Roman"/>
                <w:lang w:val="es-CO"/>
              </w:rPr>
              <w:t>sentencia C-179 de 1994</w:t>
            </w:r>
            <w:r w:rsidR="00275FCF" w:rsidRPr="007F2045">
              <w:rPr>
                <w:rFonts w:ascii="Times New Roman" w:hAnsi="Times New Roman"/>
                <w:lang w:val="es-CO"/>
              </w:rPr>
              <w:t>.</w:t>
            </w:r>
          </w:p>
        </w:tc>
      </w:tr>
      <w:tr w:rsidR="001559F8" w:rsidRPr="007F2045" w14:paraId="3E7D1E15" w14:textId="77777777" w:rsidTr="5C4BFFD6">
        <w:tc>
          <w:tcPr>
            <w:tcW w:w="3681" w:type="dxa"/>
          </w:tcPr>
          <w:p w14:paraId="0E0606FB" w14:textId="77777777" w:rsidR="00684A8D" w:rsidRPr="007F2045" w:rsidRDefault="00684A8D" w:rsidP="001B5728">
            <w:pPr>
              <w:tabs>
                <w:tab w:val="left" w:pos="2049"/>
              </w:tabs>
              <w:spacing w:line="240" w:lineRule="auto"/>
              <w:rPr>
                <w:rFonts w:ascii="Times New Roman" w:hAnsi="Times New Roman"/>
                <w:b/>
                <w:bCs/>
                <w:lang w:val="es-CO"/>
              </w:rPr>
            </w:pPr>
            <w:r w:rsidRPr="007F2045">
              <w:rPr>
                <w:rFonts w:ascii="Times New Roman" w:hAnsi="Times New Roman"/>
                <w:b/>
                <w:bCs/>
                <w:lang w:val="es-CO"/>
              </w:rPr>
              <w:t xml:space="preserve">Auto 176/20 </w:t>
            </w:r>
          </w:p>
          <w:p w14:paraId="18467346" w14:textId="77777777" w:rsidR="00684A8D" w:rsidRPr="007F2045" w:rsidRDefault="00684A8D" w:rsidP="001B5728">
            <w:pPr>
              <w:tabs>
                <w:tab w:val="left" w:pos="2049"/>
              </w:tabs>
              <w:spacing w:line="240" w:lineRule="auto"/>
              <w:rPr>
                <w:rFonts w:ascii="Times New Roman" w:hAnsi="Times New Roman"/>
                <w:lang w:val="es-CO"/>
              </w:rPr>
            </w:pPr>
            <w:r w:rsidRPr="007F2045">
              <w:rPr>
                <w:rFonts w:ascii="Times New Roman" w:hAnsi="Times New Roman"/>
                <w:lang w:val="es-CO"/>
              </w:rPr>
              <w:t xml:space="preserve">Expediente RE-293 </w:t>
            </w:r>
          </w:p>
          <w:p w14:paraId="61C0FEB9" w14:textId="77777777" w:rsidR="00684A8D" w:rsidRPr="007F2045" w:rsidRDefault="00684A8D" w:rsidP="001B5728">
            <w:pPr>
              <w:tabs>
                <w:tab w:val="left" w:pos="2049"/>
              </w:tabs>
              <w:spacing w:line="240" w:lineRule="auto"/>
              <w:rPr>
                <w:rFonts w:ascii="Times New Roman" w:hAnsi="Times New Roman"/>
                <w:b/>
                <w:bCs/>
                <w:lang w:val="es-CO"/>
              </w:rPr>
            </w:pPr>
            <w:r w:rsidRPr="007F2045">
              <w:rPr>
                <w:rFonts w:ascii="Times New Roman" w:hAnsi="Times New Roman"/>
                <w:lang w:val="es-CO"/>
              </w:rPr>
              <w:t>Revisión de constitucionalidad del Decreto de desarrollo 568 de 2020</w:t>
            </w:r>
          </w:p>
        </w:tc>
        <w:tc>
          <w:tcPr>
            <w:tcW w:w="5245" w:type="dxa"/>
          </w:tcPr>
          <w:p w14:paraId="43F8E52F" w14:textId="77777777" w:rsidR="00684A8D" w:rsidRPr="007F2045" w:rsidRDefault="00684A8D" w:rsidP="001B5728">
            <w:pPr>
              <w:spacing w:line="240" w:lineRule="auto"/>
              <w:rPr>
                <w:rFonts w:ascii="Times New Roman" w:hAnsi="Times New Roman"/>
                <w:lang w:val="es-CO"/>
              </w:rPr>
            </w:pPr>
            <w:r w:rsidRPr="007F2045">
              <w:rPr>
                <w:rFonts w:ascii="Times New Roman" w:hAnsi="Times New Roman"/>
                <w:lang w:val="es-CO"/>
              </w:rPr>
              <w:t xml:space="preserve">La Corte consideró que no tiene competencia para realizar declaratorias de suspensión provisional sobre decretos legislativos, lo que impone el rechazo de tales solicitudes. Ello obedecía, entre otras razones, a lo decidido en la </w:t>
            </w:r>
            <w:r w:rsidR="00807294" w:rsidRPr="007F2045">
              <w:rPr>
                <w:rFonts w:ascii="Times New Roman" w:hAnsi="Times New Roman"/>
                <w:lang w:val="es-CO"/>
              </w:rPr>
              <w:t xml:space="preserve">citada </w:t>
            </w:r>
            <w:r w:rsidRPr="007F2045">
              <w:rPr>
                <w:rFonts w:ascii="Times New Roman" w:hAnsi="Times New Roman"/>
                <w:lang w:val="es-CO"/>
              </w:rPr>
              <w:t>sentencia C-179 de 1994</w:t>
            </w:r>
            <w:r w:rsidR="00275FCF" w:rsidRPr="007F2045">
              <w:rPr>
                <w:rFonts w:ascii="Times New Roman" w:hAnsi="Times New Roman"/>
                <w:lang w:val="es-CO"/>
              </w:rPr>
              <w:t>.</w:t>
            </w:r>
          </w:p>
        </w:tc>
      </w:tr>
      <w:tr w:rsidR="001559F8" w:rsidRPr="007F2045" w14:paraId="35D79371" w14:textId="77777777" w:rsidTr="5C4BFFD6">
        <w:tc>
          <w:tcPr>
            <w:tcW w:w="3681" w:type="dxa"/>
          </w:tcPr>
          <w:p w14:paraId="60F7D595" w14:textId="77777777" w:rsidR="00684A8D" w:rsidRPr="007F2045" w:rsidRDefault="00684A8D" w:rsidP="001B5728">
            <w:pPr>
              <w:tabs>
                <w:tab w:val="left" w:pos="2049"/>
              </w:tabs>
              <w:spacing w:line="240" w:lineRule="auto"/>
              <w:rPr>
                <w:rFonts w:ascii="Times New Roman" w:hAnsi="Times New Roman"/>
                <w:b/>
                <w:bCs/>
                <w:lang w:val="es-CO"/>
              </w:rPr>
            </w:pPr>
            <w:r w:rsidRPr="007F2045">
              <w:rPr>
                <w:rFonts w:ascii="Times New Roman" w:hAnsi="Times New Roman"/>
                <w:b/>
                <w:bCs/>
                <w:lang w:val="es-CO"/>
              </w:rPr>
              <w:t>Auto 189/20</w:t>
            </w:r>
          </w:p>
          <w:p w14:paraId="1EC999AF" w14:textId="77777777" w:rsidR="00684A8D" w:rsidRPr="007F2045" w:rsidRDefault="00684A8D" w:rsidP="001B5728">
            <w:pPr>
              <w:tabs>
                <w:tab w:val="left" w:pos="2049"/>
              </w:tabs>
              <w:spacing w:line="240" w:lineRule="auto"/>
              <w:rPr>
                <w:rFonts w:ascii="Times New Roman" w:hAnsi="Times New Roman"/>
                <w:lang w:val="es-CO"/>
              </w:rPr>
            </w:pPr>
            <w:r w:rsidRPr="007F2045">
              <w:rPr>
                <w:rFonts w:ascii="Times New Roman" w:hAnsi="Times New Roman"/>
                <w:lang w:val="es-CO"/>
              </w:rPr>
              <w:t>Expediente RE-293</w:t>
            </w:r>
          </w:p>
          <w:p w14:paraId="37199F46" w14:textId="77777777" w:rsidR="00684A8D" w:rsidRPr="007F2045" w:rsidRDefault="00684A8D" w:rsidP="001B5728">
            <w:pPr>
              <w:tabs>
                <w:tab w:val="left" w:pos="2049"/>
              </w:tabs>
              <w:spacing w:line="240" w:lineRule="auto"/>
              <w:rPr>
                <w:rFonts w:ascii="Times New Roman" w:hAnsi="Times New Roman"/>
                <w:lang w:val="es-CO"/>
              </w:rPr>
            </w:pPr>
            <w:r w:rsidRPr="007F2045">
              <w:rPr>
                <w:rFonts w:ascii="Times New Roman" w:hAnsi="Times New Roman"/>
                <w:lang w:val="es-CO"/>
              </w:rPr>
              <w:t>Revisión de constitucionalidad del Decreto de desarrollo 568 de 2020</w:t>
            </w:r>
          </w:p>
        </w:tc>
        <w:tc>
          <w:tcPr>
            <w:tcW w:w="5245" w:type="dxa"/>
          </w:tcPr>
          <w:p w14:paraId="6D000BF4" w14:textId="77777777" w:rsidR="00684A8D" w:rsidRPr="007F2045" w:rsidRDefault="00684A8D" w:rsidP="001B5728">
            <w:pPr>
              <w:spacing w:line="240" w:lineRule="auto"/>
              <w:rPr>
                <w:rFonts w:ascii="Times New Roman" w:hAnsi="Times New Roman"/>
                <w:lang w:val="es-CO"/>
              </w:rPr>
            </w:pPr>
            <w:r w:rsidRPr="007F2045">
              <w:rPr>
                <w:rFonts w:ascii="Times New Roman" w:hAnsi="Times New Roman"/>
                <w:lang w:val="es-CO"/>
              </w:rPr>
              <w:t xml:space="preserve">La Corte consideró que no tiene competencia para realizar declaratorias de suspensión provisional sobre decretos legislativos, lo que impone el rechazo de tales solicitudes. Ello obedecía, entre otras razones, a lo decidido en la </w:t>
            </w:r>
            <w:r w:rsidR="00807294" w:rsidRPr="007F2045">
              <w:rPr>
                <w:rFonts w:ascii="Times New Roman" w:hAnsi="Times New Roman"/>
                <w:lang w:val="es-CO"/>
              </w:rPr>
              <w:t xml:space="preserve">citada </w:t>
            </w:r>
            <w:r w:rsidRPr="007F2045">
              <w:rPr>
                <w:rFonts w:ascii="Times New Roman" w:hAnsi="Times New Roman"/>
                <w:lang w:val="es-CO"/>
              </w:rPr>
              <w:t>sentencia C-179 de 1994</w:t>
            </w:r>
            <w:r w:rsidR="00275FCF" w:rsidRPr="007F2045">
              <w:rPr>
                <w:rFonts w:ascii="Times New Roman" w:hAnsi="Times New Roman"/>
                <w:lang w:val="es-CO"/>
              </w:rPr>
              <w:t>.</w:t>
            </w:r>
          </w:p>
        </w:tc>
      </w:tr>
      <w:tr w:rsidR="001559F8" w:rsidRPr="007F2045" w14:paraId="3A2F02B9" w14:textId="77777777" w:rsidTr="5C4BFFD6">
        <w:tc>
          <w:tcPr>
            <w:tcW w:w="3681" w:type="dxa"/>
          </w:tcPr>
          <w:p w14:paraId="2A401D02" w14:textId="77777777" w:rsidR="00684A8D" w:rsidRPr="007F2045" w:rsidRDefault="00684A8D" w:rsidP="001B5728">
            <w:pPr>
              <w:tabs>
                <w:tab w:val="left" w:pos="2049"/>
              </w:tabs>
              <w:spacing w:line="240" w:lineRule="auto"/>
              <w:rPr>
                <w:rFonts w:ascii="Times New Roman" w:hAnsi="Times New Roman"/>
                <w:b/>
                <w:bCs/>
                <w:lang w:val="es-CO"/>
              </w:rPr>
            </w:pPr>
            <w:r w:rsidRPr="007F2045">
              <w:rPr>
                <w:rFonts w:ascii="Times New Roman" w:hAnsi="Times New Roman"/>
                <w:b/>
                <w:bCs/>
                <w:lang w:val="es-CO"/>
              </w:rPr>
              <w:t>Sentencia C-193</w:t>
            </w:r>
            <w:r w:rsidR="00146F6F" w:rsidRPr="007F2045">
              <w:rPr>
                <w:rFonts w:ascii="Times New Roman" w:hAnsi="Times New Roman"/>
                <w:b/>
                <w:bCs/>
                <w:lang w:val="es-CO"/>
              </w:rPr>
              <w:t>/</w:t>
            </w:r>
            <w:r w:rsidRPr="007F2045">
              <w:rPr>
                <w:rFonts w:ascii="Times New Roman" w:hAnsi="Times New Roman"/>
                <w:b/>
                <w:bCs/>
                <w:lang w:val="es-CO"/>
              </w:rPr>
              <w:t>20</w:t>
            </w:r>
          </w:p>
          <w:p w14:paraId="78A5B016" w14:textId="77777777" w:rsidR="00684A8D" w:rsidRPr="007F2045" w:rsidRDefault="00684A8D" w:rsidP="001B5728">
            <w:pPr>
              <w:tabs>
                <w:tab w:val="left" w:pos="2049"/>
              </w:tabs>
              <w:spacing w:line="240" w:lineRule="auto"/>
              <w:rPr>
                <w:rFonts w:ascii="Times New Roman" w:hAnsi="Times New Roman"/>
                <w:lang w:val="es-CO"/>
              </w:rPr>
            </w:pPr>
            <w:r w:rsidRPr="007F2045">
              <w:rPr>
                <w:rFonts w:ascii="Times New Roman" w:hAnsi="Times New Roman"/>
                <w:lang w:val="es-CO"/>
              </w:rPr>
              <w:t>Expediente RE-292</w:t>
            </w:r>
          </w:p>
          <w:p w14:paraId="07613E72" w14:textId="77777777" w:rsidR="00684A8D" w:rsidRPr="007F2045" w:rsidRDefault="00684A8D" w:rsidP="001B5728">
            <w:pPr>
              <w:tabs>
                <w:tab w:val="left" w:pos="2049"/>
              </w:tabs>
              <w:spacing w:line="240" w:lineRule="auto"/>
              <w:rPr>
                <w:rFonts w:ascii="Times New Roman" w:hAnsi="Times New Roman"/>
                <w:lang w:val="es-CO"/>
              </w:rPr>
            </w:pPr>
            <w:r w:rsidRPr="007F2045">
              <w:rPr>
                <w:rFonts w:ascii="Times New Roman" w:hAnsi="Times New Roman"/>
                <w:lang w:val="es-CO"/>
              </w:rPr>
              <w:lastRenderedPageBreak/>
              <w:t>Revisión de constitucionalidad del Decreto de desarrollo 567 de 2020 </w:t>
            </w:r>
          </w:p>
        </w:tc>
        <w:tc>
          <w:tcPr>
            <w:tcW w:w="5245" w:type="dxa"/>
          </w:tcPr>
          <w:p w14:paraId="38A55808" w14:textId="77777777" w:rsidR="00684A8D" w:rsidRPr="007F2045" w:rsidRDefault="00684A8D" w:rsidP="001B5728">
            <w:pPr>
              <w:spacing w:line="240" w:lineRule="auto"/>
              <w:rPr>
                <w:rFonts w:ascii="Times New Roman" w:hAnsi="Times New Roman"/>
                <w:lang w:val="es-CO"/>
              </w:rPr>
            </w:pPr>
            <w:r w:rsidRPr="007F2045">
              <w:rPr>
                <w:rFonts w:ascii="Times New Roman" w:hAnsi="Times New Roman"/>
                <w:lang w:val="es-CO"/>
              </w:rPr>
              <w:lastRenderedPageBreak/>
              <w:t xml:space="preserve">La Corte Constitucional indicó que no tiene competencia para realizar declaratorias de suspensión provisional sobre decretos legislativos, lo </w:t>
            </w:r>
            <w:r w:rsidRPr="007F2045">
              <w:rPr>
                <w:rFonts w:ascii="Times New Roman" w:hAnsi="Times New Roman"/>
                <w:lang w:val="es-CO"/>
              </w:rPr>
              <w:lastRenderedPageBreak/>
              <w:t>que impone el rechazo de tales solicitudes.</w:t>
            </w:r>
            <w:r w:rsidR="009F1BDE" w:rsidRPr="007F2045">
              <w:rPr>
                <w:rFonts w:ascii="Times New Roman" w:hAnsi="Times New Roman"/>
                <w:lang w:val="es-CO"/>
              </w:rPr>
              <w:t xml:space="preserve"> </w:t>
            </w:r>
            <w:r w:rsidRPr="007F2045">
              <w:rPr>
                <w:rFonts w:ascii="Times New Roman" w:hAnsi="Times New Roman"/>
                <w:lang w:val="es-CO"/>
              </w:rPr>
              <w:t xml:space="preserve">Ello obedecía, entre otras razones, a lo decidido en la </w:t>
            </w:r>
            <w:r w:rsidR="00807294" w:rsidRPr="007F2045">
              <w:rPr>
                <w:rFonts w:ascii="Times New Roman" w:hAnsi="Times New Roman"/>
                <w:lang w:val="es-CO"/>
              </w:rPr>
              <w:t xml:space="preserve">citada </w:t>
            </w:r>
            <w:r w:rsidRPr="007F2045">
              <w:rPr>
                <w:rFonts w:ascii="Times New Roman" w:hAnsi="Times New Roman"/>
                <w:lang w:val="es-CO"/>
              </w:rPr>
              <w:t>sentencia C-179 de 1994</w:t>
            </w:r>
            <w:r w:rsidR="00275FCF" w:rsidRPr="007F2045">
              <w:rPr>
                <w:rFonts w:ascii="Times New Roman" w:hAnsi="Times New Roman"/>
                <w:lang w:val="es-CO"/>
              </w:rPr>
              <w:t>.</w:t>
            </w:r>
          </w:p>
        </w:tc>
      </w:tr>
      <w:tr w:rsidR="001559F8" w:rsidRPr="007F2045" w14:paraId="58688F5B" w14:textId="77777777" w:rsidTr="5C4BFFD6">
        <w:tc>
          <w:tcPr>
            <w:tcW w:w="3681" w:type="dxa"/>
          </w:tcPr>
          <w:p w14:paraId="3888488D" w14:textId="77777777" w:rsidR="00684A8D" w:rsidRPr="007F2045" w:rsidRDefault="00684A8D" w:rsidP="001B5728">
            <w:pPr>
              <w:tabs>
                <w:tab w:val="left" w:pos="2049"/>
              </w:tabs>
              <w:spacing w:line="240" w:lineRule="auto"/>
              <w:rPr>
                <w:rFonts w:ascii="Times New Roman" w:hAnsi="Times New Roman"/>
                <w:b/>
                <w:lang w:val="es-CO" w:eastAsia="es-CO"/>
              </w:rPr>
            </w:pPr>
            <w:r w:rsidRPr="007F2045">
              <w:rPr>
                <w:rFonts w:ascii="Times New Roman" w:hAnsi="Times New Roman"/>
                <w:b/>
                <w:bCs/>
                <w:lang w:val="es-CO"/>
              </w:rPr>
              <w:lastRenderedPageBreak/>
              <w:t xml:space="preserve">Auto </w:t>
            </w:r>
            <w:r w:rsidRPr="007F2045">
              <w:rPr>
                <w:rFonts w:ascii="Times New Roman" w:hAnsi="Times New Roman"/>
                <w:b/>
                <w:lang w:val="es-CO" w:eastAsia="es-CO"/>
              </w:rPr>
              <w:t>518</w:t>
            </w:r>
            <w:r w:rsidR="00146F6F" w:rsidRPr="007F2045">
              <w:rPr>
                <w:rFonts w:ascii="Times New Roman" w:hAnsi="Times New Roman"/>
                <w:b/>
                <w:lang w:val="es-CO" w:eastAsia="es-CO"/>
              </w:rPr>
              <w:t>/</w:t>
            </w:r>
            <w:r w:rsidRPr="007F2045">
              <w:rPr>
                <w:rFonts w:ascii="Times New Roman" w:hAnsi="Times New Roman"/>
                <w:b/>
                <w:lang w:val="es-CO" w:eastAsia="es-CO"/>
              </w:rPr>
              <w:t>21</w:t>
            </w:r>
          </w:p>
          <w:p w14:paraId="5F541ECA" w14:textId="77777777" w:rsidR="003F5192" w:rsidRPr="007F2045" w:rsidRDefault="00684A8D" w:rsidP="001B5728">
            <w:pPr>
              <w:spacing w:line="240" w:lineRule="auto"/>
              <w:rPr>
                <w:rFonts w:ascii="Times New Roman" w:hAnsi="Times New Roman"/>
                <w:bCs/>
                <w:lang w:val="es-CO"/>
              </w:rPr>
            </w:pPr>
            <w:r w:rsidRPr="007F2045">
              <w:rPr>
                <w:rFonts w:ascii="Times New Roman" w:hAnsi="Times New Roman"/>
                <w:bCs/>
                <w:lang w:val="es-CO"/>
              </w:rPr>
              <w:t xml:space="preserve">Expediente </w:t>
            </w:r>
            <w:r w:rsidR="003F5192" w:rsidRPr="007F2045">
              <w:rPr>
                <w:rFonts w:ascii="Times New Roman" w:hAnsi="Times New Roman"/>
                <w:bCs/>
                <w:lang w:val="es-CO"/>
              </w:rPr>
              <w:t>D-14303 AA</w:t>
            </w:r>
          </w:p>
          <w:p w14:paraId="392E15DB" w14:textId="77777777" w:rsidR="00684A8D" w:rsidRPr="007F2045" w:rsidRDefault="00684A8D" w:rsidP="001B5728">
            <w:pPr>
              <w:tabs>
                <w:tab w:val="left" w:pos="2049"/>
              </w:tabs>
              <w:spacing w:line="240" w:lineRule="auto"/>
              <w:rPr>
                <w:rFonts w:ascii="Times New Roman" w:hAnsi="Times New Roman"/>
                <w:b/>
                <w:bCs/>
                <w:lang w:val="es-CO"/>
              </w:rPr>
            </w:pPr>
            <w:r w:rsidRPr="007F2045">
              <w:rPr>
                <w:rFonts w:ascii="Times New Roman" w:hAnsi="Times New Roman"/>
                <w:bCs/>
                <w:lang w:val="es-CO"/>
              </w:rPr>
              <w:t>Demanda de inconstitucionalidad en contra de</w:t>
            </w:r>
            <w:r w:rsidR="00F32085" w:rsidRPr="007F2045">
              <w:rPr>
                <w:rFonts w:ascii="Times New Roman" w:hAnsi="Times New Roman"/>
                <w:bCs/>
                <w:lang w:val="es-CO"/>
              </w:rPr>
              <w:t>l artículo 170 de la Ley 1801 de 2016 “</w:t>
            </w:r>
            <w:bookmarkStart w:id="8" w:name="_Hlk64269560"/>
            <w:r w:rsidR="00F32085" w:rsidRPr="007F2045">
              <w:rPr>
                <w:rFonts w:ascii="Times New Roman" w:hAnsi="Times New Roman"/>
                <w:bCs/>
                <w:i/>
                <w:iCs/>
                <w:lang w:val="es-CO"/>
              </w:rPr>
              <w:t>Por la cual se expide el Código Nacional de Seguridad y Convivencia Ciudadana</w:t>
            </w:r>
            <w:bookmarkEnd w:id="8"/>
            <w:r w:rsidR="00F32085" w:rsidRPr="007F2045">
              <w:rPr>
                <w:rFonts w:ascii="Times New Roman" w:hAnsi="Times New Roman"/>
                <w:bCs/>
                <w:lang w:val="es-CO"/>
              </w:rPr>
              <w:t>”</w:t>
            </w:r>
            <w:r w:rsidR="005E587A" w:rsidRPr="007F2045">
              <w:rPr>
                <w:rFonts w:ascii="Times New Roman" w:hAnsi="Times New Roman"/>
                <w:bCs/>
                <w:lang w:val="es-CO"/>
              </w:rPr>
              <w:t>.</w:t>
            </w:r>
          </w:p>
        </w:tc>
        <w:tc>
          <w:tcPr>
            <w:tcW w:w="5245" w:type="dxa"/>
          </w:tcPr>
          <w:p w14:paraId="380950AB" w14:textId="77777777" w:rsidR="00684A8D" w:rsidRPr="007F2045" w:rsidRDefault="00684A8D" w:rsidP="001B5728">
            <w:pPr>
              <w:spacing w:line="240" w:lineRule="auto"/>
              <w:rPr>
                <w:rFonts w:ascii="Times New Roman" w:hAnsi="Times New Roman"/>
                <w:lang w:val="es-CO"/>
              </w:rPr>
            </w:pPr>
            <w:r w:rsidRPr="007F2045">
              <w:rPr>
                <w:rFonts w:ascii="Times New Roman" w:hAnsi="Times New Roman"/>
                <w:bCs/>
                <w:lang w:val="es-CO" w:eastAsia="es-CO"/>
              </w:rPr>
              <w:t xml:space="preserve">La Corte indicó que no era procedente la suspensión provisional debido a que dicha </w:t>
            </w:r>
            <w:r w:rsidRPr="007F2045">
              <w:rPr>
                <w:rFonts w:ascii="Times New Roman" w:hAnsi="Times New Roman"/>
                <w:bCs/>
                <w:iCs/>
                <w:lang w:val="es-CO" w:eastAsia="es-CO"/>
              </w:rPr>
              <w:t>figura no est</w:t>
            </w:r>
            <w:r w:rsidR="009F1BDE" w:rsidRPr="007F2045">
              <w:rPr>
                <w:rFonts w:ascii="Times New Roman" w:hAnsi="Times New Roman"/>
                <w:bCs/>
                <w:iCs/>
                <w:lang w:val="es-CO" w:eastAsia="es-CO"/>
              </w:rPr>
              <w:t>á</w:t>
            </w:r>
            <w:r w:rsidRPr="007F2045">
              <w:rPr>
                <w:rFonts w:ascii="Times New Roman" w:hAnsi="Times New Roman"/>
                <w:bCs/>
                <w:iCs/>
                <w:lang w:val="es-CO" w:eastAsia="es-CO"/>
              </w:rPr>
              <w:t xml:space="preserve"> prevista para los procesos de control abstracto de constitucionalidad</w:t>
            </w:r>
            <w:r w:rsidR="00275FCF" w:rsidRPr="007F2045">
              <w:rPr>
                <w:rFonts w:ascii="Times New Roman" w:hAnsi="Times New Roman"/>
                <w:bCs/>
                <w:iCs/>
                <w:lang w:val="es-CO" w:eastAsia="es-CO"/>
              </w:rPr>
              <w:t>.</w:t>
            </w:r>
          </w:p>
        </w:tc>
      </w:tr>
      <w:tr w:rsidR="001559F8" w:rsidRPr="007F2045" w14:paraId="136B2703" w14:textId="77777777" w:rsidTr="5C4BFFD6">
        <w:tc>
          <w:tcPr>
            <w:tcW w:w="3681" w:type="dxa"/>
          </w:tcPr>
          <w:p w14:paraId="3E506ABA" w14:textId="77777777" w:rsidR="00684A8D" w:rsidRPr="007F2045" w:rsidRDefault="00684A8D" w:rsidP="001B5728">
            <w:pPr>
              <w:tabs>
                <w:tab w:val="left" w:pos="2049"/>
              </w:tabs>
              <w:spacing w:line="240" w:lineRule="auto"/>
              <w:rPr>
                <w:rFonts w:ascii="Times New Roman" w:hAnsi="Times New Roman"/>
                <w:b/>
                <w:bCs/>
                <w:lang w:val="es-CO"/>
              </w:rPr>
            </w:pPr>
            <w:r w:rsidRPr="007F2045">
              <w:rPr>
                <w:rFonts w:ascii="Times New Roman" w:hAnsi="Times New Roman"/>
                <w:b/>
                <w:bCs/>
                <w:lang w:val="es-CO"/>
              </w:rPr>
              <w:t>Auto 123</w:t>
            </w:r>
            <w:r w:rsidR="00146F6F" w:rsidRPr="007F2045">
              <w:rPr>
                <w:rFonts w:ascii="Times New Roman" w:hAnsi="Times New Roman"/>
                <w:b/>
                <w:bCs/>
                <w:lang w:val="es-CO"/>
              </w:rPr>
              <w:t>/</w:t>
            </w:r>
            <w:r w:rsidRPr="007F2045">
              <w:rPr>
                <w:rFonts w:ascii="Times New Roman" w:hAnsi="Times New Roman"/>
                <w:b/>
                <w:bCs/>
                <w:lang w:val="es-CO"/>
              </w:rPr>
              <w:t>22</w:t>
            </w:r>
          </w:p>
          <w:p w14:paraId="2E1B4527" w14:textId="77777777" w:rsidR="00684A8D" w:rsidRPr="007F2045" w:rsidRDefault="00684A8D" w:rsidP="001B5728">
            <w:pPr>
              <w:spacing w:line="240" w:lineRule="auto"/>
              <w:rPr>
                <w:rFonts w:ascii="Times New Roman" w:hAnsi="Times New Roman"/>
                <w:bCs/>
                <w:lang w:val="es-CO"/>
              </w:rPr>
            </w:pPr>
            <w:r w:rsidRPr="007F2045">
              <w:rPr>
                <w:rFonts w:ascii="Times New Roman" w:hAnsi="Times New Roman"/>
                <w:bCs/>
                <w:lang w:val="es-CO"/>
              </w:rPr>
              <w:t xml:space="preserve">Expediente </w:t>
            </w:r>
            <w:r w:rsidR="00225F18" w:rsidRPr="007F2045">
              <w:rPr>
                <w:rFonts w:ascii="Times New Roman" w:hAnsi="Times New Roman"/>
                <w:bCs/>
                <w:lang w:val="es-CO"/>
              </w:rPr>
              <w:t>D-14522A</w:t>
            </w:r>
            <w:r w:rsidR="00261AE3" w:rsidRPr="007F2045">
              <w:rPr>
                <w:rFonts w:ascii="Times New Roman" w:hAnsi="Times New Roman"/>
                <w:bCs/>
                <w:lang w:val="es-CO"/>
              </w:rPr>
              <w:t>C</w:t>
            </w:r>
          </w:p>
          <w:p w14:paraId="6738AC00" w14:textId="77777777" w:rsidR="00684A8D" w:rsidRPr="007F2045" w:rsidRDefault="00684A8D" w:rsidP="001B5728">
            <w:pPr>
              <w:tabs>
                <w:tab w:val="left" w:pos="2049"/>
              </w:tabs>
              <w:spacing w:line="240" w:lineRule="auto"/>
              <w:rPr>
                <w:rFonts w:ascii="Times New Roman" w:hAnsi="Times New Roman"/>
                <w:b/>
                <w:bCs/>
                <w:lang w:val="es-CO"/>
              </w:rPr>
            </w:pPr>
            <w:r w:rsidRPr="007F2045">
              <w:rPr>
                <w:rFonts w:ascii="Times New Roman" w:hAnsi="Times New Roman"/>
                <w:lang w:val="es-CO"/>
              </w:rPr>
              <w:t>Demanda de inconstitucionalidad en contra de</w:t>
            </w:r>
            <w:r w:rsidR="00261AE3" w:rsidRPr="007F2045">
              <w:rPr>
                <w:rFonts w:ascii="Times New Roman" w:hAnsi="Times New Roman"/>
                <w:lang w:val="es-CO"/>
              </w:rPr>
              <w:t>l </w:t>
            </w:r>
            <w:bookmarkStart w:id="9" w:name="_Hlk95337854"/>
            <w:r w:rsidR="00261AE3" w:rsidRPr="007F2045">
              <w:rPr>
                <w:rFonts w:ascii="Times New Roman" w:hAnsi="Times New Roman"/>
                <w:lang w:val="es-CO"/>
              </w:rPr>
              <w:t>artículo 124 de la Ley 2159 de 2021, “[p]</w:t>
            </w:r>
            <w:proofErr w:type="spellStart"/>
            <w:r w:rsidR="00261AE3" w:rsidRPr="007F2045">
              <w:rPr>
                <w:rFonts w:ascii="Times New Roman" w:hAnsi="Times New Roman"/>
                <w:lang w:val="es-CO"/>
              </w:rPr>
              <w:t>or</w:t>
            </w:r>
            <w:proofErr w:type="spellEnd"/>
            <w:r w:rsidR="00261AE3" w:rsidRPr="007F2045">
              <w:rPr>
                <w:rFonts w:ascii="Times New Roman" w:hAnsi="Times New Roman"/>
                <w:lang w:val="es-CO"/>
              </w:rPr>
              <w:t xml:space="preserve"> la cual se decreta el presupuesto de rentas y recursos de capital y ley de apropiaciones para la vigencia fiscal del 1º de enero al 31 de diciembre de 2022”.</w:t>
            </w:r>
            <w:bookmarkEnd w:id="9"/>
            <w:r w:rsidR="00225F18" w:rsidRPr="007F2045">
              <w:rPr>
                <w:rFonts w:ascii="Times New Roman" w:hAnsi="Times New Roman"/>
                <w:lang w:val="es-CO"/>
              </w:rPr>
              <w:t xml:space="preserve"> </w:t>
            </w:r>
          </w:p>
        </w:tc>
        <w:tc>
          <w:tcPr>
            <w:tcW w:w="5245" w:type="dxa"/>
          </w:tcPr>
          <w:p w14:paraId="042B7D1B" w14:textId="77777777" w:rsidR="00684A8D" w:rsidRPr="007F2045" w:rsidRDefault="00684A8D" w:rsidP="001B5728">
            <w:pPr>
              <w:spacing w:line="240" w:lineRule="auto"/>
              <w:rPr>
                <w:rFonts w:ascii="Times New Roman" w:hAnsi="Times New Roman"/>
                <w:lang w:val="es-CO"/>
              </w:rPr>
            </w:pPr>
            <w:r w:rsidRPr="007F2045">
              <w:rPr>
                <w:rFonts w:ascii="Times New Roman" w:hAnsi="Times New Roman"/>
                <w:bCs/>
                <w:lang w:val="es-CO" w:eastAsia="es-CO"/>
              </w:rPr>
              <w:t xml:space="preserve">La Corte indicó que no era procedente la suspensión provisional debido a que dicha </w:t>
            </w:r>
            <w:r w:rsidRPr="007F2045">
              <w:rPr>
                <w:rFonts w:ascii="Times New Roman" w:hAnsi="Times New Roman"/>
                <w:bCs/>
                <w:iCs/>
                <w:lang w:val="es-CO" w:eastAsia="es-CO"/>
              </w:rPr>
              <w:t>figura no est</w:t>
            </w:r>
            <w:r w:rsidR="009F1BDE" w:rsidRPr="007F2045">
              <w:rPr>
                <w:rFonts w:ascii="Times New Roman" w:hAnsi="Times New Roman"/>
                <w:bCs/>
                <w:iCs/>
                <w:lang w:val="es-CO" w:eastAsia="es-CO"/>
              </w:rPr>
              <w:t>á</w:t>
            </w:r>
            <w:r w:rsidRPr="007F2045">
              <w:rPr>
                <w:rFonts w:ascii="Times New Roman" w:hAnsi="Times New Roman"/>
                <w:bCs/>
                <w:iCs/>
                <w:lang w:val="es-CO" w:eastAsia="es-CO"/>
              </w:rPr>
              <w:t xml:space="preserve"> prevista para los procesos de control abstracto de constitucionalidad</w:t>
            </w:r>
            <w:r w:rsidR="00275FCF" w:rsidRPr="007F2045">
              <w:rPr>
                <w:rFonts w:ascii="Times New Roman" w:hAnsi="Times New Roman"/>
                <w:bCs/>
                <w:iCs/>
                <w:lang w:val="es-CO" w:eastAsia="es-CO"/>
              </w:rPr>
              <w:t>.</w:t>
            </w:r>
          </w:p>
        </w:tc>
      </w:tr>
      <w:tr w:rsidR="001559F8" w:rsidRPr="007F2045" w14:paraId="24F96B2E" w14:textId="77777777" w:rsidTr="5C4BFFD6">
        <w:tc>
          <w:tcPr>
            <w:tcW w:w="3681" w:type="dxa"/>
          </w:tcPr>
          <w:p w14:paraId="10C46C65" w14:textId="77777777" w:rsidR="00684A8D" w:rsidRPr="007F2045" w:rsidRDefault="00684A8D" w:rsidP="001B5728">
            <w:pPr>
              <w:tabs>
                <w:tab w:val="left" w:pos="2049"/>
              </w:tabs>
              <w:spacing w:line="240" w:lineRule="auto"/>
              <w:rPr>
                <w:rFonts w:ascii="Times New Roman" w:hAnsi="Times New Roman"/>
                <w:b/>
                <w:bCs/>
                <w:lang w:val="es-CO"/>
              </w:rPr>
            </w:pPr>
            <w:r w:rsidRPr="007F2045">
              <w:rPr>
                <w:rFonts w:ascii="Times New Roman" w:hAnsi="Times New Roman"/>
                <w:b/>
                <w:bCs/>
                <w:lang w:val="es-CO"/>
              </w:rPr>
              <w:t>Auto 272</w:t>
            </w:r>
            <w:r w:rsidR="00146F6F" w:rsidRPr="007F2045">
              <w:rPr>
                <w:rFonts w:ascii="Times New Roman" w:hAnsi="Times New Roman"/>
                <w:b/>
                <w:bCs/>
                <w:lang w:val="es-CO"/>
              </w:rPr>
              <w:t>/</w:t>
            </w:r>
            <w:r w:rsidRPr="007F2045">
              <w:rPr>
                <w:rFonts w:ascii="Times New Roman" w:hAnsi="Times New Roman"/>
                <w:b/>
                <w:bCs/>
                <w:lang w:val="es-CO"/>
              </w:rPr>
              <w:t>23</w:t>
            </w:r>
          </w:p>
          <w:p w14:paraId="5A7F0B0C" w14:textId="77777777" w:rsidR="00684A8D" w:rsidRPr="007F2045" w:rsidRDefault="00684A8D" w:rsidP="001B5728">
            <w:pPr>
              <w:tabs>
                <w:tab w:val="left" w:pos="2049"/>
              </w:tabs>
              <w:spacing w:line="240" w:lineRule="auto"/>
              <w:rPr>
                <w:rFonts w:ascii="Times New Roman" w:hAnsi="Times New Roman"/>
                <w:lang w:val="es-CO"/>
              </w:rPr>
            </w:pPr>
            <w:r w:rsidRPr="007F2045">
              <w:rPr>
                <w:rFonts w:ascii="Times New Roman" w:hAnsi="Times New Roman"/>
                <w:lang w:val="es-CO"/>
              </w:rPr>
              <w:t>Expediente D-15.040</w:t>
            </w:r>
          </w:p>
          <w:p w14:paraId="56D7B994" w14:textId="77777777" w:rsidR="00684A8D" w:rsidRPr="007F2045" w:rsidRDefault="00684A8D" w:rsidP="001B5728">
            <w:pPr>
              <w:tabs>
                <w:tab w:val="left" w:pos="2049"/>
              </w:tabs>
              <w:spacing w:line="240" w:lineRule="auto"/>
              <w:rPr>
                <w:rFonts w:ascii="Times New Roman" w:hAnsi="Times New Roman"/>
                <w:lang w:val="es-CO"/>
              </w:rPr>
            </w:pPr>
            <w:r w:rsidRPr="007F2045">
              <w:rPr>
                <w:rFonts w:ascii="Times New Roman" w:hAnsi="Times New Roman"/>
                <w:lang w:val="es-CO"/>
              </w:rPr>
              <w:t>Solicitud de suspensión provisional de los incisos tercero y cuarto del numeral segundo del literal (c) del artículo 2º de la Ley 2272 de 2022</w:t>
            </w:r>
          </w:p>
        </w:tc>
        <w:tc>
          <w:tcPr>
            <w:tcW w:w="5245" w:type="dxa"/>
          </w:tcPr>
          <w:p w14:paraId="2CF74406" w14:textId="77777777" w:rsidR="00684A8D" w:rsidRPr="007F2045" w:rsidRDefault="00684A8D" w:rsidP="001B5728">
            <w:pPr>
              <w:spacing w:line="240" w:lineRule="auto"/>
              <w:rPr>
                <w:rFonts w:ascii="Times New Roman" w:hAnsi="Times New Roman"/>
                <w:lang w:val="es-CO"/>
              </w:rPr>
            </w:pPr>
            <w:r w:rsidRPr="007F2045">
              <w:rPr>
                <w:rFonts w:ascii="Times New Roman" w:hAnsi="Times New Roman"/>
                <w:lang w:val="es-CO"/>
              </w:rPr>
              <w:t>La Corte reconoció su competencia excepcional para suspender provisionalmente normas legales. Indicó que esa competencia se aceptaba sin perjuicio de las consideraciones derivadas de la sentencia C-179 de 1994. La providencia recordó que, en decisiones como el auto 161 de 2020 y la sentencia C-193 de 2020, se rechazaron solicitudes de suspensión de decretos legislativos precisamente bajo el argumento de que la función de la Corte en estos casos es decidir definitivamente en los “estrictos y precisos términos” del artículo 241 de la Constitución, lo que excluye las medidas cautelares en este tipo de normas.</w:t>
            </w:r>
          </w:p>
        </w:tc>
      </w:tr>
      <w:tr w:rsidR="00623458" w:rsidRPr="007F2045" w14:paraId="0AC332AD" w14:textId="77777777" w:rsidTr="00DA61B2">
        <w:trPr>
          <w:trHeight w:val="1875"/>
        </w:trPr>
        <w:tc>
          <w:tcPr>
            <w:tcW w:w="3681" w:type="dxa"/>
          </w:tcPr>
          <w:p w14:paraId="0F9184C1" w14:textId="77777777" w:rsidR="00623458" w:rsidRPr="007F2045" w:rsidRDefault="00623458" w:rsidP="001B5728">
            <w:pPr>
              <w:tabs>
                <w:tab w:val="left" w:pos="2049"/>
              </w:tabs>
              <w:spacing w:line="240" w:lineRule="auto"/>
              <w:rPr>
                <w:rFonts w:ascii="Times New Roman" w:hAnsi="Times New Roman"/>
                <w:b/>
                <w:bCs/>
                <w:lang w:val="es-CO"/>
              </w:rPr>
            </w:pPr>
            <w:r w:rsidRPr="007F2045">
              <w:rPr>
                <w:rFonts w:ascii="Times New Roman" w:hAnsi="Times New Roman"/>
                <w:b/>
                <w:bCs/>
                <w:lang w:val="es-CO"/>
              </w:rPr>
              <w:t>Sentencia C-463 de 2023</w:t>
            </w:r>
          </w:p>
          <w:p w14:paraId="5C9E86B3" w14:textId="77777777" w:rsidR="00623458" w:rsidRPr="007F2045" w:rsidRDefault="00623458" w:rsidP="001B5728">
            <w:pPr>
              <w:tabs>
                <w:tab w:val="left" w:pos="2049"/>
              </w:tabs>
              <w:spacing w:line="240" w:lineRule="auto"/>
              <w:rPr>
                <w:rFonts w:ascii="Times New Roman" w:hAnsi="Times New Roman"/>
                <w:bCs/>
                <w:lang w:val="es-CO"/>
              </w:rPr>
            </w:pPr>
            <w:r w:rsidRPr="007F2045">
              <w:rPr>
                <w:rFonts w:ascii="Times New Roman" w:hAnsi="Times New Roman"/>
                <w:bCs/>
                <w:lang w:val="es-CO"/>
              </w:rPr>
              <w:t>Expediente RE-358</w:t>
            </w:r>
          </w:p>
          <w:p w14:paraId="48A26FC5" w14:textId="77777777" w:rsidR="00623458" w:rsidRPr="007F2045" w:rsidRDefault="00623458" w:rsidP="001B5728">
            <w:pPr>
              <w:tabs>
                <w:tab w:val="left" w:pos="2049"/>
              </w:tabs>
              <w:spacing w:line="240" w:lineRule="auto"/>
              <w:rPr>
                <w:rFonts w:ascii="Times New Roman" w:hAnsi="Times New Roman"/>
                <w:bCs/>
                <w:lang w:val="es-CO"/>
              </w:rPr>
            </w:pPr>
            <w:r w:rsidRPr="007F2045">
              <w:rPr>
                <w:rFonts w:ascii="Times New Roman" w:hAnsi="Times New Roman"/>
                <w:bCs/>
                <w:lang w:val="es-CO"/>
              </w:rPr>
              <w:t>Revisión de constitucionalidad del Decreto de desarrollo 1276 de 2023</w:t>
            </w:r>
          </w:p>
        </w:tc>
        <w:tc>
          <w:tcPr>
            <w:tcW w:w="5245" w:type="dxa"/>
          </w:tcPr>
          <w:p w14:paraId="1AA6C43E" w14:textId="77777777" w:rsidR="00623458" w:rsidRPr="007F2045" w:rsidRDefault="00623458" w:rsidP="001B5728">
            <w:pPr>
              <w:spacing w:line="240" w:lineRule="auto"/>
              <w:rPr>
                <w:rFonts w:ascii="Times New Roman" w:hAnsi="Times New Roman"/>
                <w:lang w:val="es-CO"/>
              </w:rPr>
            </w:pPr>
            <w:r w:rsidRPr="007F2045">
              <w:rPr>
                <w:rFonts w:ascii="Times New Roman" w:hAnsi="Times New Roman"/>
                <w:lang w:val="es-CO"/>
              </w:rPr>
              <w:t>La Corte refirió lo indicado en el auto 272 de 2023 y señaló que “[</w:t>
            </w:r>
            <w:r w:rsidRPr="007F2045">
              <w:rPr>
                <w:rFonts w:ascii="Times New Roman" w:hAnsi="Times New Roman"/>
              </w:rPr>
              <w:t>l</w:t>
            </w:r>
            <w:r w:rsidRPr="007F2045">
              <w:rPr>
                <w:rFonts w:ascii="Times New Roman" w:hAnsi="Times New Roman"/>
                <w:color w:val="2D2D2D"/>
                <w:shd w:val="clear" w:color="auto" w:fill="FFFFFF"/>
              </w:rPr>
              <w:t>]a Sentencia C-179 de 1994, mediante la cual revisó la constitucionalidad de la Ley Estatutaria sobre los estados de excepción, indicó que el control que se debe hacer a los decretos legislativos expedidos con fundamento en los artículos 212 a 215 de la constitución tiene el carácter de definitivo, por lo que era inconstitucional aquella medida que permitía su suspensión provisional”.</w:t>
            </w:r>
          </w:p>
        </w:tc>
      </w:tr>
    </w:tbl>
    <w:p w14:paraId="7D7BDA81" w14:textId="77777777" w:rsidR="00684A8D" w:rsidRPr="007F2045" w:rsidRDefault="00684A8D" w:rsidP="001B5728">
      <w:pPr>
        <w:tabs>
          <w:tab w:val="left" w:pos="284"/>
          <w:tab w:val="left" w:pos="426"/>
        </w:tabs>
        <w:spacing w:after="0" w:line="240" w:lineRule="auto"/>
        <w:rPr>
          <w:rFonts w:ascii="Times New Roman" w:hAnsi="Times New Roman"/>
          <w:b/>
          <w:sz w:val="28"/>
          <w:szCs w:val="28"/>
          <w:lang w:val="es-CO"/>
        </w:rPr>
      </w:pPr>
    </w:p>
    <w:p w14:paraId="137A87E5" w14:textId="77777777" w:rsidR="00684A8D" w:rsidRPr="007F2045" w:rsidRDefault="429648B7"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Así, la </w:t>
      </w:r>
      <w:r w:rsidR="6FF1B433" w:rsidRPr="007F2045">
        <w:rPr>
          <w:rFonts w:ascii="Times New Roman" w:hAnsi="Times New Roman"/>
          <w:sz w:val="28"/>
          <w:szCs w:val="28"/>
          <w:lang w:val="es-CO"/>
        </w:rPr>
        <w:t>Sala Plena no se ha pronunciado expresamente sobre la procedencia de la solicitud de suspensión provisional de un decreto que hubier</w:t>
      </w:r>
      <w:r w:rsidRPr="007F2045">
        <w:rPr>
          <w:rFonts w:ascii="Times New Roman" w:hAnsi="Times New Roman"/>
          <w:sz w:val="28"/>
          <w:szCs w:val="28"/>
          <w:lang w:val="es-CO"/>
        </w:rPr>
        <w:t>e</w:t>
      </w:r>
      <w:r w:rsidR="6FF1B433" w:rsidRPr="007F2045">
        <w:rPr>
          <w:rFonts w:ascii="Times New Roman" w:hAnsi="Times New Roman"/>
          <w:sz w:val="28"/>
          <w:szCs w:val="28"/>
          <w:lang w:val="es-CO"/>
        </w:rPr>
        <w:t xml:space="preserve"> declarado un estado de excepción. A pesar de ello</w:t>
      </w:r>
      <w:r w:rsidRPr="007F2045">
        <w:rPr>
          <w:rFonts w:ascii="Times New Roman" w:hAnsi="Times New Roman"/>
          <w:sz w:val="28"/>
          <w:szCs w:val="28"/>
          <w:lang w:val="es-CO"/>
        </w:rPr>
        <w:t>,</w:t>
      </w:r>
      <w:r w:rsidR="6FF1B433" w:rsidRPr="007F2045">
        <w:rPr>
          <w:rFonts w:ascii="Times New Roman" w:hAnsi="Times New Roman"/>
          <w:sz w:val="28"/>
          <w:szCs w:val="28"/>
          <w:lang w:val="es-CO"/>
        </w:rPr>
        <w:t xml:space="preserve"> </w:t>
      </w:r>
      <w:r w:rsidR="00FD2894" w:rsidRPr="007F2045">
        <w:rPr>
          <w:rFonts w:ascii="Times New Roman" w:hAnsi="Times New Roman"/>
          <w:sz w:val="28"/>
          <w:szCs w:val="28"/>
          <w:lang w:val="es-CO"/>
        </w:rPr>
        <w:t>este Tribunal</w:t>
      </w:r>
      <w:r w:rsidR="6FF1B433" w:rsidRPr="007F2045">
        <w:rPr>
          <w:rFonts w:ascii="Times New Roman" w:hAnsi="Times New Roman"/>
          <w:sz w:val="28"/>
          <w:szCs w:val="28"/>
          <w:lang w:val="es-CO"/>
        </w:rPr>
        <w:t xml:space="preserve"> no puede desconocer que varios de tales pronunciamientos expresan razones que, al menos</w:t>
      </w:r>
      <w:r w:rsidR="006C3EFA" w:rsidRPr="007F2045">
        <w:rPr>
          <w:rFonts w:ascii="Times New Roman" w:hAnsi="Times New Roman"/>
          <w:sz w:val="28"/>
          <w:szCs w:val="28"/>
          <w:lang w:val="es-CO"/>
        </w:rPr>
        <w:t>,</w:t>
      </w:r>
      <w:r w:rsidR="6FF1B433" w:rsidRPr="007F2045">
        <w:rPr>
          <w:rFonts w:ascii="Times New Roman" w:hAnsi="Times New Roman"/>
          <w:sz w:val="28"/>
          <w:szCs w:val="28"/>
          <w:lang w:val="es-CO"/>
        </w:rPr>
        <w:t xml:space="preserve"> en principio, podrían extenderse a tales decretos. En esa dirección, la Corte ha insistido </w:t>
      </w:r>
      <w:r w:rsidR="008C06D1" w:rsidRPr="007F2045">
        <w:rPr>
          <w:rFonts w:ascii="Times New Roman" w:hAnsi="Times New Roman"/>
          <w:sz w:val="28"/>
          <w:szCs w:val="28"/>
          <w:lang w:val="es-CO"/>
        </w:rPr>
        <w:t xml:space="preserve">en lo siguiente: </w:t>
      </w:r>
      <w:r w:rsidR="6FF1B433" w:rsidRPr="007F2045">
        <w:rPr>
          <w:rFonts w:ascii="Times New Roman" w:hAnsi="Times New Roman"/>
          <w:i/>
          <w:iCs/>
          <w:sz w:val="28"/>
          <w:szCs w:val="28"/>
          <w:lang w:val="es-CO"/>
        </w:rPr>
        <w:t xml:space="preserve">(i) </w:t>
      </w:r>
      <w:r w:rsidR="008C06D1" w:rsidRPr="007F2045">
        <w:rPr>
          <w:rFonts w:ascii="Times New Roman" w:hAnsi="Times New Roman"/>
          <w:sz w:val="28"/>
          <w:szCs w:val="28"/>
          <w:lang w:val="es-CO"/>
        </w:rPr>
        <w:t xml:space="preserve">que, </w:t>
      </w:r>
      <w:r w:rsidR="52FE6BC2" w:rsidRPr="007F2045">
        <w:rPr>
          <w:rFonts w:ascii="Times New Roman" w:hAnsi="Times New Roman"/>
          <w:sz w:val="28"/>
          <w:szCs w:val="28"/>
          <w:lang w:val="es-CO"/>
        </w:rPr>
        <w:t xml:space="preserve">conforme </w:t>
      </w:r>
      <w:r w:rsidR="006C3EFA" w:rsidRPr="007F2045">
        <w:rPr>
          <w:rFonts w:ascii="Times New Roman" w:hAnsi="Times New Roman"/>
          <w:sz w:val="28"/>
          <w:szCs w:val="28"/>
          <w:lang w:val="es-CO"/>
        </w:rPr>
        <w:t xml:space="preserve">con </w:t>
      </w:r>
      <w:r w:rsidR="52FE6BC2" w:rsidRPr="007F2045">
        <w:rPr>
          <w:rFonts w:ascii="Times New Roman" w:hAnsi="Times New Roman"/>
          <w:sz w:val="28"/>
          <w:szCs w:val="28"/>
          <w:lang w:val="es-CO"/>
        </w:rPr>
        <w:t xml:space="preserve">lo </w:t>
      </w:r>
      <w:r w:rsidR="2A64272A" w:rsidRPr="007F2045">
        <w:rPr>
          <w:rFonts w:ascii="Times New Roman" w:hAnsi="Times New Roman"/>
          <w:sz w:val="28"/>
          <w:szCs w:val="28"/>
          <w:lang w:val="es-CO"/>
        </w:rPr>
        <w:t>previsto</w:t>
      </w:r>
      <w:r w:rsidR="6FF1B433" w:rsidRPr="007F2045">
        <w:rPr>
          <w:rFonts w:ascii="Times New Roman" w:hAnsi="Times New Roman"/>
          <w:sz w:val="28"/>
          <w:szCs w:val="28"/>
          <w:lang w:val="es-CO"/>
        </w:rPr>
        <w:t xml:space="preserve"> en los artículos 214.6 y 241.7 </w:t>
      </w:r>
      <w:r w:rsidR="52FE6BC2" w:rsidRPr="007F2045">
        <w:rPr>
          <w:rFonts w:ascii="Times New Roman" w:hAnsi="Times New Roman"/>
          <w:sz w:val="28"/>
          <w:szCs w:val="28"/>
          <w:lang w:val="es-CO"/>
        </w:rPr>
        <w:t xml:space="preserve">de la Constitución, le corresponde </w:t>
      </w:r>
      <w:r w:rsidR="6FF1B433" w:rsidRPr="007F2045">
        <w:rPr>
          <w:rFonts w:ascii="Times New Roman" w:hAnsi="Times New Roman"/>
          <w:sz w:val="28"/>
          <w:szCs w:val="28"/>
          <w:lang w:val="es-CO"/>
        </w:rPr>
        <w:t xml:space="preserve">decidir </w:t>
      </w:r>
      <w:r w:rsidR="6FF1B433" w:rsidRPr="007F2045">
        <w:rPr>
          <w:rFonts w:ascii="Times New Roman" w:hAnsi="Times New Roman"/>
          <w:i/>
          <w:sz w:val="28"/>
          <w:szCs w:val="28"/>
          <w:lang w:val="es-CO"/>
        </w:rPr>
        <w:t xml:space="preserve">definitivamente </w:t>
      </w:r>
      <w:r w:rsidR="6FF1B433" w:rsidRPr="007F2045">
        <w:rPr>
          <w:rFonts w:ascii="Times New Roman" w:hAnsi="Times New Roman"/>
          <w:sz w:val="28"/>
          <w:szCs w:val="28"/>
          <w:lang w:val="es-CO"/>
        </w:rPr>
        <w:t xml:space="preserve">sobre la constitucionalidad de los decretos legislativos; </w:t>
      </w:r>
      <w:r w:rsidR="6FF1B433" w:rsidRPr="007F2045">
        <w:rPr>
          <w:rFonts w:ascii="Times New Roman" w:hAnsi="Times New Roman"/>
          <w:i/>
          <w:iCs/>
          <w:sz w:val="28"/>
          <w:szCs w:val="28"/>
          <w:lang w:val="es-CO"/>
        </w:rPr>
        <w:t>(</w:t>
      </w:r>
      <w:proofErr w:type="spellStart"/>
      <w:r w:rsidR="6FF1B433" w:rsidRPr="007F2045">
        <w:rPr>
          <w:rFonts w:ascii="Times New Roman" w:hAnsi="Times New Roman"/>
          <w:i/>
          <w:iCs/>
          <w:sz w:val="28"/>
          <w:szCs w:val="28"/>
          <w:lang w:val="es-CO"/>
        </w:rPr>
        <w:t>ii</w:t>
      </w:r>
      <w:proofErr w:type="spellEnd"/>
      <w:r w:rsidR="6FF1B433" w:rsidRPr="007F2045">
        <w:rPr>
          <w:rFonts w:ascii="Times New Roman" w:hAnsi="Times New Roman"/>
          <w:i/>
          <w:iCs/>
          <w:sz w:val="28"/>
          <w:szCs w:val="28"/>
          <w:lang w:val="es-CO"/>
        </w:rPr>
        <w:t>)</w:t>
      </w:r>
      <w:r w:rsidR="6FF1B433" w:rsidRPr="007F2045">
        <w:rPr>
          <w:rFonts w:ascii="Times New Roman" w:hAnsi="Times New Roman"/>
          <w:sz w:val="28"/>
          <w:szCs w:val="28"/>
          <w:lang w:val="es-CO"/>
        </w:rPr>
        <w:t xml:space="preserve"> que la Constitución no estableció expresamente la facultad de suspensión provisional y, en particular, no lo hizo respecto de tal tipo de decretos; y </w:t>
      </w:r>
      <w:r w:rsidR="6FF1B433" w:rsidRPr="007F2045">
        <w:rPr>
          <w:rFonts w:ascii="Times New Roman" w:hAnsi="Times New Roman"/>
          <w:i/>
          <w:iCs/>
          <w:sz w:val="28"/>
          <w:szCs w:val="28"/>
          <w:lang w:val="es-CO"/>
        </w:rPr>
        <w:t>(</w:t>
      </w:r>
      <w:proofErr w:type="spellStart"/>
      <w:r w:rsidR="6FF1B433" w:rsidRPr="007F2045">
        <w:rPr>
          <w:rFonts w:ascii="Times New Roman" w:hAnsi="Times New Roman"/>
          <w:i/>
          <w:iCs/>
          <w:sz w:val="28"/>
          <w:szCs w:val="28"/>
          <w:lang w:val="es-CO"/>
        </w:rPr>
        <w:t>iii</w:t>
      </w:r>
      <w:proofErr w:type="spellEnd"/>
      <w:r w:rsidR="6FF1B433" w:rsidRPr="007F2045">
        <w:rPr>
          <w:rFonts w:ascii="Times New Roman" w:hAnsi="Times New Roman"/>
          <w:i/>
          <w:iCs/>
          <w:sz w:val="28"/>
          <w:szCs w:val="28"/>
          <w:lang w:val="es-CO"/>
        </w:rPr>
        <w:t>)</w:t>
      </w:r>
      <w:r w:rsidR="6FF1B433" w:rsidRPr="007F2045">
        <w:rPr>
          <w:rFonts w:ascii="Times New Roman" w:hAnsi="Times New Roman"/>
          <w:sz w:val="28"/>
          <w:szCs w:val="28"/>
          <w:lang w:val="es-CO"/>
        </w:rPr>
        <w:t xml:space="preserve"> que no es posible extender las reglas previstas en el Decreto </w:t>
      </w:r>
      <w:r w:rsidR="674EB737" w:rsidRPr="007F2045">
        <w:rPr>
          <w:rFonts w:ascii="Times New Roman" w:hAnsi="Times New Roman"/>
          <w:sz w:val="28"/>
          <w:szCs w:val="28"/>
          <w:lang w:val="es-CO"/>
        </w:rPr>
        <w:t xml:space="preserve">Ley </w:t>
      </w:r>
      <w:r w:rsidR="6FF1B433" w:rsidRPr="007F2045">
        <w:rPr>
          <w:rFonts w:ascii="Times New Roman" w:hAnsi="Times New Roman"/>
          <w:sz w:val="28"/>
          <w:szCs w:val="28"/>
          <w:lang w:val="es-CO"/>
        </w:rPr>
        <w:t xml:space="preserve">2591 de 1991 al régimen del control abstracto. </w:t>
      </w:r>
    </w:p>
    <w:p w14:paraId="5EBC0793" w14:textId="77777777" w:rsidR="00684A8D" w:rsidRPr="007F2045" w:rsidRDefault="00684A8D" w:rsidP="001B5728">
      <w:pPr>
        <w:pStyle w:val="Prrafodelista"/>
        <w:tabs>
          <w:tab w:val="left" w:pos="284"/>
          <w:tab w:val="left" w:pos="426"/>
        </w:tabs>
        <w:spacing w:after="0" w:line="240" w:lineRule="auto"/>
        <w:ind w:left="0"/>
        <w:rPr>
          <w:rFonts w:ascii="Times New Roman" w:hAnsi="Times New Roman"/>
          <w:sz w:val="28"/>
          <w:szCs w:val="28"/>
          <w:lang w:val="es-CO"/>
        </w:rPr>
      </w:pPr>
    </w:p>
    <w:p w14:paraId="6E7B72C2" w14:textId="77777777" w:rsidR="00684A8D" w:rsidRPr="007F2045" w:rsidRDefault="00684A8D"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Esas razones son </w:t>
      </w:r>
      <w:r w:rsidR="00FD2894" w:rsidRPr="007F2045">
        <w:rPr>
          <w:rFonts w:ascii="Times New Roman" w:hAnsi="Times New Roman"/>
          <w:sz w:val="28"/>
          <w:szCs w:val="28"/>
          <w:lang w:val="es-CO"/>
        </w:rPr>
        <w:t>importantes</w:t>
      </w:r>
      <w:r w:rsidR="009B6BFB" w:rsidRPr="007F2045">
        <w:rPr>
          <w:rFonts w:ascii="Times New Roman" w:hAnsi="Times New Roman"/>
          <w:sz w:val="28"/>
          <w:szCs w:val="28"/>
          <w:lang w:val="es-CO"/>
        </w:rPr>
        <w:t>,</w:t>
      </w:r>
      <w:r w:rsidRPr="007F2045">
        <w:rPr>
          <w:rFonts w:ascii="Times New Roman" w:hAnsi="Times New Roman"/>
          <w:sz w:val="28"/>
          <w:szCs w:val="28"/>
          <w:lang w:val="es-CO"/>
        </w:rPr>
        <w:t xml:space="preserve"> en tanto se apoyan en la interpretación de disposiciones que definen las competencias de control de la Corte. Sin embargo, ninguno de tales pronunciamientos</w:t>
      </w:r>
      <w:r w:rsidR="0046308D" w:rsidRPr="007F2045">
        <w:rPr>
          <w:rFonts w:ascii="Times New Roman" w:hAnsi="Times New Roman"/>
          <w:sz w:val="28"/>
          <w:szCs w:val="28"/>
          <w:lang w:val="es-CO"/>
        </w:rPr>
        <w:t>,</w:t>
      </w:r>
      <w:r w:rsidRPr="007F2045">
        <w:rPr>
          <w:rFonts w:ascii="Times New Roman" w:hAnsi="Times New Roman"/>
          <w:sz w:val="28"/>
          <w:szCs w:val="28"/>
          <w:lang w:val="es-CO"/>
        </w:rPr>
        <w:t xml:space="preserve"> ni la sentencia C-179 de 1994, </w:t>
      </w:r>
      <w:r w:rsidR="00AE65D2" w:rsidRPr="007F2045">
        <w:rPr>
          <w:rFonts w:ascii="Times New Roman" w:hAnsi="Times New Roman"/>
          <w:sz w:val="28"/>
          <w:szCs w:val="28"/>
          <w:lang w:val="es-CO"/>
        </w:rPr>
        <w:t xml:space="preserve">se han </w:t>
      </w:r>
      <w:r w:rsidR="00AE65D2" w:rsidRPr="007F2045">
        <w:rPr>
          <w:rFonts w:ascii="Times New Roman" w:hAnsi="Times New Roman"/>
          <w:sz w:val="28"/>
          <w:szCs w:val="28"/>
          <w:lang w:val="es-CO"/>
        </w:rPr>
        <w:lastRenderedPageBreak/>
        <w:t>ocupado de explicar, de manera detallada,</w:t>
      </w:r>
      <w:r w:rsidR="0050444F" w:rsidRPr="007F2045">
        <w:rPr>
          <w:rFonts w:ascii="Times New Roman" w:hAnsi="Times New Roman"/>
          <w:sz w:val="28"/>
          <w:szCs w:val="28"/>
          <w:lang w:val="es-CO"/>
        </w:rPr>
        <w:t xml:space="preserve"> los</w:t>
      </w:r>
      <w:r w:rsidR="00AE65D2" w:rsidRPr="007F2045">
        <w:rPr>
          <w:rFonts w:ascii="Times New Roman" w:hAnsi="Times New Roman"/>
          <w:sz w:val="28"/>
          <w:szCs w:val="28"/>
          <w:lang w:val="es-CO"/>
        </w:rPr>
        <w:t xml:space="preserve"> </w:t>
      </w:r>
      <w:r w:rsidR="0088770D" w:rsidRPr="007F2045">
        <w:rPr>
          <w:rFonts w:ascii="Times New Roman" w:hAnsi="Times New Roman"/>
          <w:sz w:val="28"/>
          <w:szCs w:val="28"/>
          <w:lang w:val="es-CO"/>
        </w:rPr>
        <w:t>elementos</w:t>
      </w:r>
      <w:r w:rsidR="00D84463" w:rsidRPr="007F2045">
        <w:rPr>
          <w:rFonts w:ascii="Times New Roman" w:hAnsi="Times New Roman"/>
          <w:sz w:val="28"/>
          <w:szCs w:val="28"/>
          <w:lang w:val="es-CO"/>
        </w:rPr>
        <w:t xml:space="preserve"> esenciales que deben ser tenidos en cuenta para efectos de </w:t>
      </w:r>
      <w:r w:rsidRPr="007F2045">
        <w:rPr>
          <w:rFonts w:ascii="Times New Roman" w:hAnsi="Times New Roman"/>
          <w:sz w:val="28"/>
          <w:szCs w:val="28"/>
          <w:lang w:val="es-CO"/>
        </w:rPr>
        <w:t xml:space="preserve"> definir la procedencia de la suspensión de los </w:t>
      </w:r>
      <w:r w:rsidRPr="007F2045">
        <w:rPr>
          <w:rFonts w:ascii="Times New Roman" w:hAnsi="Times New Roman"/>
          <w:i/>
          <w:iCs/>
          <w:sz w:val="28"/>
          <w:szCs w:val="28"/>
          <w:lang w:val="es-CO"/>
        </w:rPr>
        <w:t>decretos declaratorios</w:t>
      </w:r>
      <w:r w:rsidR="00203EA9" w:rsidRPr="007F2045">
        <w:rPr>
          <w:rFonts w:ascii="Times New Roman" w:hAnsi="Times New Roman"/>
          <w:sz w:val="28"/>
          <w:szCs w:val="28"/>
          <w:lang w:val="es-CO"/>
        </w:rPr>
        <w:t>,</w:t>
      </w:r>
      <w:r w:rsidRPr="007F2045">
        <w:rPr>
          <w:rFonts w:ascii="Times New Roman" w:hAnsi="Times New Roman"/>
          <w:sz w:val="28"/>
          <w:szCs w:val="28"/>
          <w:lang w:val="es-CO"/>
        </w:rPr>
        <w:t xml:space="preserve"> </w:t>
      </w:r>
      <w:r w:rsidR="0088770D" w:rsidRPr="007F2045">
        <w:rPr>
          <w:rFonts w:ascii="Times New Roman" w:hAnsi="Times New Roman"/>
          <w:sz w:val="28"/>
          <w:szCs w:val="28"/>
          <w:lang w:val="es-CO"/>
        </w:rPr>
        <w:t>como lo son</w:t>
      </w:r>
      <w:r w:rsidR="009B6BFB" w:rsidRPr="007F2045">
        <w:rPr>
          <w:rFonts w:ascii="Times New Roman" w:hAnsi="Times New Roman"/>
          <w:sz w:val="28"/>
          <w:szCs w:val="28"/>
          <w:lang w:val="es-CO"/>
        </w:rPr>
        <w:t xml:space="preserve">: </w:t>
      </w:r>
      <w:r w:rsidRPr="007F2045">
        <w:rPr>
          <w:rFonts w:ascii="Times New Roman" w:hAnsi="Times New Roman"/>
          <w:i/>
          <w:iCs/>
          <w:sz w:val="28"/>
          <w:szCs w:val="28"/>
          <w:lang w:val="es-CO"/>
        </w:rPr>
        <w:t>(i)</w:t>
      </w:r>
      <w:r w:rsidRPr="007F2045">
        <w:rPr>
          <w:rFonts w:ascii="Times New Roman" w:hAnsi="Times New Roman"/>
          <w:sz w:val="28"/>
          <w:szCs w:val="28"/>
          <w:lang w:val="es-CO"/>
        </w:rPr>
        <w:t xml:space="preserve"> la función jurídica que le atribuye la Constitución</w:t>
      </w:r>
      <w:r w:rsidR="009B6BFB" w:rsidRPr="007F2045">
        <w:rPr>
          <w:rFonts w:ascii="Times New Roman" w:hAnsi="Times New Roman"/>
          <w:sz w:val="28"/>
          <w:szCs w:val="28"/>
          <w:lang w:val="es-CO"/>
        </w:rPr>
        <w:t xml:space="preserve"> a esta</w:t>
      </w:r>
      <w:r w:rsidR="00623458" w:rsidRPr="007F2045">
        <w:rPr>
          <w:rFonts w:ascii="Times New Roman" w:hAnsi="Times New Roman"/>
          <w:sz w:val="28"/>
          <w:szCs w:val="28"/>
          <w:lang w:val="es-CO"/>
        </w:rPr>
        <w:t xml:space="preserve"> atribución</w:t>
      </w:r>
      <w:r w:rsidR="009B6BFB" w:rsidRPr="007F2045">
        <w:rPr>
          <w:rFonts w:ascii="Times New Roman" w:hAnsi="Times New Roman"/>
          <w:sz w:val="28"/>
          <w:szCs w:val="28"/>
          <w:lang w:val="es-CO"/>
        </w:rPr>
        <w:t xml:space="preserve"> excepcional a favor del presidente de la República</w:t>
      </w:r>
      <w:r w:rsidRPr="007F2045">
        <w:rPr>
          <w:rFonts w:ascii="Times New Roman" w:hAnsi="Times New Roman"/>
          <w:sz w:val="28"/>
          <w:szCs w:val="28"/>
          <w:lang w:val="es-CO"/>
        </w:rPr>
        <w:t xml:space="preserve">; </w:t>
      </w:r>
      <w:r w:rsidRPr="007F2045">
        <w:rPr>
          <w:rFonts w:ascii="Times New Roman" w:hAnsi="Times New Roman"/>
          <w:i/>
          <w:iCs/>
          <w:sz w:val="28"/>
          <w:szCs w:val="28"/>
          <w:lang w:val="es-CO"/>
        </w:rPr>
        <w:t>(</w:t>
      </w:r>
      <w:proofErr w:type="spellStart"/>
      <w:r w:rsidRPr="007F2045">
        <w:rPr>
          <w:rFonts w:ascii="Times New Roman" w:hAnsi="Times New Roman"/>
          <w:i/>
          <w:iCs/>
          <w:sz w:val="28"/>
          <w:szCs w:val="28"/>
          <w:lang w:val="es-CO"/>
        </w:rPr>
        <w:t>ii</w:t>
      </w:r>
      <w:proofErr w:type="spellEnd"/>
      <w:r w:rsidRPr="007F2045">
        <w:rPr>
          <w:rFonts w:ascii="Times New Roman" w:hAnsi="Times New Roman"/>
          <w:i/>
          <w:iCs/>
          <w:sz w:val="28"/>
          <w:szCs w:val="28"/>
          <w:lang w:val="es-CO"/>
        </w:rPr>
        <w:t>)</w:t>
      </w:r>
      <w:r w:rsidRPr="007F2045">
        <w:rPr>
          <w:rFonts w:ascii="Times New Roman" w:hAnsi="Times New Roman"/>
          <w:sz w:val="28"/>
          <w:szCs w:val="28"/>
          <w:lang w:val="es-CO"/>
        </w:rPr>
        <w:t xml:space="preserve"> la especial naturaleza de su control judicial</w:t>
      </w:r>
      <w:r w:rsidR="009B6BFB" w:rsidRPr="007F2045">
        <w:rPr>
          <w:rFonts w:ascii="Times New Roman" w:hAnsi="Times New Roman"/>
          <w:sz w:val="28"/>
          <w:szCs w:val="28"/>
          <w:lang w:val="es-CO"/>
        </w:rPr>
        <w:t>, decantada en la jurisprudencia de la Corte</w:t>
      </w:r>
      <w:r w:rsidRPr="007F2045">
        <w:rPr>
          <w:rFonts w:ascii="Times New Roman" w:hAnsi="Times New Roman"/>
          <w:sz w:val="28"/>
          <w:szCs w:val="28"/>
          <w:lang w:val="es-CO"/>
        </w:rPr>
        <w:t xml:space="preserve">; </w:t>
      </w:r>
      <w:r w:rsidRPr="007F2045">
        <w:rPr>
          <w:rFonts w:ascii="Times New Roman" w:hAnsi="Times New Roman"/>
          <w:i/>
          <w:iCs/>
          <w:sz w:val="28"/>
          <w:szCs w:val="28"/>
          <w:lang w:val="es-CO"/>
        </w:rPr>
        <w:t>(</w:t>
      </w:r>
      <w:proofErr w:type="spellStart"/>
      <w:r w:rsidRPr="007F2045">
        <w:rPr>
          <w:rFonts w:ascii="Times New Roman" w:hAnsi="Times New Roman"/>
          <w:i/>
          <w:iCs/>
          <w:sz w:val="28"/>
          <w:szCs w:val="28"/>
          <w:lang w:val="es-CO"/>
        </w:rPr>
        <w:t>iii</w:t>
      </w:r>
      <w:proofErr w:type="spellEnd"/>
      <w:r w:rsidRPr="007F2045">
        <w:rPr>
          <w:rFonts w:ascii="Times New Roman" w:hAnsi="Times New Roman"/>
          <w:i/>
          <w:iCs/>
          <w:sz w:val="28"/>
          <w:szCs w:val="28"/>
          <w:lang w:val="es-CO"/>
        </w:rPr>
        <w:t>)</w:t>
      </w:r>
      <w:r w:rsidRPr="007F2045">
        <w:rPr>
          <w:rFonts w:ascii="Times New Roman" w:hAnsi="Times New Roman"/>
          <w:sz w:val="28"/>
          <w:szCs w:val="28"/>
          <w:lang w:val="es-CO"/>
        </w:rPr>
        <w:t xml:space="preserve"> las discusiones </w:t>
      </w:r>
      <w:r w:rsidR="00E060B6" w:rsidRPr="007F2045">
        <w:rPr>
          <w:rFonts w:ascii="Times New Roman" w:hAnsi="Times New Roman"/>
          <w:sz w:val="28"/>
          <w:szCs w:val="28"/>
          <w:lang w:val="es-CO"/>
        </w:rPr>
        <w:t>sobre</w:t>
      </w:r>
      <w:r w:rsidRPr="007F2045">
        <w:rPr>
          <w:rFonts w:ascii="Times New Roman" w:hAnsi="Times New Roman"/>
          <w:sz w:val="28"/>
          <w:szCs w:val="28"/>
          <w:lang w:val="es-CO"/>
        </w:rPr>
        <w:t xml:space="preserve"> los fundamentos de la competencia de </w:t>
      </w:r>
      <w:r w:rsidR="00E060B6" w:rsidRPr="007F2045">
        <w:rPr>
          <w:rFonts w:ascii="Times New Roman" w:hAnsi="Times New Roman"/>
          <w:sz w:val="28"/>
          <w:szCs w:val="28"/>
          <w:lang w:val="es-CO"/>
        </w:rPr>
        <w:t>este Tribunal</w:t>
      </w:r>
      <w:r w:rsidRPr="007F2045">
        <w:rPr>
          <w:rFonts w:ascii="Times New Roman" w:hAnsi="Times New Roman"/>
          <w:sz w:val="28"/>
          <w:szCs w:val="28"/>
          <w:lang w:val="es-CO"/>
        </w:rPr>
        <w:t xml:space="preserve"> para su </w:t>
      </w:r>
      <w:r w:rsidR="008232ED" w:rsidRPr="007F2045">
        <w:rPr>
          <w:rFonts w:ascii="Times New Roman" w:hAnsi="Times New Roman"/>
          <w:sz w:val="28"/>
          <w:szCs w:val="28"/>
          <w:lang w:val="es-CO"/>
        </w:rPr>
        <w:t>examen constitucional</w:t>
      </w:r>
      <w:r w:rsidRPr="007F2045">
        <w:rPr>
          <w:rFonts w:ascii="Times New Roman" w:hAnsi="Times New Roman"/>
          <w:sz w:val="28"/>
          <w:szCs w:val="28"/>
          <w:lang w:val="es-CO"/>
        </w:rPr>
        <w:t xml:space="preserve">; </w:t>
      </w:r>
      <w:r w:rsidR="00D66C29" w:rsidRPr="007F2045">
        <w:rPr>
          <w:rFonts w:ascii="Times New Roman" w:hAnsi="Times New Roman"/>
          <w:i/>
          <w:iCs/>
          <w:sz w:val="28"/>
          <w:szCs w:val="28"/>
          <w:lang w:val="es-CO"/>
        </w:rPr>
        <w:t>(</w:t>
      </w:r>
      <w:proofErr w:type="spellStart"/>
      <w:r w:rsidR="00D66C29" w:rsidRPr="007F2045">
        <w:rPr>
          <w:rFonts w:ascii="Times New Roman" w:hAnsi="Times New Roman"/>
          <w:i/>
          <w:iCs/>
          <w:sz w:val="28"/>
          <w:szCs w:val="28"/>
          <w:lang w:val="es-CO"/>
        </w:rPr>
        <w:t>iv</w:t>
      </w:r>
      <w:proofErr w:type="spellEnd"/>
      <w:r w:rsidR="00D66C29" w:rsidRPr="007F2045">
        <w:rPr>
          <w:rFonts w:ascii="Times New Roman" w:hAnsi="Times New Roman"/>
          <w:i/>
          <w:iCs/>
          <w:sz w:val="28"/>
          <w:szCs w:val="28"/>
          <w:lang w:val="es-CO"/>
        </w:rPr>
        <w:t xml:space="preserve">) </w:t>
      </w:r>
      <w:r w:rsidR="00D66C29" w:rsidRPr="007F2045">
        <w:rPr>
          <w:rFonts w:ascii="Times New Roman" w:hAnsi="Times New Roman"/>
          <w:sz w:val="28"/>
          <w:szCs w:val="28"/>
          <w:lang w:val="es-CO"/>
        </w:rPr>
        <w:t xml:space="preserve">el alcance de la cosa juzgada y </w:t>
      </w:r>
      <w:r w:rsidR="00376765" w:rsidRPr="007F2045">
        <w:rPr>
          <w:rFonts w:ascii="Times New Roman" w:hAnsi="Times New Roman"/>
          <w:sz w:val="28"/>
          <w:szCs w:val="28"/>
          <w:lang w:val="es-CO"/>
        </w:rPr>
        <w:t>la identificación del objeto de control en la citada sentencia C-179 de 1994</w:t>
      </w:r>
      <w:r w:rsidR="00376765" w:rsidRPr="007F2045">
        <w:rPr>
          <w:rFonts w:ascii="Times New Roman" w:hAnsi="Times New Roman"/>
          <w:i/>
          <w:iCs/>
          <w:sz w:val="28"/>
          <w:szCs w:val="28"/>
          <w:lang w:val="es-CO"/>
        </w:rPr>
        <w:t>;</w:t>
      </w:r>
      <w:r w:rsidR="00450708" w:rsidRPr="007F2045">
        <w:rPr>
          <w:rFonts w:ascii="Times New Roman" w:hAnsi="Times New Roman"/>
          <w:sz w:val="28"/>
          <w:szCs w:val="28"/>
          <w:lang w:val="es-CO"/>
        </w:rPr>
        <w:t>y</w:t>
      </w:r>
      <w:r w:rsidR="00376765" w:rsidRPr="007F2045">
        <w:rPr>
          <w:rFonts w:ascii="Times New Roman" w:hAnsi="Times New Roman"/>
          <w:i/>
          <w:iCs/>
          <w:sz w:val="28"/>
          <w:szCs w:val="28"/>
          <w:lang w:val="es-CO"/>
        </w:rPr>
        <w:t xml:space="preserve"> </w:t>
      </w:r>
      <w:r w:rsidR="008232ED" w:rsidRPr="007F2045">
        <w:rPr>
          <w:rFonts w:ascii="Times New Roman" w:hAnsi="Times New Roman"/>
          <w:i/>
          <w:iCs/>
          <w:sz w:val="28"/>
          <w:szCs w:val="28"/>
          <w:lang w:val="es-CO"/>
        </w:rPr>
        <w:t>(v)</w:t>
      </w:r>
      <w:r w:rsidR="008232ED" w:rsidRPr="007F2045">
        <w:rPr>
          <w:rFonts w:ascii="Times New Roman" w:hAnsi="Times New Roman"/>
          <w:sz w:val="28"/>
          <w:szCs w:val="28"/>
          <w:lang w:val="es-CO"/>
        </w:rPr>
        <w:t xml:space="preserve"> el desarrollo de la figura de la suspensión en el auto 272 de 2023 y </w:t>
      </w:r>
      <w:r w:rsidR="00505B27" w:rsidRPr="007F2045">
        <w:rPr>
          <w:rFonts w:ascii="Times New Roman" w:hAnsi="Times New Roman"/>
          <w:sz w:val="28"/>
          <w:szCs w:val="28"/>
          <w:lang w:val="es-CO"/>
        </w:rPr>
        <w:t>su vínculo directo con los mandatos de supremacía constitucional previstos en el artículo 4 de la Carta</w:t>
      </w:r>
      <w:r w:rsidR="005B5F0B" w:rsidRPr="007F2045">
        <w:rPr>
          <w:rFonts w:ascii="Times New Roman" w:hAnsi="Times New Roman"/>
          <w:sz w:val="28"/>
          <w:szCs w:val="28"/>
          <w:lang w:val="es-CO"/>
        </w:rPr>
        <w:t>.</w:t>
      </w:r>
    </w:p>
    <w:p w14:paraId="10EE6CF2" w14:textId="77777777" w:rsidR="00684A8D" w:rsidRPr="007F2045" w:rsidRDefault="00684A8D" w:rsidP="001B5728">
      <w:pPr>
        <w:pStyle w:val="Prrafodelista"/>
        <w:spacing w:after="0" w:line="240" w:lineRule="auto"/>
        <w:rPr>
          <w:rFonts w:ascii="Times New Roman" w:hAnsi="Times New Roman"/>
          <w:sz w:val="28"/>
          <w:szCs w:val="28"/>
          <w:lang w:val="es-CO"/>
        </w:rPr>
      </w:pPr>
    </w:p>
    <w:p w14:paraId="25D64C1E" w14:textId="77777777" w:rsidR="009F4F0B" w:rsidRPr="007F2045" w:rsidRDefault="6FF1B433"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Una última objeción surge en contra de la anterior conclusión. Mediante auto del 17 de febrero de 2025</w:t>
      </w:r>
      <w:r w:rsidR="674EB737" w:rsidRPr="007F2045">
        <w:rPr>
          <w:rFonts w:ascii="Times New Roman" w:hAnsi="Times New Roman"/>
          <w:sz w:val="28"/>
          <w:szCs w:val="28"/>
          <w:lang w:val="es-CO"/>
        </w:rPr>
        <w:t>,</w:t>
      </w:r>
      <w:r w:rsidRPr="007F2045">
        <w:rPr>
          <w:rFonts w:ascii="Times New Roman" w:hAnsi="Times New Roman"/>
          <w:sz w:val="28"/>
          <w:szCs w:val="28"/>
          <w:lang w:val="es-CO"/>
        </w:rPr>
        <w:t xml:space="preserve"> la magistrada Paola Andrea Meneses Mosquera</w:t>
      </w:r>
      <w:r w:rsidRPr="007F2045">
        <w:rPr>
          <w:rFonts w:ascii="Times New Roman" w:hAnsi="Times New Roman"/>
          <w:b/>
          <w:sz w:val="28"/>
          <w:szCs w:val="28"/>
          <w:lang w:val="es-CO"/>
        </w:rPr>
        <w:t xml:space="preserve"> </w:t>
      </w:r>
      <w:r w:rsidRPr="007F2045">
        <w:rPr>
          <w:rFonts w:ascii="Times New Roman" w:hAnsi="Times New Roman"/>
          <w:sz w:val="28"/>
          <w:szCs w:val="28"/>
          <w:lang w:val="es-CO"/>
        </w:rPr>
        <w:t>rechazó una petición de suspensión provisional de los efectos del Decreto 062 de 2025 “</w:t>
      </w:r>
      <w:r w:rsidR="53CABD05" w:rsidRPr="007F2045">
        <w:rPr>
          <w:rFonts w:ascii="Times New Roman" w:hAnsi="Times New Roman"/>
          <w:sz w:val="28"/>
          <w:szCs w:val="28"/>
          <w:lang w:val="es-CO"/>
        </w:rPr>
        <w:t>[p]</w:t>
      </w:r>
      <w:proofErr w:type="spellStart"/>
      <w:r w:rsidRPr="007F2045">
        <w:rPr>
          <w:rFonts w:ascii="Times New Roman" w:hAnsi="Times New Roman"/>
          <w:sz w:val="28"/>
          <w:szCs w:val="28"/>
          <w:lang w:val="es-CO"/>
        </w:rPr>
        <w:t>or</w:t>
      </w:r>
      <w:proofErr w:type="spellEnd"/>
      <w:r w:rsidRPr="007F2045">
        <w:rPr>
          <w:rFonts w:ascii="Times New Roman" w:hAnsi="Times New Roman"/>
          <w:sz w:val="28"/>
          <w:szCs w:val="28"/>
          <w:lang w:val="es-CO"/>
        </w:rPr>
        <w:t xml:space="preserve"> el cual se decreta el estado de conmoción interior en la región del Catatumbo, los municipios del área metropolitana de Cúcuta y los municipios de Río de Oro y González del departamento del Cesar”. Luego de </w:t>
      </w:r>
      <w:r w:rsidR="674EB737" w:rsidRPr="007F2045">
        <w:rPr>
          <w:rFonts w:ascii="Times New Roman" w:hAnsi="Times New Roman"/>
          <w:sz w:val="28"/>
          <w:szCs w:val="28"/>
          <w:lang w:val="es-CO"/>
        </w:rPr>
        <w:t xml:space="preserve">hacer </w:t>
      </w:r>
      <w:r w:rsidRPr="007F2045">
        <w:rPr>
          <w:rFonts w:ascii="Times New Roman" w:hAnsi="Times New Roman"/>
          <w:sz w:val="28"/>
          <w:szCs w:val="28"/>
          <w:lang w:val="es-CO"/>
        </w:rPr>
        <w:t>refer</w:t>
      </w:r>
      <w:r w:rsidR="674EB737" w:rsidRPr="007F2045">
        <w:rPr>
          <w:rFonts w:ascii="Times New Roman" w:hAnsi="Times New Roman"/>
          <w:sz w:val="28"/>
          <w:szCs w:val="28"/>
          <w:lang w:val="es-CO"/>
        </w:rPr>
        <w:t>encia</w:t>
      </w:r>
      <w:r w:rsidRPr="007F2045">
        <w:rPr>
          <w:rFonts w:ascii="Times New Roman" w:hAnsi="Times New Roman"/>
          <w:sz w:val="28"/>
          <w:szCs w:val="28"/>
          <w:lang w:val="es-CO"/>
        </w:rPr>
        <w:t xml:space="preserve"> al alcance del auto 272 de 2023 y al contenido de la sentencia C-179, concluyó</w:t>
      </w:r>
      <w:r w:rsidR="53CABD05" w:rsidRPr="007F2045">
        <w:rPr>
          <w:rFonts w:ascii="Times New Roman" w:hAnsi="Times New Roman"/>
          <w:sz w:val="28"/>
          <w:szCs w:val="28"/>
          <w:lang w:val="es-CO"/>
        </w:rPr>
        <w:t xml:space="preserve"> que</w:t>
      </w:r>
      <w:r w:rsidRPr="007F2045">
        <w:rPr>
          <w:rFonts w:ascii="Times New Roman" w:hAnsi="Times New Roman"/>
          <w:sz w:val="28"/>
          <w:szCs w:val="28"/>
          <w:lang w:val="es-CO"/>
        </w:rPr>
        <w:t xml:space="preserve"> “las solicitudes de suspensión provisional respecto de los decretos legislativos resultan improcedentes”</w:t>
      </w:r>
      <w:r w:rsidR="674EB737" w:rsidRPr="007F2045">
        <w:rPr>
          <w:rFonts w:ascii="Times New Roman" w:hAnsi="Times New Roman"/>
          <w:sz w:val="28"/>
          <w:szCs w:val="28"/>
          <w:lang w:val="es-CO"/>
        </w:rPr>
        <w:t xml:space="preserve">, para lo cual hizo referencia a la </w:t>
      </w:r>
      <w:r w:rsidRPr="007F2045">
        <w:rPr>
          <w:rFonts w:ascii="Times New Roman" w:hAnsi="Times New Roman"/>
          <w:sz w:val="28"/>
          <w:szCs w:val="28"/>
          <w:lang w:val="es-CO"/>
        </w:rPr>
        <w:t>sentencia C-179 de 1994</w:t>
      </w:r>
      <w:r w:rsidR="674EB737" w:rsidRPr="007F2045">
        <w:rPr>
          <w:rFonts w:ascii="Times New Roman" w:hAnsi="Times New Roman"/>
          <w:sz w:val="28"/>
          <w:szCs w:val="28"/>
          <w:lang w:val="es-CO"/>
        </w:rPr>
        <w:t xml:space="preserve"> y al </w:t>
      </w:r>
      <w:r w:rsidR="001E5E62" w:rsidRPr="007F2045">
        <w:rPr>
          <w:rFonts w:ascii="Times New Roman" w:hAnsi="Times New Roman"/>
          <w:sz w:val="28"/>
          <w:szCs w:val="28"/>
          <w:lang w:val="es-CO"/>
        </w:rPr>
        <w:t xml:space="preserve">citado </w:t>
      </w:r>
      <w:r w:rsidR="002A0AC0" w:rsidRPr="007F2045">
        <w:rPr>
          <w:rFonts w:ascii="Times New Roman" w:hAnsi="Times New Roman"/>
          <w:sz w:val="28"/>
          <w:szCs w:val="28"/>
          <w:lang w:val="es-CO"/>
        </w:rPr>
        <w:t>auto</w:t>
      </w:r>
      <w:r w:rsidRPr="007F2045">
        <w:rPr>
          <w:rFonts w:ascii="Times New Roman" w:hAnsi="Times New Roman"/>
          <w:sz w:val="28"/>
          <w:szCs w:val="28"/>
          <w:lang w:val="es-CO"/>
        </w:rPr>
        <w:t xml:space="preserve"> de 2023.</w:t>
      </w:r>
      <w:r w:rsidR="674EB737" w:rsidRPr="007F2045">
        <w:rPr>
          <w:rFonts w:ascii="Times New Roman" w:hAnsi="Times New Roman"/>
          <w:sz w:val="28"/>
          <w:szCs w:val="28"/>
          <w:lang w:val="es-CO"/>
        </w:rPr>
        <w:t xml:space="preserve"> </w:t>
      </w:r>
    </w:p>
    <w:p w14:paraId="2932EA53" w14:textId="77777777" w:rsidR="009F4F0B" w:rsidRPr="007F2045" w:rsidRDefault="009F4F0B" w:rsidP="001B5728">
      <w:pPr>
        <w:pStyle w:val="Prrafodelista"/>
        <w:spacing w:after="0" w:line="240" w:lineRule="auto"/>
        <w:rPr>
          <w:rFonts w:ascii="Times New Roman" w:hAnsi="Times New Roman"/>
          <w:sz w:val="28"/>
          <w:szCs w:val="28"/>
          <w:lang w:val="es-CO"/>
        </w:rPr>
      </w:pPr>
    </w:p>
    <w:p w14:paraId="21543A4F" w14:textId="77777777" w:rsidR="009B6BFB" w:rsidRPr="007F2045" w:rsidRDefault="00873052" w:rsidP="0098362E">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bookmarkStart w:id="10" w:name="OLE_LINK6"/>
      <w:r w:rsidRPr="007F2045">
        <w:rPr>
          <w:rFonts w:ascii="Times New Roman" w:hAnsi="Times New Roman"/>
          <w:sz w:val="28"/>
          <w:szCs w:val="28"/>
          <w:lang w:val="es-CO"/>
        </w:rPr>
        <w:t xml:space="preserve"> Sin perjuicio de </w:t>
      </w:r>
      <w:r w:rsidR="674EB737" w:rsidRPr="007F2045">
        <w:rPr>
          <w:rFonts w:ascii="Times New Roman" w:hAnsi="Times New Roman"/>
          <w:sz w:val="28"/>
          <w:szCs w:val="28"/>
          <w:lang w:val="es-CO"/>
        </w:rPr>
        <w:t>las razones sustantivas a que se ha hecho referencia</w:t>
      </w:r>
      <w:r w:rsidRPr="007F2045">
        <w:rPr>
          <w:rFonts w:ascii="Times New Roman" w:hAnsi="Times New Roman"/>
          <w:sz w:val="28"/>
          <w:szCs w:val="28"/>
          <w:lang w:val="es-CO"/>
        </w:rPr>
        <w:t>, el pronunciamiento</w:t>
      </w:r>
      <w:r w:rsidR="00E81A99" w:rsidRPr="007F2045">
        <w:rPr>
          <w:rFonts w:ascii="Times New Roman" w:hAnsi="Times New Roman"/>
          <w:sz w:val="28"/>
          <w:szCs w:val="28"/>
          <w:lang w:val="es-CO"/>
        </w:rPr>
        <w:t xml:space="preserve"> citado</w:t>
      </w:r>
      <w:r w:rsidRPr="007F2045">
        <w:rPr>
          <w:rFonts w:ascii="Times New Roman" w:hAnsi="Times New Roman"/>
          <w:sz w:val="28"/>
          <w:szCs w:val="28"/>
          <w:lang w:val="es-CO"/>
        </w:rPr>
        <w:t xml:space="preserve"> constituye una providencia que no resulta vinculante para la Sala Plena</w:t>
      </w:r>
      <w:r w:rsidR="00D57BA9" w:rsidRPr="007F2045">
        <w:rPr>
          <w:rFonts w:ascii="Times New Roman" w:hAnsi="Times New Roman"/>
          <w:sz w:val="28"/>
          <w:szCs w:val="28"/>
          <w:lang w:val="es-CO"/>
        </w:rPr>
        <w:t>, y, adicionalmente, no se ocupó de manera puntual y concreta de la situación particular que ahora considera la Corte</w:t>
      </w:r>
      <w:r w:rsidR="00CC0DFF">
        <w:rPr>
          <w:rFonts w:ascii="Times New Roman" w:hAnsi="Times New Roman"/>
          <w:sz w:val="28"/>
          <w:szCs w:val="28"/>
          <w:lang w:val="es-CO"/>
        </w:rPr>
        <w:t>.</w:t>
      </w:r>
    </w:p>
    <w:bookmarkEnd w:id="10"/>
    <w:p w14:paraId="374DBF78" w14:textId="77777777" w:rsidR="00D57BA9" w:rsidRPr="007F2045" w:rsidRDefault="00D57BA9" w:rsidP="00D57BA9">
      <w:pPr>
        <w:pStyle w:val="Prrafodelista"/>
        <w:rPr>
          <w:rFonts w:ascii="Times New Roman" w:hAnsi="Times New Roman"/>
          <w:sz w:val="28"/>
          <w:szCs w:val="28"/>
          <w:lang w:val="es-CO"/>
        </w:rPr>
      </w:pPr>
    </w:p>
    <w:p w14:paraId="3CB71F1C" w14:textId="77777777" w:rsidR="0A39ABD9" w:rsidRPr="007F2045" w:rsidRDefault="0A39ABD9"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En suma,</w:t>
      </w:r>
      <w:r w:rsidR="00794C97" w:rsidRPr="007F2045">
        <w:rPr>
          <w:rFonts w:ascii="Times New Roman" w:hAnsi="Times New Roman"/>
          <w:sz w:val="28"/>
          <w:szCs w:val="28"/>
          <w:lang w:val="es-CO"/>
        </w:rPr>
        <w:t xml:space="preserve"> y ag</w:t>
      </w:r>
      <w:r w:rsidR="00D310D7" w:rsidRPr="007F2045">
        <w:rPr>
          <w:rFonts w:ascii="Times New Roman" w:hAnsi="Times New Roman"/>
          <w:sz w:val="28"/>
          <w:szCs w:val="28"/>
          <w:lang w:val="es-CO"/>
        </w:rPr>
        <w:t xml:space="preserve">rupando todas las razones expuestas, </w:t>
      </w:r>
      <w:r w:rsidR="00717546" w:rsidRPr="007F2045">
        <w:rPr>
          <w:rFonts w:ascii="Times New Roman" w:hAnsi="Times New Roman"/>
          <w:i/>
          <w:iCs/>
          <w:sz w:val="28"/>
          <w:szCs w:val="28"/>
          <w:lang w:val="es-CO"/>
        </w:rPr>
        <w:t>(i)</w:t>
      </w:r>
      <w:r w:rsidR="00717546" w:rsidRPr="007F2045">
        <w:rPr>
          <w:rFonts w:ascii="Times New Roman" w:hAnsi="Times New Roman"/>
          <w:sz w:val="28"/>
          <w:szCs w:val="28"/>
          <w:lang w:val="es-CO"/>
        </w:rPr>
        <w:t xml:space="preserve"> </w:t>
      </w:r>
      <w:r w:rsidRPr="007F2045">
        <w:rPr>
          <w:rFonts w:ascii="Times New Roman" w:hAnsi="Times New Roman"/>
          <w:sz w:val="28"/>
          <w:szCs w:val="28"/>
          <w:lang w:val="es-CO"/>
        </w:rPr>
        <w:t xml:space="preserve">dado que entre las condiciones definitorias de la cosa juzgada constitucional se encuentra la identidad del </w:t>
      </w:r>
      <w:r w:rsidRPr="007F2045">
        <w:rPr>
          <w:rFonts w:ascii="Times New Roman" w:hAnsi="Times New Roman"/>
          <w:i/>
          <w:iCs/>
          <w:sz w:val="28"/>
          <w:szCs w:val="28"/>
          <w:lang w:val="es-CO"/>
        </w:rPr>
        <w:t>objeto de control</w:t>
      </w:r>
      <w:r w:rsidRPr="007F2045">
        <w:rPr>
          <w:rFonts w:ascii="Times New Roman" w:hAnsi="Times New Roman"/>
          <w:sz w:val="28"/>
          <w:szCs w:val="28"/>
          <w:lang w:val="es-CO"/>
        </w:rPr>
        <w:t xml:space="preserve">, resulta claro que este fenómeno no se predica —en lo relativo a la facultad de suspensión provisional de los decretos que declaran un estado de excepción— de lo que </w:t>
      </w:r>
      <w:r w:rsidR="00717546" w:rsidRPr="007F2045">
        <w:rPr>
          <w:rFonts w:ascii="Times New Roman" w:hAnsi="Times New Roman"/>
          <w:sz w:val="28"/>
          <w:szCs w:val="28"/>
          <w:lang w:val="es-CO"/>
        </w:rPr>
        <w:t xml:space="preserve">se </w:t>
      </w:r>
      <w:r w:rsidRPr="007F2045">
        <w:rPr>
          <w:rFonts w:ascii="Times New Roman" w:hAnsi="Times New Roman"/>
          <w:sz w:val="28"/>
          <w:szCs w:val="28"/>
          <w:lang w:val="es-CO"/>
        </w:rPr>
        <w:t xml:space="preserve">resolvió </w:t>
      </w:r>
      <w:r w:rsidR="00717546" w:rsidRPr="007F2045">
        <w:rPr>
          <w:rFonts w:ascii="Times New Roman" w:hAnsi="Times New Roman"/>
          <w:sz w:val="28"/>
          <w:szCs w:val="28"/>
          <w:lang w:val="es-CO"/>
        </w:rPr>
        <w:t xml:space="preserve">en </w:t>
      </w:r>
      <w:r w:rsidRPr="007F2045">
        <w:rPr>
          <w:rFonts w:ascii="Times New Roman" w:hAnsi="Times New Roman"/>
          <w:sz w:val="28"/>
          <w:szCs w:val="28"/>
          <w:lang w:val="es-CO"/>
        </w:rPr>
        <w:t>la sentencia C-179 de 1994. En efecto, en esa</w:t>
      </w:r>
      <w:r w:rsidR="00967A38" w:rsidRPr="007F2045">
        <w:rPr>
          <w:rFonts w:ascii="Times New Roman" w:hAnsi="Times New Roman"/>
          <w:sz w:val="28"/>
          <w:szCs w:val="28"/>
          <w:lang w:val="es-CO"/>
        </w:rPr>
        <w:t xml:space="preserve"> ocasión</w:t>
      </w:r>
      <w:r w:rsidR="00717546" w:rsidRPr="007F2045">
        <w:rPr>
          <w:rFonts w:ascii="Times New Roman" w:hAnsi="Times New Roman"/>
          <w:sz w:val="28"/>
          <w:szCs w:val="28"/>
          <w:lang w:val="es-CO"/>
        </w:rPr>
        <w:t>,</w:t>
      </w:r>
      <w:r w:rsidRPr="007F2045">
        <w:rPr>
          <w:rFonts w:ascii="Times New Roman" w:hAnsi="Times New Roman"/>
          <w:sz w:val="28"/>
          <w:szCs w:val="28"/>
          <w:lang w:val="es-CO"/>
        </w:rPr>
        <w:t xml:space="preserve"> la Corte no examinó disposiciones que regularan esa medida respecto de ese tipo de decretos. Es por ello</w:t>
      </w:r>
      <w:r w:rsidR="00BF60AE" w:rsidRPr="007F2045">
        <w:rPr>
          <w:rFonts w:ascii="Times New Roman" w:hAnsi="Times New Roman"/>
          <w:sz w:val="28"/>
          <w:szCs w:val="28"/>
          <w:lang w:val="es-CO"/>
        </w:rPr>
        <w:t>,</w:t>
      </w:r>
      <w:r w:rsidRPr="007F2045">
        <w:rPr>
          <w:rFonts w:ascii="Times New Roman" w:hAnsi="Times New Roman"/>
          <w:sz w:val="28"/>
          <w:szCs w:val="28"/>
          <w:lang w:val="es-CO"/>
        </w:rPr>
        <w:t xml:space="preserve"> </w:t>
      </w:r>
      <w:r w:rsidR="00BF60AE" w:rsidRPr="007F2045">
        <w:rPr>
          <w:rFonts w:ascii="Times New Roman" w:hAnsi="Times New Roman"/>
          <w:sz w:val="28"/>
          <w:szCs w:val="28"/>
          <w:lang w:val="es-CO"/>
        </w:rPr>
        <w:t>por lo que</w:t>
      </w:r>
      <w:r w:rsidRPr="007F2045">
        <w:rPr>
          <w:rFonts w:ascii="Times New Roman" w:hAnsi="Times New Roman"/>
          <w:sz w:val="28"/>
          <w:szCs w:val="28"/>
          <w:lang w:val="es-CO"/>
        </w:rPr>
        <w:t xml:space="preserve"> </w:t>
      </w:r>
      <w:r w:rsidR="00B91114" w:rsidRPr="007F2045">
        <w:rPr>
          <w:rFonts w:ascii="Times New Roman" w:hAnsi="Times New Roman"/>
          <w:sz w:val="28"/>
          <w:szCs w:val="28"/>
          <w:lang w:val="es-CO"/>
        </w:rPr>
        <w:t xml:space="preserve">no existe una razón, fundada en el artículo 243 de la Constitución, que conduzca a negar </w:t>
      </w:r>
      <w:r w:rsidRPr="007F2045">
        <w:rPr>
          <w:rFonts w:ascii="Times New Roman" w:hAnsi="Times New Roman"/>
          <w:sz w:val="28"/>
          <w:szCs w:val="28"/>
          <w:lang w:val="es-CO"/>
        </w:rPr>
        <w:t>la competencia de esta Corte para decretar la suspensión provisional de efectos</w:t>
      </w:r>
      <w:r w:rsidR="00B91114" w:rsidRPr="007F2045">
        <w:rPr>
          <w:rFonts w:ascii="Times New Roman" w:hAnsi="Times New Roman"/>
          <w:sz w:val="28"/>
          <w:szCs w:val="28"/>
          <w:lang w:val="es-CO"/>
        </w:rPr>
        <w:t xml:space="preserve"> de los decretos declaratorios</w:t>
      </w:r>
      <w:r w:rsidRPr="007F2045">
        <w:rPr>
          <w:rFonts w:ascii="Times New Roman" w:hAnsi="Times New Roman"/>
          <w:sz w:val="28"/>
          <w:szCs w:val="28"/>
          <w:lang w:val="es-CO"/>
        </w:rPr>
        <w:t>.</w:t>
      </w:r>
    </w:p>
    <w:p w14:paraId="583137B5" w14:textId="77777777" w:rsidR="762914C5" w:rsidRPr="007F2045" w:rsidRDefault="762914C5" w:rsidP="001B5728">
      <w:pPr>
        <w:pStyle w:val="Prrafodelista"/>
        <w:tabs>
          <w:tab w:val="left" w:pos="284"/>
          <w:tab w:val="left" w:pos="426"/>
        </w:tabs>
        <w:spacing w:after="0" w:line="240" w:lineRule="auto"/>
        <w:ind w:left="0"/>
        <w:rPr>
          <w:rFonts w:ascii="Times New Roman" w:hAnsi="Times New Roman"/>
          <w:sz w:val="28"/>
          <w:szCs w:val="28"/>
          <w:lang w:val="es-CO"/>
        </w:rPr>
      </w:pPr>
    </w:p>
    <w:p w14:paraId="7332FFFB" w14:textId="77777777" w:rsidR="0A39ABD9" w:rsidRPr="007F2045" w:rsidRDefault="00C16618"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Por lo demás, e</w:t>
      </w:r>
      <w:r w:rsidR="0A39ABD9" w:rsidRPr="007F2045">
        <w:rPr>
          <w:rFonts w:ascii="Times New Roman" w:hAnsi="Times New Roman"/>
          <w:sz w:val="28"/>
          <w:szCs w:val="28"/>
          <w:lang w:val="es-CO"/>
        </w:rPr>
        <w:t>n apoyo de la suspensión provisional respecto de los decretos que declaran el estado de excepción</w:t>
      </w:r>
      <w:r w:rsidR="005E03AA" w:rsidRPr="007F2045">
        <w:rPr>
          <w:rFonts w:ascii="Times New Roman" w:hAnsi="Times New Roman"/>
          <w:sz w:val="28"/>
          <w:szCs w:val="28"/>
          <w:lang w:val="es-CO"/>
        </w:rPr>
        <w:t>,</w:t>
      </w:r>
      <w:r w:rsidR="0A39ABD9" w:rsidRPr="007F2045">
        <w:rPr>
          <w:rFonts w:ascii="Times New Roman" w:hAnsi="Times New Roman"/>
          <w:sz w:val="28"/>
          <w:szCs w:val="28"/>
          <w:lang w:val="es-CO"/>
        </w:rPr>
        <w:t xml:space="preserve"> no concurren únicamente razones asociadas a la inexistencia de cosa juzgada constitucional. </w:t>
      </w:r>
      <w:r w:rsidR="00927AB7" w:rsidRPr="007F2045">
        <w:rPr>
          <w:rFonts w:ascii="Times New Roman" w:hAnsi="Times New Roman"/>
          <w:sz w:val="28"/>
          <w:szCs w:val="28"/>
          <w:lang w:val="es-CO"/>
        </w:rPr>
        <w:t>En este sentido</w:t>
      </w:r>
      <w:r w:rsidR="0A39ABD9" w:rsidRPr="007F2045">
        <w:rPr>
          <w:rFonts w:ascii="Times New Roman" w:hAnsi="Times New Roman"/>
          <w:sz w:val="28"/>
          <w:szCs w:val="28"/>
          <w:lang w:val="es-CO"/>
        </w:rPr>
        <w:t xml:space="preserve">, </w:t>
      </w:r>
      <w:r w:rsidR="00927AB7" w:rsidRPr="007F2045">
        <w:rPr>
          <w:rFonts w:ascii="Times New Roman" w:hAnsi="Times New Roman"/>
          <w:sz w:val="28"/>
          <w:szCs w:val="28"/>
          <w:lang w:val="es-CO"/>
        </w:rPr>
        <w:t xml:space="preserve">y según se ha dicho, </w:t>
      </w:r>
      <w:r w:rsidR="00927AB7" w:rsidRPr="007F2045">
        <w:rPr>
          <w:rFonts w:ascii="Times New Roman" w:hAnsi="Times New Roman"/>
          <w:i/>
          <w:iCs/>
          <w:sz w:val="28"/>
          <w:szCs w:val="28"/>
          <w:lang w:val="es-CO"/>
        </w:rPr>
        <w:t>(</w:t>
      </w:r>
      <w:proofErr w:type="spellStart"/>
      <w:r w:rsidR="00927AB7" w:rsidRPr="007F2045">
        <w:rPr>
          <w:rFonts w:ascii="Times New Roman" w:hAnsi="Times New Roman"/>
          <w:i/>
          <w:iCs/>
          <w:sz w:val="28"/>
          <w:szCs w:val="28"/>
          <w:lang w:val="es-CO"/>
        </w:rPr>
        <w:t>ii</w:t>
      </w:r>
      <w:proofErr w:type="spellEnd"/>
      <w:r w:rsidR="00927AB7" w:rsidRPr="007F2045">
        <w:rPr>
          <w:rFonts w:ascii="Times New Roman" w:hAnsi="Times New Roman"/>
          <w:i/>
          <w:iCs/>
          <w:sz w:val="28"/>
          <w:szCs w:val="28"/>
          <w:lang w:val="es-CO"/>
        </w:rPr>
        <w:t>)</w:t>
      </w:r>
      <w:r w:rsidR="00927AB7" w:rsidRPr="007F2045">
        <w:rPr>
          <w:rFonts w:ascii="Times New Roman" w:hAnsi="Times New Roman"/>
          <w:sz w:val="28"/>
          <w:szCs w:val="28"/>
          <w:lang w:val="es-CO"/>
        </w:rPr>
        <w:t xml:space="preserve"> </w:t>
      </w:r>
      <w:r w:rsidR="0A39ABD9" w:rsidRPr="007F2045">
        <w:rPr>
          <w:rFonts w:ascii="Times New Roman" w:hAnsi="Times New Roman"/>
          <w:sz w:val="28"/>
          <w:szCs w:val="28"/>
          <w:lang w:val="es-CO"/>
        </w:rPr>
        <w:t xml:space="preserve">la posibilidad de acudir a este instrumento se asienta, </w:t>
      </w:r>
      <w:r w:rsidR="00927AB7" w:rsidRPr="007F2045">
        <w:rPr>
          <w:rFonts w:ascii="Times New Roman" w:hAnsi="Times New Roman"/>
          <w:sz w:val="28"/>
          <w:szCs w:val="28"/>
          <w:lang w:val="es-CO"/>
        </w:rPr>
        <w:t>por sobre todo</w:t>
      </w:r>
      <w:r w:rsidR="0A39ABD9" w:rsidRPr="007F2045">
        <w:rPr>
          <w:rFonts w:ascii="Times New Roman" w:hAnsi="Times New Roman"/>
          <w:sz w:val="28"/>
          <w:szCs w:val="28"/>
          <w:lang w:val="es-CO"/>
        </w:rPr>
        <w:t xml:space="preserve">, en la importancia que el </w:t>
      </w:r>
      <w:r w:rsidR="00AE28E5" w:rsidRPr="007F2045">
        <w:rPr>
          <w:rFonts w:ascii="Times New Roman" w:hAnsi="Times New Roman"/>
          <w:sz w:val="28"/>
          <w:szCs w:val="28"/>
          <w:lang w:val="es-CO"/>
        </w:rPr>
        <w:t xml:space="preserve">Constituyente </w:t>
      </w:r>
      <w:r w:rsidR="0A39ABD9" w:rsidRPr="007F2045">
        <w:rPr>
          <w:rFonts w:ascii="Times New Roman" w:hAnsi="Times New Roman"/>
          <w:sz w:val="28"/>
          <w:szCs w:val="28"/>
          <w:lang w:val="es-CO"/>
        </w:rPr>
        <w:t xml:space="preserve">otorgó a la protección permanente del sistema de frenos y contrapesos, del modelo democrático y del Estado Social de Derecho. La declaración de un estado de excepción constituye una manifestación extraordinaria del poder presidencial, en tanto implica una </w:t>
      </w:r>
      <w:proofErr w:type="spellStart"/>
      <w:r w:rsidR="0A39ABD9" w:rsidRPr="007F2045">
        <w:rPr>
          <w:rFonts w:ascii="Times New Roman" w:hAnsi="Times New Roman"/>
          <w:sz w:val="28"/>
          <w:szCs w:val="28"/>
          <w:lang w:val="es-CO"/>
        </w:rPr>
        <w:t>autohabilitación</w:t>
      </w:r>
      <w:proofErr w:type="spellEnd"/>
      <w:r w:rsidR="0A39ABD9" w:rsidRPr="007F2045">
        <w:rPr>
          <w:rFonts w:ascii="Times New Roman" w:hAnsi="Times New Roman"/>
          <w:sz w:val="28"/>
          <w:szCs w:val="28"/>
          <w:lang w:val="es-CO"/>
        </w:rPr>
        <w:t xml:space="preserve"> para expedir normas con fuerza de ley. Esta circunstancia incrementa el riesgo de excesos, desvíos y abusos incompatibles con la Carta Política y, por ello, acentúa la necesidad de prever instrumentos efectivos de control.</w:t>
      </w:r>
    </w:p>
    <w:p w14:paraId="0693293D" w14:textId="77777777" w:rsidR="7812537A" w:rsidRPr="007F2045" w:rsidRDefault="7812537A" w:rsidP="001B5728">
      <w:pPr>
        <w:pStyle w:val="Prrafodelista"/>
        <w:tabs>
          <w:tab w:val="left" w:pos="284"/>
          <w:tab w:val="left" w:pos="426"/>
        </w:tabs>
        <w:spacing w:after="0" w:line="240" w:lineRule="auto"/>
        <w:ind w:left="0"/>
        <w:rPr>
          <w:rFonts w:ascii="Times New Roman" w:hAnsi="Times New Roman"/>
          <w:sz w:val="28"/>
          <w:szCs w:val="28"/>
          <w:lang w:val="es-CO"/>
        </w:rPr>
      </w:pPr>
    </w:p>
    <w:p w14:paraId="56A1AFBF" w14:textId="77777777" w:rsidR="762914C5" w:rsidRPr="007F2045" w:rsidRDefault="00AE28E5" w:rsidP="001B5728">
      <w:pPr>
        <w:pStyle w:val="Prrafodelista"/>
        <w:numPr>
          <w:ilvl w:val="0"/>
          <w:numId w:val="2"/>
        </w:numPr>
        <w:tabs>
          <w:tab w:val="left" w:pos="284"/>
          <w:tab w:val="left" w:pos="426"/>
        </w:tabs>
        <w:spacing w:after="0" w:line="240" w:lineRule="auto"/>
        <w:ind w:left="0" w:firstLine="0"/>
        <w:rPr>
          <w:lang w:val="es-CO"/>
        </w:rPr>
      </w:pPr>
      <w:r w:rsidRPr="007F2045">
        <w:rPr>
          <w:rFonts w:ascii="Times New Roman" w:hAnsi="Times New Roman"/>
          <w:sz w:val="28"/>
          <w:szCs w:val="28"/>
          <w:lang w:val="es-CO"/>
        </w:rPr>
        <w:lastRenderedPageBreak/>
        <w:t>A lo anterior se agrega que,</w:t>
      </w:r>
      <w:r w:rsidR="0A39ABD9" w:rsidRPr="007F2045">
        <w:rPr>
          <w:rFonts w:ascii="Times New Roman" w:hAnsi="Times New Roman"/>
          <w:sz w:val="28"/>
          <w:szCs w:val="28"/>
          <w:lang w:val="es-CO"/>
        </w:rPr>
        <w:t xml:space="preserve"> </w:t>
      </w:r>
      <w:r w:rsidRPr="007F2045">
        <w:rPr>
          <w:rFonts w:ascii="Times New Roman" w:hAnsi="Times New Roman"/>
          <w:sz w:val="28"/>
          <w:szCs w:val="28"/>
          <w:lang w:val="es-CO"/>
        </w:rPr>
        <w:t xml:space="preserve">en </w:t>
      </w:r>
      <w:r w:rsidR="0A39ABD9" w:rsidRPr="007F2045">
        <w:rPr>
          <w:rFonts w:ascii="Times New Roman" w:hAnsi="Times New Roman"/>
          <w:sz w:val="28"/>
          <w:szCs w:val="28"/>
          <w:lang w:val="es-CO"/>
        </w:rPr>
        <w:t>un régimen que reconoce la fuerza normativa de la Constitución y que asigna a la Corte la guarda de su integridad y supremacía, las personas no solo tienen el derecho a no quedar sometidas a un régimen de excepción espurio o carente de fundamento constitucional, sino también a que los efectos que este produzca sobre sus derechos y libertades sean objeto de un control efectivo. El constitucionalismo</w:t>
      </w:r>
      <w:r w:rsidR="004B4B80" w:rsidRPr="007F2045">
        <w:rPr>
          <w:rFonts w:ascii="Times New Roman" w:hAnsi="Times New Roman"/>
          <w:sz w:val="28"/>
          <w:szCs w:val="28"/>
          <w:lang w:val="es-CO"/>
        </w:rPr>
        <w:t>, y esta Corte, como ha sido su tradición,</w:t>
      </w:r>
      <w:r w:rsidR="0A39ABD9" w:rsidRPr="007F2045">
        <w:rPr>
          <w:rFonts w:ascii="Times New Roman" w:hAnsi="Times New Roman"/>
          <w:sz w:val="28"/>
          <w:szCs w:val="28"/>
          <w:lang w:val="es-CO"/>
        </w:rPr>
        <w:t xml:space="preserve"> no desconoce</w:t>
      </w:r>
      <w:r w:rsidR="004B4B80" w:rsidRPr="007F2045">
        <w:rPr>
          <w:rFonts w:ascii="Times New Roman" w:hAnsi="Times New Roman"/>
          <w:sz w:val="28"/>
          <w:szCs w:val="28"/>
          <w:lang w:val="es-CO"/>
        </w:rPr>
        <w:t>n</w:t>
      </w:r>
      <w:r w:rsidR="0A39ABD9" w:rsidRPr="007F2045">
        <w:rPr>
          <w:rFonts w:ascii="Times New Roman" w:hAnsi="Times New Roman"/>
          <w:sz w:val="28"/>
          <w:szCs w:val="28"/>
          <w:lang w:val="es-CO"/>
        </w:rPr>
        <w:t xml:space="preserve"> la importancia de prever regímenes de excepción</w:t>
      </w:r>
      <w:r w:rsidR="00A1570F" w:rsidRPr="007F2045">
        <w:rPr>
          <w:rFonts w:ascii="Times New Roman" w:hAnsi="Times New Roman"/>
          <w:sz w:val="28"/>
          <w:szCs w:val="28"/>
          <w:lang w:val="es-CO"/>
        </w:rPr>
        <w:t xml:space="preserve">, pues su empleo, </w:t>
      </w:r>
      <w:r w:rsidR="0A39ABD9" w:rsidRPr="007F2045">
        <w:rPr>
          <w:rFonts w:ascii="Times New Roman" w:hAnsi="Times New Roman"/>
          <w:sz w:val="28"/>
          <w:szCs w:val="28"/>
          <w:lang w:val="es-CO"/>
        </w:rPr>
        <w:t xml:space="preserve">en determinadas circunstancias, </w:t>
      </w:r>
      <w:r w:rsidR="00A1570F" w:rsidRPr="007F2045">
        <w:rPr>
          <w:rFonts w:ascii="Times New Roman" w:hAnsi="Times New Roman"/>
          <w:sz w:val="28"/>
          <w:szCs w:val="28"/>
          <w:lang w:val="es-CO"/>
        </w:rPr>
        <w:t xml:space="preserve">asegura </w:t>
      </w:r>
      <w:r w:rsidR="0A39ABD9" w:rsidRPr="007F2045">
        <w:rPr>
          <w:rFonts w:ascii="Times New Roman" w:hAnsi="Times New Roman"/>
          <w:sz w:val="28"/>
          <w:szCs w:val="28"/>
          <w:lang w:val="es-CO"/>
        </w:rPr>
        <w:t xml:space="preserve">la protección misma de los derechos y las libertades </w:t>
      </w:r>
      <w:r w:rsidR="00A1570F" w:rsidRPr="007F2045">
        <w:rPr>
          <w:rFonts w:ascii="Times New Roman" w:hAnsi="Times New Roman"/>
          <w:sz w:val="28"/>
          <w:szCs w:val="28"/>
          <w:lang w:val="es-CO"/>
        </w:rPr>
        <w:t>ciudadanas</w:t>
      </w:r>
      <w:r w:rsidR="0A39ABD9" w:rsidRPr="007F2045">
        <w:rPr>
          <w:rFonts w:ascii="Times New Roman" w:hAnsi="Times New Roman"/>
          <w:sz w:val="28"/>
          <w:szCs w:val="28"/>
          <w:lang w:val="es-CO"/>
        </w:rPr>
        <w:t>. Pero</w:t>
      </w:r>
      <w:r w:rsidR="00507526" w:rsidRPr="007F2045">
        <w:rPr>
          <w:rFonts w:ascii="Times New Roman" w:hAnsi="Times New Roman"/>
          <w:sz w:val="28"/>
          <w:szCs w:val="28"/>
          <w:lang w:val="es-CO"/>
        </w:rPr>
        <w:t xml:space="preserve">, acorde con ese mismo rigor, nunca </w:t>
      </w:r>
      <w:r w:rsidR="0A39ABD9" w:rsidRPr="007F2045">
        <w:rPr>
          <w:rFonts w:ascii="Times New Roman" w:hAnsi="Times New Roman"/>
          <w:sz w:val="28"/>
          <w:szCs w:val="28"/>
          <w:lang w:val="es-CO"/>
        </w:rPr>
        <w:t>ha vacilado en exigir controles rigurosos que aseguren su estricto sometimiento al Derecho</w:t>
      </w:r>
      <w:r w:rsidR="00507526" w:rsidRPr="007F2045">
        <w:rPr>
          <w:rFonts w:ascii="Times New Roman" w:hAnsi="Times New Roman"/>
          <w:sz w:val="28"/>
          <w:szCs w:val="28"/>
          <w:lang w:val="es-CO"/>
        </w:rPr>
        <w:t xml:space="preserve">, y lo ha venido haciendo desde siempre, incluso </w:t>
      </w:r>
      <w:r w:rsidR="009D57FA" w:rsidRPr="007F2045">
        <w:rPr>
          <w:rFonts w:ascii="Times New Roman" w:hAnsi="Times New Roman"/>
          <w:sz w:val="28"/>
          <w:szCs w:val="28"/>
          <w:lang w:val="es-CO"/>
        </w:rPr>
        <w:t xml:space="preserve">desde el momento mismo </w:t>
      </w:r>
      <w:r w:rsidR="00550934" w:rsidRPr="007F2045">
        <w:rPr>
          <w:rFonts w:ascii="Times New Roman" w:hAnsi="Times New Roman"/>
          <w:sz w:val="28"/>
          <w:szCs w:val="28"/>
          <w:lang w:val="es-CO"/>
        </w:rPr>
        <w:t xml:space="preserve">en </w:t>
      </w:r>
      <w:r w:rsidR="009D57FA" w:rsidRPr="007F2045">
        <w:rPr>
          <w:rFonts w:ascii="Times New Roman" w:hAnsi="Times New Roman"/>
          <w:sz w:val="28"/>
          <w:szCs w:val="28"/>
          <w:lang w:val="es-CO"/>
        </w:rPr>
        <w:t xml:space="preserve">que decidió </w:t>
      </w:r>
      <w:r w:rsidR="00550934" w:rsidRPr="007F2045">
        <w:rPr>
          <w:rFonts w:ascii="Times New Roman" w:hAnsi="Times New Roman"/>
          <w:sz w:val="28"/>
          <w:szCs w:val="28"/>
          <w:lang w:val="es-CO"/>
        </w:rPr>
        <w:t>examinar</w:t>
      </w:r>
      <w:r w:rsidR="009D57FA" w:rsidRPr="007F2045">
        <w:rPr>
          <w:rFonts w:ascii="Times New Roman" w:hAnsi="Times New Roman"/>
          <w:sz w:val="28"/>
          <w:szCs w:val="28"/>
          <w:lang w:val="es-CO"/>
        </w:rPr>
        <w:t xml:space="preserve"> la constitucionalidad de los decretos declaratorios</w:t>
      </w:r>
      <w:r w:rsidR="00550934" w:rsidRPr="007F2045">
        <w:rPr>
          <w:rFonts w:ascii="Times New Roman" w:hAnsi="Times New Roman"/>
          <w:sz w:val="28"/>
          <w:szCs w:val="28"/>
          <w:lang w:val="es-CO"/>
        </w:rPr>
        <w:t xml:space="preserve">, </w:t>
      </w:r>
      <w:r w:rsidR="0081784D" w:rsidRPr="007F2045">
        <w:rPr>
          <w:rFonts w:ascii="Times New Roman" w:hAnsi="Times New Roman"/>
          <w:sz w:val="28"/>
          <w:szCs w:val="28"/>
          <w:lang w:val="es-CO"/>
        </w:rPr>
        <w:t>en la sentencia C-</w:t>
      </w:r>
      <w:r w:rsidR="00FC6B4E" w:rsidRPr="007F2045">
        <w:rPr>
          <w:rFonts w:ascii="Times New Roman" w:hAnsi="Times New Roman"/>
          <w:sz w:val="28"/>
          <w:szCs w:val="28"/>
          <w:lang w:val="es-CO"/>
        </w:rPr>
        <w:t>004</w:t>
      </w:r>
      <w:r w:rsidR="0081784D" w:rsidRPr="007F2045">
        <w:rPr>
          <w:rFonts w:ascii="Times New Roman" w:hAnsi="Times New Roman"/>
          <w:sz w:val="28"/>
          <w:szCs w:val="28"/>
          <w:lang w:val="es-CO"/>
        </w:rPr>
        <w:t xml:space="preserve"> de 1992.</w:t>
      </w:r>
      <w:r w:rsidR="0A39ABD9" w:rsidRPr="007F2045">
        <w:rPr>
          <w:rFonts w:ascii="Times New Roman" w:hAnsi="Times New Roman"/>
          <w:sz w:val="28"/>
          <w:szCs w:val="28"/>
          <w:lang w:val="es-CO"/>
        </w:rPr>
        <w:t xml:space="preserve"> </w:t>
      </w:r>
      <w:r w:rsidR="00AD4BFF" w:rsidRPr="007F2045">
        <w:rPr>
          <w:rFonts w:ascii="Times New Roman" w:hAnsi="Times New Roman"/>
          <w:sz w:val="28"/>
          <w:szCs w:val="28"/>
          <w:lang w:val="es-CO"/>
        </w:rPr>
        <w:t>Por ello</w:t>
      </w:r>
      <w:r w:rsidR="0081784D" w:rsidRPr="007F2045">
        <w:rPr>
          <w:rFonts w:ascii="Times New Roman" w:hAnsi="Times New Roman"/>
          <w:sz w:val="28"/>
          <w:szCs w:val="28"/>
          <w:lang w:val="es-CO"/>
        </w:rPr>
        <w:t xml:space="preserve">, </w:t>
      </w:r>
      <w:r w:rsidR="00AD4BFF" w:rsidRPr="007F2045">
        <w:rPr>
          <w:rFonts w:ascii="Times New Roman" w:hAnsi="Times New Roman"/>
          <w:sz w:val="28"/>
          <w:szCs w:val="28"/>
          <w:lang w:val="es-CO"/>
        </w:rPr>
        <w:t xml:space="preserve">bajo ninguna circunstancia, </w:t>
      </w:r>
      <w:r w:rsidR="0081784D" w:rsidRPr="007F2045">
        <w:rPr>
          <w:rFonts w:ascii="Times New Roman" w:hAnsi="Times New Roman"/>
          <w:sz w:val="28"/>
          <w:szCs w:val="28"/>
          <w:lang w:val="es-CO"/>
        </w:rPr>
        <w:t xml:space="preserve">la </w:t>
      </w:r>
      <w:r w:rsidR="0A39ABD9" w:rsidRPr="007F2045">
        <w:rPr>
          <w:rFonts w:ascii="Times New Roman" w:hAnsi="Times New Roman"/>
          <w:sz w:val="28"/>
          <w:szCs w:val="28"/>
          <w:lang w:val="es-CO"/>
        </w:rPr>
        <w:t>“excepción” se sitúa al mismo nivel que la Constitución: se encuentra subordinada a ella.</w:t>
      </w:r>
    </w:p>
    <w:p w14:paraId="13E02122" w14:textId="77777777" w:rsidR="762914C5" w:rsidRPr="007F2045" w:rsidRDefault="762914C5" w:rsidP="001B5728">
      <w:pPr>
        <w:tabs>
          <w:tab w:val="left" w:pos="284"/>
          <w:tab w:val="left" w:pos="426"/>
        </w:tabs>
        <w:spacing w:after="0" w:line="240" w:lineRule="auto"/>
        <w:rPr>
          <w:rFonts w:ascii="Times New Roman" w:hAnsi="Times New Roman"/>
          <w:b/>
          <w:bCs/>
          <w:sz w:val="28"/>
          <w:szCs w:val="28"/>
          <w:lang w:val="es-CO"/>
        </w:rPr>
      </w:pPr>
    </w:p>
    <w:p w14:paraId="1863DAAA" w14:textId="77777777" w:rsidR="00684A8D" w:rsidRPr="007F2045" w:rsidRDefault="6FF1B433" w:rsidP="001B5728">
      <w:pPr>
        <w:pStyle w:val="Subttulo"/>
        <w:numPr>
          <w:ilvl w:val="1"/>
          <w:numId w:val="25"/>
        </w:numPr>
        <w:tabs>
          <w:tab w:val="left" w:pos="1276"/>
        </w:tabs>
        <w:ind w:left="1276" w:hanging="567"/>
        <w:rPr>
          <w:lang w:val="es-CO"/>
        </w:rPr>
      </w:pPr>
      <w:r w:rsidRPr="007F2045">
        <w:rPr>
          <w:lang w:val="es-CO"/>
        </w:rPr>
        <w:t>La Corte</w:t>
      </w:r>
      <w:r w:rsidR="00B91114" w:rsidRPr="007F2045">
        <w:rPr>
          <w:lang w:val="es-CO"/>
        </w:rPr>
        <w:t xml:space="preserve"> está</w:t>
      </w:r>
      <w:r w:rsidRPr="007F2045">
        <w:rPr>
          <w:lang w:val="es-CO"/>
        </w:rPr>
        <w:t xml:space="preserve"> </w:t>
      </w:r>
      <w:r w:rsidR="68EB28FC" w:rsidRPr="007F2045">
        <w:rPr>
          <w:lang w:val="es-CO"/>
        </w:rPr>
        <w:t xml:space="preserve">actualmente </w:t>
      </w:r>
      <w:r w:rsidRPr="007F2045">
        <w:rPr>
          <w:lang w:val="es-CO"/>
        </w:rPr>
        <w:t>habilitada para decidir sobre la suspensión provisional de los decretos de desarrollo</w:t>
      </w:r>
    </w:p>
    <w:p w14:paraId="49C85FE8" w14:textId="77777777" w:rsidR="00684A8D" w:rsidRPr="007F2045" w:rsidRDefault="00684A8D" w:rsidP="001B5728">
      <w:pPr>
        <w:spacing w:after="0" w:line="240" w:lineRule="auto"/>
        <w:rPr>
          <w:rFonts w:ascii="Times New Roman" w:hAnsi="Times New Roman"/>
          <w:sz w:val="28"/>
          <w:szCs w:val="28"/>
          <w:lang w:val="es-CO"/>
        </w:rPr>
      </w:pPr>
    </w:p>
    <w:p w14:paraId="2714314E" w14:textId="77777777" w:rsidR="008D585B" w:rsidRPr="007F2045" w:rsidRDefault="008D585B"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A</w:t>
      </w:r>
      <w:r w:rsidR="00864362" w:rsidRPr="007F2045">
        <w:rPr>
          <w:rFonts w:ascii="Times New Roman" w:hAnsi="Times New Roman"/>
          <w:sz w:val="28"/>
          <w:szCs w:val="28"/>
          <w:lang w:val="es-CO"/>
        </w:rPr>
        <w:t>hora bien, a</w:t>
      </w:r>
      <w:r w:rsidRPr="007F2045">
        <w:rPr>
          <w:rFonts w:ascii="Times New Roman" w:hAnsi="Times New Roman"/>
          <w:sz w:val="28"/>
          <w:szCs w:val="28"/>
          <w:lang w:val="es-CO"/>
        </w:rPr>
        <w:t xml:space="preserve"> pesar de que el objeto de la presente decisión </w:t>
      </w:r>
      <w:r w:rsidR="00582EE9" w:rsidRPr="007F2045">
        <w:rPr>
          <w:rFonts w:ascii="Times New Roman" w:hAnsi="Times New Roman"/>
          <w:sz w:val="28"/>
          <w:szCs w:val="28"/>
          <w:lang w:val="es-CO"/>
        </w:rPr>
        <w:t xml:space="preserve">se relaciona exclusivamente con </w:t>
      </w:r>
      <w:r w:rsidRPr="007F2045">
        <w:rPr>
          <w:rFonts w:ascii="Times New Roman" w:hAnsi="Times New Roman"/>
          <w:sz w:val="28"/>
          <w:szCs w:val="28"/>
          <w:lang w:val="es-CO"/>
        </w:rPr>
        <w:t xml:space="preserve">el Decreto </w:t>
      </w:r>
      <w:r w:rsidR="00582EE9" w:rsidRPr="007F2045">
        <w:rPr>
          <w:rFonts w:ascii="Times New Roman" w:hAnsi="Times New Roman"/>
          <w:sz w:val="28"/>
          <w:szCs w:val="28"/>
          <w:lang w:val="es-CO"/>
        </w:rPr>
        <w:t>1390 de 2025, por medio del cual se declaró un estado de excepción de emergencia</w:t>
      </w:r>
      <w:r w:rsidR="00261BF6" w:rsidRPr="007F2045">
        <w:rPr>
          <w:rFonts w:ascii="Times New Roman" w:hAnsi="Times New Roman"/>
          <w:sz w:val="28"/>
          <w:szCs w:val="28"/>
          <w:lang w:val="es-CO"/>
        </w:rPr>
        <w:t xml:space="preserve"> económica y social en todo el territorio nacional</w:t>
      </w:r>
      <w:r w:rsidR="00582EE9" w:rsidRPr="007F2045">
        <w:rPr>
          <w:rFonts w:ascii="Times New Roman" w:hAnsi="Times New Roman"/>
          <w:sz w:val="28"/>
          <w:szCs w:val="28"/>
          <w:lang w:val="es-CO"/>
        </w:rPr>
        <w:t>,</w:t>
      </w:r>
      <w:r w:rsidR="00864362" w:rsidRPr="007F2045">
        <w:rPr>
          <w:rFonts w:ascii="Times New Roman" w:hAnsi="Times New Roman"/>
          <w:sz w:val="28"/>
          <w:szCs w:val="28"/>
          <w:lang w:val="es-CO"/>
        </w:rPr>
        <w:t xml:space="preserve"> </w:t>
      </w:r>
      <w:r w:rsidR="00582EE9" w:rsidRPr="007F2045">
        <w:rPr>
          <w:rFonts w:ascii="Times New Roman" w:hAnsi="Times New Roman"/>
          <w:sz w:val="28"/>
          <w:szCs w:val="28"/>
          <w:lang w:val="es-CO"/>
        </w:rPr>
        <w:t xml:space="preserve">es </w:t>
      </w:r>
      <w:r w:rsidR="00B91114" w:rsidRPr="007F2045">
        <w:rPr>
          <w:rFonts w:ascii="Times New Roman" w:hAnsi="Times New Roman"/>
          <w:sz w:val="28"/>
          <w:szCs w:val="28"/>
          <w:lang w:val="es-CO"/>
        </w:rPr>
        <w:t xml:space="preserve">igualmente </w:t>
      </w:r>
      <w:r w:rsidR="00582EE9" w:rsidRPr="007F2045">
        <w:rPr>
          <w:rFonts w:ascii="Times New Roman" w:hAnsi="Times New Roman"/>
          <w:sz w:val="28"/>
          <w:szCs w:val="28"/>
          <w:lang w:val="es-CO"/>
        </w:rPr>
        <w:t>relevante que la Corte valore si, respecto de los decretos de desarrollo que se pudieran proferir al amparo de este, también sería procedente o no la medida de suspensión provisional.</w:t>
      </w:r>
    </w:p>
    <w:p w14:paraId="4CB45800" w14:textId="77777777" w:rsidR="008D585B" w:rsidRPr="007F2045" w:rsidRDefault="008D585B" w:rsidP="001B5728">
      <w:pPr>
        <w:pStyle w:val="Prrafodelista"/>
        <w:tabs>
          <w:tab w:val="left" w:pos="284"/>
          <w:tab w:val="left" w:pos="426"/>
        </w:tabs>
        <w:spacing w:after="0" w:line="240" w:lineRule="auto"/>
        <w:ind w:left="0"/>
        <w:rPr>
          <w:rFonts w:ascii="Times New Roman" w:hAnsi="Times New Roman"/>
          <w:sz w:val="28"/>
          <w:szCs w:val="28"/>
          <w:lang w:val="es-CO"/>
        </w:rPr>
      </w:pPr>
    </w:p>
    <w:p w14:paraId="3DA0C999" w14:textId="77777777" w:rsidR="00684A8D" w:rsidRPr="007F2045" w:rsidRDefault="386A7BC5"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Con base en lo expuesto en </w:t>
      </w:r>
      <w:r w:rsidR="6FF1B433" w:rsidRPr="007F2045">
        <w:rPr>
          <w:rFonts w:ascii="Times New Roman" w:hAnsi="Times New Roman"/>
          <w:sz w:val="28"/>
          <w:szCs w:val="28"/>
          <w:lang w:val="es-CO"/>
        </w:rPr>
        <w:t>el anterior apartado</w:t>
      </w:r>
      <w:r w:rsidR="7DBE3128" w:rsidRPr="007F2045">
        <w:rPr>
          <w:rFonts w:ascii="Times New Roman" w:hAnsi="Times New Roman"/>
          <w:sz w:val="28"/>
          <w:szCs w:val="28"/>
          <w:lang w:val="es-CO"/>
        </w:rPr>
        <w:t>,</w:t>
      </w:r>
      <w:r w:rsidR="6FF1B433" w:rsidRPr="007F2045">
        <w:rPr>
          <w:rFonts w:ascii="Times New Roman" w:hAnsi="Times New Roman"/>
          <w:sz w:val="28"/>
          <w:szCs w:val="28"/>
          <w:lang w:val="es-CO"/>
        </w:rPr>
        <w:t xml:space="preserve"> </w:t>
      </w:r>
      <w:r w:rsidR="002F676B" w:rsidRPr="007F2045">
        <w:rPr>
          <w:rFonts w:ascii="Times New Roman" w:hAnsi="Times New Roman"/>
          <w:sz w:val="28"/>
          <w:szCs w:val="28"/>
          <w:lang w:val="es-CO"/>
        </w:rPr>
        <w:t>es claro que</w:t>
      </w:r>
      <w:r w:rsidR="5FB73916" w:rsidRPr="007F2045">
        <w:rPr>
          <w:rFonts w:ascii="Times New Roman" w:hAnsi="Times New Roman"/>
          <w:sz w:val="28"/>
          <w:szCs w:val="28"/>
          <w:lang w:val="es-CO"/>
        </w:rPr>
        <w:t xml:space="preserve"> la cosa juzgada constitucional derivada de la </w:t>
      </w:r>
      <w:r w:rsidR="00146F6F" w:rsidRPr="007F2045">
        <w:rPr>
          <w:rFonts w:ascii="Times New Roman" w:hAnsi="Times New Roman"/>
          <w:sz w:val="28"/>
          <w:szCs w:val="28"/>
          <w:lang w:val="es-CO"/>
        </w:rPr>
        <w:t>s</w:t>
      </w:r>
      <w:r w:rsidR="5FB73916" w:rsidRPr="007F2045">
        <w:rPr>
          <w:rFonts w:ascii="Times New Roman" w:hAnsi="Times New Roman"/>
          <w:sz w:val="28"/>
          <w:szCs w:val="28"/>
          <w:lang w:val="es-CO"/>
        </w:rPr>
        <w:t>entencia C-179 de 1994 prohíbe</w:t>
      </w:r>
      <w:r w:rsidR="4C9B3CD6" w:rsidRPr="007F2045">
        <w:rPr>
          <w:rFonts w:ascii="Times New Roman" w:hAnsi="Times New Roman"/>
          <w:sz w:val="28"/>
          <w:szCs w:val="28"/>
          <w:lang w:val="es-CO"/>
        </w:rPr>
        <w:t xml:space="preserve"> </w:t>
      </w:r>
      <w:r w:rsidR="119BBAEE" w:rsidRPr="007F2045">
        <w:rPr>
          <w:rFonts w:ascii="Times New Roman" w:hAnsi="Times New Roman"/>
          <w:sz w:val="28"/>
          <w:szCs w:val="28"/>
          <w:lang w:val="es-CO"/>
        </w:rPr>
        <w:t xml:space="preserve">la reproducción del contenido normativo de los artículos </w:t>
      </w:r>
      <w:r w:rsidR="2CAB9A69" w:rsidRPr="007F2045">
        <w:rPr>
          <w:rFonts w:ascii="Times New Roman" w:hAnsi="Times New Roman"/>
          <w:sz w:val="28"/>
          <w:szCs w:val="28"/>
          <w:lang w:val="es-CO"/>
        </w:rPr>
        <w:t>19, 20, 27, 38 y 56 del PLEEE</w:t>
      </w:r>
      <w:r w:rsidR="00A91D27" w:rsidRPr="007F2045">
        <w:rPr>
          <w:rFonts w:ascii="Times New Roman" w:hAnsi="Times New Roman"/>
          <w:sz w:val="28"/>
          <w:szCs w:val="28"/>
          <w:lang w:val="es-CO"/>
        </w:rPr>
        <w:t>,</w:t>
      </w:r>
      <w:r w:rsidR="2CAB9A69" w:rsidRPr="007F2045">
        <w:rPr>
          <w:rFonts w:ascii="Times New Roman" w:hAnsi="Times New Roman"/>
          <w:sz w:val="28"/>
          <w:szCs w:val="28"/>
          <w:lang w:val="es-CO"/>
        </w:rPr>
        <w:t xml:space="preserve"> en cuanto a la facultad de la Corte para suspender provisionalmente </w:t>
      </w:r>
      <w:r w:rsidR="7DF68552" w:rsidRPr="007F2045">
        <w:rPr>
          <w:rFonts w:ascii="Times New Roman" w:hAnsi="Times New Roman"/>
          <w:sz w:val="28"/>
          <w:szCs w:val="28"/>
          <w:lang w:val="es-CO"/>
        </w:rPr>
        <w:t>los de</w:t>
      </w:r>
      <w:r w:rsidR="43794EC3" w:rsidRPr="007F2045">
        <w:rPr>
          <w:rFonts w:ascii="Times New Roman" w:hAnsi="Times New Roman"/>
          <w:sz w:val="28"/>
          <w:szCs w:val="28"/>
          <w:lang w:val="es-CO"/>
        </w:rPr>
        <w:t>cretos de desarrollo –que no los declarativos</w:t>
      </w:r>
      <w:r w:rsidR="00C906C8" w:rsidRPr="007F2045">
        <w:rPr>
          <w:rFonts w:ascii="Times New Roman" w:hAnsi="Times New Roman"/>
          <w:sz w:val="28"/>
          <w:szCs w:val="28"/>
          <w:lang w:val="es-CO"/>
        </w:rPr>
        <w:t>–</w:t>
      </w:r>
      <w:r w:rsidR="43794EC3" w:rsidRPr="007F2045">
        <w:rPr>
          <w:rFonts w:ascii="Times New Roman" w:hAnsi="Times New Roman"/>
          <w:sz w:val="28"/>
          <w:szCs w:val="28"/>
          <w:lang w:val="es-CO"/>
        </w:rPr>
        <w:t xml:space="preserve"> del estado de excepción.</w:t>
      </w:r>
      <w:r w:rsidR="21DA41B4" w:rsidRPr="007F2045">
        <w:rPr>
          <w:rFonts w:ascii="Times New Roman" w:hAnsi="Times New Roman"/>
          <w:sz w:val="28"/>
          <w:szCs w:val="28"/>
          <w:lang w:val="es-CO"/>
        </w:rPr>
        <w:t xml:space="preserve"> Esta </w:t>
      </w:r>
      <w:r w:rsidR="51E9038C" w:rsidRPr="007F2045">
        <w:rPr>
          <w:rFonts w:ascii="Times New Roman" w:hAnsi="Times New Roman"/>
          <w:sz w:val="28"/>
          <w:szCs w:val="28"/>
          <w:lang w:val="es-CO"/>
        </w:rPr>
        <w:t>premisa no está en disputa</w:t>
      </w:r>
      <w:r w:rsidR="2715DD23" w:rsidRPr="007F2045">
        <w:rPr>
          <w:rFonts w:ascii="Times New Roman" w:hAnsi="Times New Roman"/>
          <w:sz w:val="28"/>
          <w:szCs w:val="28"/>
          <w:lang w:val="es-CO"/>
        </w:rPr>
        <w:t xml:space="preserve">, </w:t>
      </w:r>
      <w:r w:rsidR="002F676B" w:rsidRPr="007F2045">
        <w:rPr>
          <w:rFonts w:ascii="Times New Roman" w:hAnsi="Times New Roman"/>
          <w:sz w:val="28"/>
          <w:szCs w:val="28"/>
          <w:lang w:val="es-CO"/>
        </w:rPr>
        <w:t xml:space="preserve">y </w:t>
      </w:r>
      <w:r w:rsidR="2715DD23" w:rsidRPr="007F2045">
        <w:rPr>
          <w:rFonts w:ascii="Times New Roman" w:hAnsi="Times New Roman"/>
          <w:sz w:val="28"/>
          <w:szCs w:val="28"/>
          <w:lang w:val="es-CO"/>
        </w:rPr>
        <w:t>la Corte no podría invocar la competencia para suspender provisionalmente uno de tales decretos con fundamento en las</w:t>
      </w:r>
      <w:r w:rsidR="1F7B6721" w:rsidRPr="007F2045">
        <w:rPr>
          <w:rFonts w:ascii="Times New Roman" w:hAnsi="Times New Roman"/>
          <w:sz w:val="28"/>
          <w:szCs w:val="28"/>
          <w:lang w:val="es-CO"/>
        </w:rPr>
        <w:t xml:space="preserve"> disposiciones del PLEEE que declaró inexequibles.</w:t>
      </w:r>
    </w:p>
    <w:p w14:paraId="5C62C500" w14:textId="77777777" w:rsidR="00684A8D" w:rsidRPr="007F2045" w:rsidRDefault="00684A8D" w:rsidP="001B5728">
      <w:pPr>
        <w:pStyle w:val="Prrafodelista"/>
        <w:tabs>
          <w:tab w:val="left" w:pos="284"/>
          <w:tab w:val="left" w:pos="426"/>
        </w:tabs>
        <w:spacing w:after="0" w:line="240" w:lineRule="auto"/>
        <w:ind w:left="0"/>
        <w:rPr>
          <w:rFonts w:ascii="Times New Roman" w:hAnsi="Times New Roman"/>
          <w:sz w:val="28"/>
          <w:szCs w:val="28"/>
          <w:lang w:val="es-CO"/>
        </w:rPr>
      </w:pPr>
    </w:p>
    <w:p w14:paraId="542C89B5" w14:textId="77777777" w:rsidR="00123FD9" w:rsidRPr="007F2045" w:rsidRDefault="002F676B"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En efecto, y c</w:t>
      </w:r>
      <w:r w:rsidR="008A753D" w:rsidRPr="007F2045">
        <w:rPr>
          <w:rFonts w:ascii="Times New Roman" w:hAnsi="Times New Roman"/>
          <w:sz w:val="28"/>
          <w:szCs w:val="28"/>
          <w:lang w:val="es-CO"/>
        </w:rPr>
        <w:t xml:space="preserve">omo ya quedó evidenciado en la relación de providencias expuesta en </w:t>
      </w:r>
      <w:r w:rsidR="00032945" w:rsidRPr="007F2045">
        <w:rPr>
          <w:rFonts w:ascii="Times New Roman" w:hAnsi="Times New Roman"/>
          <w:sz w:val="28"/>
          <w:szCs w:val="28"/>
          <w:lang w:val="es-CO"/>
        </w:rPr>
        <w:t xml:space="preserve">la </w:t>
      </w:r>
      <w:r w:rsidR="00DD1E25" w:rsidRPr="007F2045">
        <w:rPr>
          <w:rFonts w:ascii="Times New Roman" w:hAnsi="Times New Roman"/>
          <w:b/>
          <w:bCs/>
          <w:sz w:val="28"/>
          <w:szCs w:val="28"/>
          <w:lang w:val="es-CO"/>
        </w:rPr>
        <w:t>s</w:t>
      </w:r>
      <w:r w:rsidR="00681B89" w:rsidRPr="007F2045">
        <w:rPr>
          <w:rFonts w:ascii="Times New Roman" w:hAnsi="Times New Roman"/>
          <w:b/>
          <w:bCs/>
          <w:sz w:val="28"/>
          <w:szCs w:val="28"/>
          <w:lang w:val="es-CO"/>
        </w:rPr>
        <w:t>ección 4.2.c</w:t>
      </w:r>
      <w:r w:rsidR="00681B89" w:rsidRPr="007F2045">
        <w:rPr>
          <w:rFonts w:ascii="Times New Roman" w:hAnsi="Times New Roman"/>
          <w:sz w:val="28"/>
          <w:szCs w:val="28"/>
          <w:lang w:val="es-CO"/>
        </w:rPr>
        <w:t xml:space="preserve"> </w:t>
      </w:r>
      <w:r w:rsidR="008A753D" w:rsidRPr="007F2045">
        <w:rPr>
          <w:rFonts w:ascii="Times New Roman" w:hAnsi="Times New Roman"/>
          <w:sz w:val="28"/>
          <w:szCs w:val="28"/>
          <w:lang w:val="es-CO"/>
        </w:rPr>
        <w:t xml:space="preserve">del presente </w:t>
      </w:r>
      <w:r w:rsidR="0094570C" w:rsidRPr="007F2045">
        <w:rPr>
          <w:rFonts w:ascii="Times New Roman" w:hAnsi="Times New Roman"/>
          <w:sz w:val="28"/>
          <w:szCs w:val="28"/>
          <w:lang w:val="es-CO"/>
        </w:rPr>
        <w:t>a</w:t>
      </w:r>
      <w:r w:rsidR="008A753D" w:rsidRPr="007F2045">
        <w:rPr>
          <w:rFonts w:ascii="Times New Roman" w:hAnsi="Times New Roman"/>
          <w:sz w:val="28"/>
          <w:szCs w:val="28"/>
          <w:lang w:val="es-CO"/>
        </w:rPr>
        <w:t xml:space="preserve">uto, a raíz de lo resuelto en la </w:t>
      </w:r>
      <w:r w:rsidR="0094570C" w:rsidRPr="007F2045">
        <w:rPr>
          <w:rFonts w:ascii="Times New Roman" w:hAnsi="Times New Roman"/>
          <w:sz w:val="28"/>
          <w:szCs w:val="28"/>
          <w:lang w:val="es-CO"/>
        </w:rPr>
        <w:t xml:space="preserve">sentencia </w:t>
      </w:r>
      <w:r w:rsidR="008A753D" w:rsidRPr="007F2045">
        <w:rPr>
          <w:rFonts w:ascii="Times New Roman" w:hAnsi="Times New Roman"/>
          <w:sz w:val="28"/>
          <w:szCs w:val="28"/>
          <w:lang w:val="es-CO"/>
        </w:rPr>
        <w:t>C-179 de 1994</w:t>
      </w:r>
      <w:r w:rsidR="007657A4" w:rsidRPr="007F2045">
        <w:rPr>
          <w:rFonts w:ascii="Times New Roman" w:hAnsi="Times New Roman"/>
          <w:sz w:val="28"/>
          <w:szCs w:val="28"/>
          <w:lang w:val="es-CO"/>
        </w:rPr>
        <w:t>,</w:t>
      </w:r>
      <w:r w:rsidR="00864362" w:rsidRPr="007F2045">
        <w:rPr>
          <w:rFonts w:ascii="Times New Roman" w:hAnsi="Times New Roman"/>
          <w:sz w:val="28"/>
          <w:szCs w:val="28"/>
          <w:lang w:val="es-CO"/>
        </w:rPr>
        <w:t xml:space="preserve"> </w:t>
      </w:r>
      <w:r w:rsidR="00BC40E6" w:rsidRPr="007F2045">
        <w:rPr>
          <w:rFonts w:ascii="Times New Roman" w:hAnsi="Times New Roman"/>
          <w:sz w:val="28"/>
          <w:szCs w:val="28"/>
          <w:lang w:val="es-CO"/>
        </w:rPr>
        <w:t>la Corte</w:t>
      </w:r>
      <w:r w:rsidR="00864362" w:rsidRPr="007F2045">
        <w:rPr>
          <w:rFonts w:ascii="Times New Roman" w:hAnsi="Times New Roman"/>
          <w:sz w:val="28"/>
          <w:szCs w:val="28"/>
          <w:lang w:val="es-CO"/>
        </w:rPr>
        <w:t>, en múltiples ocasiones,</w:t>
      </w:r>
      <w:r w:rsidR="00BC40E6" w:rsidRPr="007F2045">
        <w:rPr>
          <w:rFonts w:ascii="Times New Roman" w:hAnsi="Times New Roman"/>
          <w:sz w:val="28"/>
          <w:szCs w:val="28"/>
          <w:lang w:val="es-CO"/>
        </w:rPr>
        <w:t xml:space="preserve"> </w:t>
      </w:r>
      <w:r w:rsidR="001A62DF" w:rsidRPr="007F2045">
        <w:rPr>
          <w:rFonts w:ascii="Times New Roman" w:hAnsi="Times New Roman"/>
          <w:sz w:val="28"/>
          <w:szCs w:val="28"/>
          <w:lang w:val="es-CO"/>
        </w:rPr>
        <w:t xml:space="preserve">ha </w:t>
      </w:r>
      <w:r w:rsidR="003E5FF4" w:rsidRPr="007F2045">
        <w:rPr>
          <w:rFonts w:ascii="Times New Roman" w:hAnsi="Times New Roman"/>
          <w:sz w:val="28"/>
          <w:szCs w:val="28"/>
          <w:lang w:val="es-CO"/>
        </w:rPr>
        <w:t>rechaz</w:t>
      </w:r>
      <w:r w:rsidR="001A62DF" w:rsidRPr="007F2045">
        <w:rPr>
          <w:rFonts w:ascii="Times New Roman" w:hAnsi="Times New Roman"/>
          <w:sz w:val="28"/>
          <w:szCs w:val="28"/>
          <w:lang w:val="es-CO"/>
        </w:rPr>
        <w:t>ado</w:t>
      </w:r>
      <w:r w:rsidR="003E5FF4" w:rsidRPr="007F2045">
        <w:rPr>
          <w:rFonts w:ascii="Times New Roman" w:hAnsi="Times New Roman"/>
          <w:sz w:val="28"/>
          <w:szCs w:val="28"/>
          <w:lang w:val="es-CO"/>
        </w:rPr>
        <w:t xml:space="preserve"> solicitudes de suspensión provisional de decretos legislativos expedidos por el presidente </w:t>
      </w:r>
      <w:r w:rsidR="001A62DF" w:rsidRPr="007F2045">
        <w:rPr>
          <w:rFonts w:ascii="Times New Roman" w:hAnsi="Times New Roman"/>
          <w:sz w:val="28"/>
          <w:szCs w:val="28"/>
          <w:lang w:val="es-CO"/>
        </w:rPr>
        <w:t xml:space="preserve">de la República </w:t>
      </w:r>
      <w:r w:rsidR="003E5FF4" w:rsidRPr="007F2045">
        <w:rPr>
          <w:rFonts w:ascii="Times New Roman" w:hAnsi="Times New Roman"/>
          <w:sz w:val="28"/>
          <w:szCs w:val="28"/>
          <w:lang w:val="es-CO"/>
        </w:rPr>
        <w:t xml:space="preserve">durante </w:t>
      </w:r>
      <w:r w:rsidR="00223AAF" w:rsidRPr="007F2045">
        <w:rPr>
          <w:rFonts w:ascii="Times New Roman" w:hAnsi="Times New Roman"/>
          <w:sz w:val="28"/>
          <w:szCs w:val="28"/>
          <w:lang w:val="es-CO"/>
        </w:rPr>
        <w:t>el estado de excepción</w:t>
      </w:r>
      <w:r w:rsidR="00864362" w:rsidRPr="007F2045">
        <w:rPr>
          <w:rFonts w:ascii="Times New Roman" w:hAnsi="Times New Roman"/>
          <w:sz w:val="28"/>
          <w:szCs w:val="28"/>
          <w:lang w:val="es-CO"/>
        </w:rPr>
        <w:t>. El argumento central, como ya se ha explicado</w:t>
      </w:r>
      <w:r w:rsidR="005963CC" w:rsidRPr="007F2045">
        <w:rPr>
          <w:rFonts w:ascii="Times New Roman" w:hAnsi="Times New Roman"/>
          <w:sz w:val="28"/>
          <w:szCs w:val="28"/>
          <w:lang w:val="es-CO"/>
        </w:rPr>
        <w:t>,</w:t>
      </w:r>
      <w:r w:rsidR="00864362" w:rsidRPr="007F2045">
        <w:rPr>
          <w:rFonts w:ascii="Times New Roman" w:hAnsi="Times New Roman"/>
          <w:sz w:val="28"/>
          <w:szCs w:val="28"/>
          <w:lang w:val="es-CO"/>
        </w:rPr>
        <w:t xml:space="preserve"> es que</w:t>
      </w:r>
      <w:r w:rsidR="003E5FF4" w:rsidRPr="007F2045">
        <w:rPr>
          <w:rFonts w:ascii="Times New Roman" w:hAnsi="Times New Roman"/>
          <w:sz w:val="28"/>
          <w:szCs w:val="28"/>
          <w:lang w:val="es-CO"/>
        </w:rPr>
        <w:t xml:space="preserve"> no existía en el ordenamiento norma jurídica </w:t>
      </w:r>
      <w:r w:rsidR="005963CC" w:rsidRPr="007F2045">
        <w:rPr>
          <w:rFonts w:ascii="Times New Roman" w:hAnsi="Times New Roman"/>
          <w:sz w:val="28"/>
          <w:szCs w:val="28"/>
          <w:lang w:val="es-CO"/>
        </w:rPr>
        <w:t xml:space="preserve">específica </w:t>
      </w:r>
      <w:r w:rsidR="003E5FF4" w:rsidRPr="007F2045">
        <w:rPr>
          <w:rFonts w:ascii="Times New Roman" w:hAnsi="Times New Roman"/>
          <w:sz w:val="28"/>
          <w:szCs w:val="28"/>
          <w:lang w:val="es-CO"/>
        </w:rPr>
        <w:t xml:space="preserve">que le </w:t>
      </w:r>
      <w:r w:rsidR="00223AAF" w:rsidRPr="007F2045">
        <w:rPr>
          <w:rFonts w:ascii="Times New Roman" w:hAnsi="Times New Roman"/>
          <w:sz w:val="28"/>
          <w:szCs w:val="28"/>
          <w:lang w:val="es-CO"/>
        </w:rPr>
        <w:t>confiriera tal</w:t>
      </w:r>
      <w:r w:rsidR="003E5FF4" w:rsidRPr="007F2045">
        <w:rPr>
          <w:rFonts w:ascii="Times New Roman" w:hAnsi="Times New Roman"/>
          <w:sz w:val="28"/>
          <w:szCs w:val="28"/>
          <w:lang w:val="es-CO"/>
        </w:rPr>
        <w:t xml:space="preserve"> potestad</w:t>
      </w:r>
      <w:r w:rsidR="003E5FF4" w:rsidRPr="007F2045">
        <w:rPr>
          <w:rFonts w:ascii="Times New Roman" w:hAnsi="Times New Roman"/>
          <w:szCs w:val="28"/>
          <w:vertAlign w:val="superscript"/>
          <w:lang w:val="es-CO"/>
        </w:rPr>
        <w:footnoteReference w:id="42"/>
      </w:r>
      <w:r w:rsidR="003E5FF4" w:rsidRPr="007F2045">
        <w:rPr>
          <w:rFonts w:ascii="Times New Roman" w:hAnsi="Times New Roman"/>
          <w:sz w:val="28"/>
          <w:szCs w:val="28"/>
          <w:lang w:val="es-CO"/>
        </w:rPr>
        <w:t xml:space="preserve">. </w:t>
      </w:r>
      <w:r w:rsidR="7F1C1083" w:rsidRPr="007F2045">
        <w:rPr>
          <w:rFonts w:ascii="Times New Roman" w:hAnsi="Times New Roman"/>
          <w:sz w:val="28"/>
          <w:szCs w:val="28"/>
          <w:lang w:val="es-CO"/>
        </w:rPr>
        <w:t>Sobre este punto,</w:t>
      </w:r>
      <w:r w:rsidR="00223AAF" w:rsidRPr="007F2045">
        <w:rPr>
          <w:rFonts w:ascii="Times New Roman" w:hAnsi="Times New Roman"/>
          <w:sz w:val="28"/>
          <w:szCs w:val="28"/>
          <w:lang w:val="es-CO"/>
        </w:rPr>
        <w:t xml:space="preserve"> la</w:t>
      </w:r>
      <w:r w:rsidR="335CB7C9" w:rsidRPr="007F2045">
        <w:rPr>
          <w:rFonts w:ascii="Times New Roman" w:hAnsi="Times New Roman"/>
          <w:sz w:val="28"/>
          <w:szCs w:val="28"/>
          <w:lang w:val="es-CO"/>
        </w:rPr>
        <w:t xml:space="preserve"> </w:t>
      </w:r>
      <w:r w:rsidR="0094570C" w:rsidRPr="007F2045">
        <w:rPr>
          <w:rFonts w:ascii="Times New Roman" w:hAnsi="Times New Roman"/>
          <w:sz w:val="28"/>
          <w:szCs w:val="28"/>
          <w:lang w:val="es-CO"/>
        </w:rPr>
        <w:t>s</w:t>
      </w:r>
      <w:r w:rsidR="00223AAF" w:rsidRPr="007F2045">
        <w:rPr>
          <w:rFonts w:ascii="Times New Roman" w:hAnsi="Times New Roman"/>
          <w:sz w:val="28"/>
          <w:szCs w:val="28"/>
          <w:lang w:val="es-CO"/>
        </w:rPr>
        <w:t>entencia C-352 de 2017</w:t>
      </w:r>
      <w:r w:rsidR="000B3C8F" w:rsidRPr="007F2045">
        <w:rPr>
          <w:rFonts w:ascii="Times New Roman" w:hAnsi="Times New Roman"/>
          <w:sz w:val="28"/>
          <w:szCs w:val="28"/>
          <w:lang w:val="es-CO"/>
        </w:rPr>
        <w:t xml:space="preserve">, reseñada en la </w:t>
      </w:r>
      <w:r w:rsidR="000B3C8F" w:rsidRPr="007F2045">
        <w:rPr>
          <w:rFonts w:ascii="Times New Roman" w:hAnsi="Times New Roman"/>
          <w:b/>
          <w:bCs/>
          <w:sz w:val="28"/>
          <w:szCs w:val="28"/>
          <w:lang w:val="es-CO"/>
        </w:rPr>
        <w:t>sección 3.2</w:t>
      </w:r>
      <w:r w:rsidR="000B3C8F" w:rsidRPr="007F2045">
        <w:rPr>
          <w:rFonts w:ascii="Times New Roman" w:hAnsi="Times New Roman"/>
          <w:sz w:val="28"/>
          <w:szCs w:val="28"/>
          <w:lang w:val="es-CO"/>
        </w:rPr>
        <w:t>,</w:t>
      </w:r>
      <w:r w:rsidR="1ACC436C" w:rsidRPr="007F2045">
        <w:rPr>
          <w:rFonts w:ascii="Times New Roman" w:hAnsi="Times New Roman"/>
          <w:sz w:val="28"/>
          <w:szCs w:val="28"/>
          <w:lang w:val="es-CO"/>
        </w:rPr>
        <w:t xml:space="preserve"> </w:t>
      </w:r>
      <w:r w:rsidR="0AB5ED37" w:rsidRPr="007F2045">
        <w:rPr>
          <w:rFonts w:ascii="Times New Roman" w:hAnsi="Times New Roman"/>
          <w:sz w:val="28"/>
          <w:szCs w:val="28"/>
          <w:lang w:val="es-CO"/>
        </w:rPr>
        <w:t xml:space="preserve">cobra especial </w:t>
      </w:r>
      <w:r w:rsidR="00C77D64" w:rsidRPr="007F2045">
        <w:rPr>
          <w:rFonts w:ascii="Times New Roman" w:hAnsi="Times New Roman"/>
          <w:sz w:val="28"/>
          <w:szCs w:val="28"/>
          <w:lang w:val="es-CO"/>
        </w:rPr>
        <w:t>relevan</w:t>
      </w:r>
      <w:r w:rsidR="05507CC5" w:rsidRPr="007F2045">
        <w:rPr>
          <w:rFonts w:ascii="Times New Roman" w:hAnsi="Times New Roman"/>
          <w:sz w:val="28"/>
          <w:szCs w:val="28"/>
          <w:lang w:val="es-CO"/>
        </w:rPr>
        <w:t>cia</w:t>
      </w:r>
      <w:r w:rsidR="00C77D64" w:rsidRPr="007F2045">
        <w:rPr>
          <w:rFonts w:ascii="Times New Roman" w:hAnsi="Times New Roman"/>
          <w:sz w:val="28"/>
          <w:szCs w:val="28"/>
          <w:lang w:val="es-CO"/>
        </w:rPr>
        <w:t xml:space="preserve"> </w:t>
      </w:r>
      <w:r w:rsidR="00506722" w:rsidRPr="007F2045">
        <w:rPr>
          <w:rFonts w:ascii="Times New Roman" w:hAnsi="Times New Roman"/>
          <w:sz w:val="28"/>
          <w:szCs w:val="28"/>
          <w:lang w:val="es-CO"/>
        </w:rPr>
        <w:t xml:space="preserve">para </w:t>
      </w:r>
      <w:r w:rsidR="00350125" w:rsidRPr="007F2045">
        <w:rPr>
          <w:rFonts w:ascii="Times New Roman" w:hAnsi="Times New Roman"/>
          <w:sz w:val="28"/>
          <w:szCs w:val="28"/>
          <w:lang w:val="es-CO"/>
        </w:rPr>
        <w:t>el presente análisis por</w:t>
      </w:r>
      <w:r w:rsidR="00123FD9" w:rsidRPr="007F2045">
        <w:rPr>
          <w:rFonts w:ascii="Times New Roman" w:hAnsi="Times New Roman"/>
          <w:sz w:val="28"/>
          <w:szCs w:val="28"/>
          <w:lang w:val="es-CO"/>
        </w:rPr>
        <w:t xml:space="preserve"> dos razones que a continuación se precisan.</w:t>
      </w:r>
    </w:p>
    <w:p w14:paraId="4BABD67F" w14:textId="77777777" w:rsidR="00123FD9" w:rsidRPr="007F2045" w:rsidRDefault="00123FD9" w:rsidP="001B5728">
      <w:pPr>
        <w:pStyle w:val="Prrafodelista"/>
        <w:tabs>
          <w:tab w:val="left" w:pos="284"/>
          <w:tab w:val="left" w:pos="426"/>
        </w:tabs>
        <w:spacing w:after="0" w:line="240" w:lineRule="auto"/>
        <w:ind w:left="0"/>
        <w:rPr>
          <w:rFonts w:ascii="Times New Roman" w:hAnsi="Times New Roman"/>
          <w:sz w:val="28"/>
          <w:szCs w:val="28"/>
          <w:lang w:val="es-CO"/>
        </w:rPr>
      </w:pPr>
    </w:p>
    <w:p w14:paraId="1A5095A3" w14:textId="77777777" w:rsidR="005D71B3" w:rsidRPr="007F2045" w:rsidRDefault="00123FD9"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En primer lugar, la Corte </w:t>
      </w:r>
      <w:r w:rsidR="0096508F" w:rsidRPr="007F2045">
        <w:rPr>
          <w:rFonts w:ascii="Times New Roman" w:hAnsi="Times New Roman"/>
          <w:sz w:val="28"/>
          <w:szCs w:val="28"/>
          <w:lang w:val="es-CO"/>
        </w:rPr>
        <w:t>reconoció que la sentencia C-179 de 1994 no configura cosa juzgada en materia de suspensión provisional de decretos legislativos si la nueva norma sometida al escrutinio constitucional tiene un alcance regulatorio distinto al de las que fueron declaradas inexequibles en dicha providencia</w:t>
      </w:r>
      <w:r w:rsidR="005D71B3" w:rsidRPr="007F2045">
        <w:rPr>
          <w:rFonts w:ascii="Times New Roman" w:hAnsi="Times New Roman"/>
          <w:sz w:val="28"/>
          <w:szCs w:val="28"/>
          <w:lang w:val="es-CO"/>
        </w:rPr>
        <w:t>.</w:t>
      </w:r>
      <w:r w:rsidR="0096508F" w:rsidRPr="007F2045">
        <w:rPr>
          <w:rFonts w:ascii="Times New Roman" w:hAnsi="Times New Roman"/>
          <w:sz w:val="28"/>
          <w:szCs w:val="28"/>
          <w:lang w:val="es-CO"/>
        </w:rPr>
        <w:t xml:space="preserve"> </w:t>
      </w:r>
      <w:r w:rsidR="005D71B3" w:rsidRPr="007F2045">
        <w:rPr>
          <w:rFonts w:ascii="Times New Roman" w:hAnsi="Times New Roman"/>
          <w:sz w:val="28"/>
          <w:szCs w:val="28"/>
          <w:lang w:val="es-CO"/>
        </w:rPr>
        <w:t xml:space="preserve">El Tribunal descartó la identidad de objeto porque no se presentaba coincidencia material entre las proposiciones normativas declaradas inexequibles en la mencionada sentencia y aquélla identificada por los </w:t>
      </w:r>
      <w:r w:rsidR="005D71B3" w:rsidRPr="007F2045">
        <w:rPr>
          <w:rFonts w:ascii="Times New Roman" w:hAnsi="Times New Roman"/>
          <w:sz w:val="28"/>
          <w:szCs w:val="28"/>
          <w:lang w:val="es-CO"/>
        </w:rPr>
        <w:lastRenderedPageBreak/>
        <w:t>demandantes y posiblemente omitida por el legislador, ya que esta última no se refería únicamente a decretos legislativos, sino a cualquier norma sometida a control abstracto de constitucionalidad. Además, mientras las normas examinadas en la citada sentencia C-179 de 1994 expresamente autorizaban a la Corte para suspender provisionalmente decretos legislativos manifiestamente contrarios a la Constitución, la norma acusada de inconstitucionalidad por omisión legislativa no hacía tal autorización explícita, sino que guardaba silencio al respecto.</w:t>
      </w:r>
    </w:p>
    <w:p w14:paraId="20895D57" w14:textId="77777777" w:rsidR="005D71B3" w:rsidRPr="007F2045" w:rsidRDefault="005D71B3" w:rsidP="001B5728">
      <w:pPr>
        <w:pStyle w:val="Prrafodelista"/>
        <w:tabs>
          <w:tab w:val="left" w:pos="284"/>
          <w:tab w:val="left" w:pos="426"/>
        </w:tabs>
        <w:spacing w:after="0" w:line="240" w:lineRule="auto"/>
        <w:ind w:left="0"/>
        <w:rPr>
          <w:rFonts w:ascii="Times New Roman" w:hAnsi="Times New Roman"/>
          <w:sz w:val="28"/>
          <w:szCs w:val="28"/>
          <w:lang w:val="es-CO"/>
        </w:rPr>
      </w:pPr>
    </w:p>
    <w:p w14:paraId="50CEA540" w14:textId="77777777" w:rsidR="00BE2DE4" w:rsidRPr="007F2045" w:rsidRDefault="00015A55"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En segundo lugar, en la mencionada sentencia la Corte </w:t>
      </w:r>
      <w:r w:rsidR="00362AA8" w:rsidRPr="007F2045">
        <w:rPr>
          <w:rFonts w:ascii="Times New Roman" w:hAnsi="Times New Roman"/>
          <w:sz w:val="28"/>
          <w:szCs w:val="28"/>
          <w:lang w:val="es-CO"/>
        </w:rPr>
        <w:t xml:space="preserve">sostuvo que la </w:t>
      </w:r>
      <w:r w:rsidR="0023041C" w:rsidRPr="007F2045">
        <w:rPr>
          <w:rFonts w:ascii="Times New Roman" w:hAnsi="Times New Roman"/>
          <w:sz w:val="28"/>
          <w:szCs w:val="28"/>
          <w:lang w:val="es-CO"/>
        </w:rPr>
        <w:t xml:space="preserve">cosa juzgada derivada de </w:t>
      </w:r>
      <w:r w:rsidR="00436FF0" w:rsidRPr="007F2045">
        <w:rPr>
          <w:rFonts w:ascii="Times New Roman" w:hAnsi="Times New Roman"/>
          <w:sz w:val="28"/>
          <w:szCs w:val="28"/>
          <w:lang w:val="es-CO"/>
        </w:rPr>
        <w:t>la sentencia C-179 de 1994 no impedía</w:t>
      </w:r>
      <w:r w:rsidR="0096508F" w:rsidRPr="007F2045">
        <w:rPr>
          <w:rFonts w:ascii="Times New Roman" w:hAnsi="Times New Roman"/>
          <w:sz w:val="28"/>
          <w:szCs w:val="28"/>
          <w:lang w:val="es-CO"/>
        </w:rPr>
        <w:t xml:space="preserve"> la posibilidad de que una norma posterior, legal o constitucional, confiriera a la Corte </w:t>
      </w:r>
      <w:r w:rsidRPr="007F2045">
        <w:rPr>
          <w:rFonts w:ascii="Times New Roman" w:hAnsi="Times New Roman"/>
          <w:sz w:val="28"/>
          <w:szCs w:val="28"/>
          <w:lang w:val="es-CO"/>
        </w:rPr>
        <w:t>la facultad de suspender provisionalmente normas sometidas al control abstracto de constitucionalidad</w:t>
      </w:r>
      <w:r w:rsidR="008D5BEB" w:rsidRPr="007F2045">
        <w:rPr>
          <w:rFonts w:ascii="Times New Roman" w:hAnsi="Times New Roman"/>
          <w:sz w:val="28"/>
          <w:szCs w:val="28"/>
          <w:lang w:val="es-CO"/>
        </w:rPr>
        <w:t>.</w:t>
      </w:r>
      <w:r w:rsidR="00CA605F" w:rsidRPr="007F2045">
        <w:rPr>
          <w:rFonts w:ascii="Times New Roman" w:hAnsi="Times New Roman"/>
          <w:sz w:val="28"/>
          <w:szCs w:val="28"/>
          <w:lang w:val="es-CO"/>
        </w:rPr>
        <w:t xml:space="preserve"> Esto, luego de examinar la necesidad, conveniencia, riesgos y beneficios </w:t>
      </w:r>
      <w:r w:rsidR="00F64222" w:rsidRPr="007F2045">
        <w:rPr>
          <w:rFonts w:ascii="Times New Roman" w:hAnsi="Times New Roman"/>
          <w:sz w:val="28"/>
          <w:szCs w:val="28"/>
          <w:lang w:val="es-CO"/>
        </w:rPr>
        <w:t>que traería dicha potestad.</w:t>
      </w:r>
    </w:p>
    <w:p w14:paraId="22A66F81" w14:textId="77777777" w:rsidR="00BE2DE4" w:rsidRPr="007F2045" w:rsidRDefault="00BE2DE4" w:rsidP="001B5728">
      <w:pPr>
        <w:pStyle w:val="Prrafodelista"/>
        <w:tabs>
          <w:tab w:val="left" w:pos="284"/>
          <w:tab w:val="left" w:pos="426"/>
        </w:tabs>
        <w:spacing w:after="0" w:line="240" w:lineRule="auto"/>
        <w:ind w:left="0"/>
        <w:rPr>
          <w:rFonts w:ascii="Times New Roman" w:hAnsi="Times New Roman"/>
          <w:sz w:val="28"/>
          <w:szCs w:val="28"/>
          <w:lang w:val="es-CO"/>
        </w:rPr>
      </w:pPr>
    </w:p>
    <w:p w14:paraId="661066E0" w14:textId="77777777" w:rsidR="0060054E" w:rsidRPr="007F2045" w:rsidRDefault="00F65B35"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Esa norma posterior que </w:t>
      </w:r>
      <w:r w:rsidR="00111E4F" w:rsidRPr="007F2045">
        <w:rPr>
          <w:rFonts w:ascii="Times New Roman" w:hAnsi="Times New Roman"/>
          <w:sz w:val="28"/>
          <w:szCs w:val="28"/>
          <w:lang w:val="es-CO"/>
        </w:rPr>
        <w:t xml:space="preserve">se </w:t>
      </w:r>
      <w:r w:rsidRPr="007F2045">
        <w:rPr>
          <w:rFonts w:ascii="Times New Roman" w:hAnsi="Times New Roman"/>
          <w:sz w:val="28"/>
          <w:szCs w:val="28"/>
          <w:lang w:val="es-CO"/>
        </w:rPr>
        <w:t xml:space="preserve">vislumbró </w:t>
      </w:r>
      <w:r w:rsidR="00895F22" w:rsidRPr="007F2045">
        <w:rPr>
          <w:rFonts w:ascii="Times New Roman" w:hAnsi="Times New Roman"/>
          <w:sz w:val="28"/>
          <w:szCs w:val="28"/>
          <w:lang w:val="es-CO"/>
        </w:rPr>
        <w:t xml:space="preserve">en </w:t>
      </w:r>
      <w:r w:rsidRPr="007F2045">
        <w:rPr>
          <w:rFonts w:ascii="Times New Roman" w:hAnsi="Times New Roman"/>
          <w:sz w:val="28"/>
          <w:szCs w:val="28"/>
          <w:lang w:val="es-CO"/>
        </w:rPr>
        <w:t xml:space="preserve">la </w:t>
      </w:r>
      <w:r w:rsidR="007B5060" w:rsidRPr="007F2045">
        <w:rPr>
          <w:rFonts w:ascii="Times New Roman" w:hAnsi="Times New Roman"/>
          <w:sz w:val="28"/>
          <w:szCs w:val="28"/>
          <w:lang w:val="es-CO"/>
        </w:rPr>
        <w:t>sentencia</w:t>
      </w:r>
      <w:r w:rsidRPr="007F2045">
        <w:rPr>
          <w:rFonts w:ascii="Times New Roman" w:hAnsi="Times New Roman"/>
          <w:sz w:val="28"/>
          <w:szCs w:val="28"/>
          <w:lang w:val="es-CO"/>
        </w:rPr>
        <w:t xml:space="preserve"> C-352 de 2017 ya existe en el ordenamiento</w:t>
      </w:r>
      <w:r w:rsidR="00786E3F" w:rsidRPr="007F2045">
        <w:rPr>
          <w:rFonts w:ascii="Times New Roman" w:hAnsi="Times New Roman"/>
          <w:sz w:val="28"/>
          <w:szCs w:val="28"/>
          <w:lang w:val="es-CO"/>
        </w:rPr>
        <w:t xml:space="preserve">. </w:t>
      </w:r>
      <w:r w:rsidR="0060054E" w:rsidRPr="007F2045">
        <w:rPr>
          <w:rFonts w:ascii="Times New Roman" w:hAnsi="Times New Roman"/>
          <w:sz w:val="28"/>
          <w:szCs w:val="28"/>
          <w:lang w:val="es-CO"/>
        </w:rPr>
        <w:t xml:space="preserve">Si bien no provino </w:t>
      </w:r>
      <w:r w:rsidR="00786E3F" w:rsidRPr="007F2045">
        <w:rPr>
          <w:rFonts w:ascii="Times New Roman" w:hAnsi="Times New Roman"/>
          <w:sz w:val="28"/>
          <w:szCs w:val="28"/>
          <w:lang w:val="es-CO"/>
        </w:rPr>
        <w:t>de una norma positiva expedida por el Constituyente o por el legislador, s</w:t>
      </w:r>
      <w:r w:rsidR="0023041C" w:rsidRPr="007F2045">
        <w:rPr>
          <w:rFonts w:ascii="Times New Roman" w:hAnsi="Times New Roman"/>
          <w:sz w:val="28"/>
          <w:szCs w:val="28"/>
          <w:lang w:val="es-CO"/>
        </w:rPr>
        <w:t>í</w:t>
      </w:r>
      <w:r w:rsidR="00786E3F" w:rsidRPr="007F2045">
        <w:rPr>
          <w:rFonts w:ascii="Times New Roman" w:hAnsi="Times New Roman"/>
          <w:sz w:val="28"/>
          <w:szCs w:val="28"/>
          <w:lang w:val="es-CO"/>
        </w:rPr>
        <w:t xml:space="preserve"> fue </w:t>
      </w:r>
      <w:r w:rsidR="00EC1F7C" w:rsidRPr="007F2045">
        <w:rPr>
          <w:rFonts w:ascii="Times New Roman" w:hAnsi="Times New Roman"/>
          <w:sz w:val="28"/>
          <w:szCs w:val="28"/>
          <w:lang w:val="es-CO"/>
        </w:rPr>
        <w:t xml:space="preserve">identificada y </w:t>
      </w:r>
      <w:r w:rsidR="00786E3F" w:rsidRPr="007F2045">
        <w:rPr>
          <w:rFonts w:ascii="Times New Roman" w:hAnsi="Times New Roman"/>
          <w:sz w:val="28"/>
          <w:szCs w:val="28"/>
          <w:lang w:val="es-CO"/>
        </w:rPr>
        <w:t xml:space="preserve">desarrollada por esta Corporación </w:t>
      </w:r>
      <w:r w:rsidR="001A62DF" w:rsidRPr="007F2045">
        <w:rPr>
          <w:rFonts w:ascii="Times New Roman" w:hAnsi="Times New Roman"/>
          <w:sz w:val="28"/>
          <w:szCs w:val="28"/>
          <w:lang w:val="es-CO"/>
        </w:rPr>
        <w:t xml:space="preserve">en el </w:t>
      </w:r>
      <w:r w:rsidR="002A0AC0" w:rsidRPr="007F2045">
        <w:rPr>
          <w:rFonts w:ascii="Times New Roman" w:hAnsi="Times New Roman"/>
          <w:sz w:val="28"/>
          <w:szCs w:val="28"/>
          <w:lang w:val="es-CO"/>
        </w:rPr>
        <w:t>auto</w:t>
      </w:r>
      <w:r w:rsidR="008778D5" w:rsidRPr="007F2045">
        <w:rPr>
          <w:rFonts w:ascii="Times New Roman" w:hAnsi="Times New Roman"/>
          <w:sz w:val="28"/>
          <w:szCs w:val="28"/>
          <w:lang w:val="es-CO"/>
        </w:rPr>
        <w:t xml:space="preserve"> 272 de 2023, proferido </w:t>
      </w:r>
      <w:r w:rsidR="00786E3F" w:rsidRPr="007F2045">
        <w:rPr>
          <w:rFonts w:ascii="Times New Roman" w:hAnsi="Times New Roman"/>
          <w:sz w:val="28"/>
          <w:szCs w:val="28"/>
          <w:lang w:val="es-CO"/>
        </w:rPr>
        <w:t xml:space="preserve">en ejercicio de sus funciones como máximo </w:t>
      </w:r>
      <w:r w:rsidR="008778D5" w:rsidRPr="007F2045">
        <w:rPr>
          <w:rFonts w:ascii="Times New Roman" w:hAnsi="Times New Roman"/>
          <w:sz w:val="28"/>
          <w:szCs w:val="28"/>
          <w:lang w:val="es-CO"/>
        </w:rPr>
        <w:t>intérprete</w:t>
      </w:r>
      <w:r w:rsidR="00786E3F" w:rsidRPr="007F2045">
        <w:rPr>
          <w:rFonts w:ascii="Times New Roman" w:hAnsi="Times New Roman"/>
          <w:sz w:val="28"/>
          <w:szCs w:val="28"/>
          <w:lang w:val="es-CO"/>
        </w:rPr>
        <w:t xml:space="preserve"> de la Constitución, y con fundamento en el principio de supremacía constitucional consagrado en el artículo 4 del </w:t>
      </w:r>
      <w:r w:rsidR="00AC476C" w:rsidRPr="007F2045">
        <w:rPr>
          <w:rFonts w:ascii="Times New Roman" w:hAnsi="Times New Roman"/>
          <w:sz w:val="28"/>
          <w:szCs w:val="28"/>
          <w:lang w:val="es-CO"/>
        </w:rPr>
        <w:t>Texto Superior</w:t>
      </w:r>
      <w:r w:rsidR="00786E3F" w:rsidRPr="007F2045">
        <w:rPr>
          <w:rFonts w:ascii="Times New Roman" w:hAnsi="Times New Roman"/>
          <w:sz w:val="28"/>
          <w:szCs w:val="28"/>
          <w:lang w:val="es-CO"/>
        </w:rPr>
        <w:t>.</w:t>
      </w:r>
      <w:r w:rsidR="0060054E" w:rsidRPr="007F2045">
        <w:rPr>
          <w:rFonts w:ascii="Times New Roman" w:hAnsi="Times New Roman"/>
          <w:sz w:val="28"/>
          <w:szCs w:val="28"/>
          <w:lang w:val="es-CO"/>
        </w:rPr>
        <w:t xml:space="preserve"> </w:t>
      </w:r>
      <w:r w:rsidR="008778D5" w:rsidRPr="007F2045">
        <w:rPr>
          <w:rFonts w:ascii="Times New Roman" w:hAnsi="Times New Roman"/>
          <w:sz w:val="28"/>
          <w:szCs w:val="28"/>
          <w:lang w:val="es-CO"/>
        </w:rPr>
        <w:t xml:space="preserve">Así, no hay duda de que la Corte actualmente cuenta con la facultad </w:t>
      </w:r>
      <w:r w:rsidR="00853BCD" w:rsidRPr="007F2045">
        <w:rPr>
          <w:rFonts w:ascii="Times New Roman" w:hAnsi="Times New Roman"/>
          <w:sz w:val="28"/>
          <w:szCs w:val="28"/>
          <w:lang w:val="es-CO"/>
        </w:rPr>
        <w:t xml:space="preserve">excepcional </w:t>
      </w:r>
      <w:r w:rsidR="008778D5" w:rsidRPr="007F2045">
        <w:rPr>
          <w:rFonts w:ascii="Times New Roman" w:hAnsi="Times New Roman"/>
          <w:sz w:val="28"/>
          <w:szCs w:val="28"/>
          <w:lang w:val="es-CO"/>
        </w:rPr>
        <w:t xml:space="preserve">para suspender provisionalmente normas sometidas al control abstracto de constitucionalidad, </w:t>
      </w:r>
      <w:r w:rsidR="00853BCD" w:rsidRPr="007F2045">
        <w:rPr>
          <w:rFonts w:ascii="Times New Roman" w:hAnsi="Times New Roman"/>
          <w:sz w:val="28"/>
          <w:szCs w:val="28"/>
          <w:lang w:val="es-CO"/>
        </w:rPr>
        <w:t xml:space="preserve">bajo unas estrictas condiciones de procedencia. </w:t>
      </w:r>
    </w:p>
    <w:p w14:paraId="1E47965D" w14:textId="77777777" w:rsidR="0060054E" w:rsidRPr="007F2045" w:rsidRDefault="0060054E" w:rsidP="001B5728">
      <w:pPr>
        <w:pStyle w:val="Prrafodelista"/>
        <w:tabs>
          <w:tab w:val="left" w:pos="284"/>
          <w:tab w:val="left" w:pos="426"/>
        </w:tabs>
        <w:spacing w:after="0" w:line="240" w:lineRule="auto"/>
        <w:ind w:left="0"/>
        <w:rPr>
          <w:rFonts w:ascii="Times New Roman" w:hAnsi="Times New Roman"/>
          <w:sz w:val="28"/>
          <w:szCs w:val="28"/>
          <w:lang w:val="es-CO"/>
        </w:rPr>
      </w:pPr>
    </w:p>
    <w:p w14:paraId="3B603258" w14:textId="77777777" w:rsidR="00853BCD" w:rsidRPr="007F2045" w:rsidRDefault="0034115F"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Cabe preguntarse, entonces, </w:t>
      </w:r>
      <w:r w:rsidR="00853BCD" w:rsidRPr="007F2045">
        <w:rPr>
          <w:rFonts w:ascii="Times New Roman" w:hAnsi="Times New Roman"/>
          <w:sz w:val="28"/>
          <w:szCs w:val="28"/>
          <w:lang w:val="es-CO"/>
        </w:rPr>
        <w:t xml:space="preserve">si esa </w:t>
      </w:r>
      <w:r w:rsidRPr="007F2045">
        <w:rPr>
          <w:rFonts w:ascii="Times New Roman" w:hAnsi="Times New Roman"/>
          <w:sz w:val="28"/>
          <w:szCs w:val="28"/>
          <w:lang w:val="es-CO"/>
        </w:rPr>
        <w:t>potestad</w:t>
      </w:r>
      <w:r w:rsidR="00853BCD" w:rsidRPr="007F2045">
        <w:rPr>
          <w:rFonts w:ascii="Times New Roman" w:hAnsi="Times New Roman"/>
          <w:sz w:val="28"/>
          <w:szCs w:val="28"/>
          <w:lang w:val="es-CO"/>
        </w:rPr>
        <w:t xml:space="preserve"> resulta aplicable a los decretos legislativos que desarrollan el estado de excepción, teniendo en cuenta que la </w:t>
      </w:r>
      <w:r w:rsidR="007B5060" w:rsidRPr="007F2045">
        <w:rPr>
          <w:rFonts w:ascii="Times New Roman" w:hAnsi="Times New Roman"/>
          <w:sz w:val="28"/>
          <w:szCs w:val="28"/>
          <w:lang w:val="es-CO"/>
        </w:rPr>
        <w:t>sentencia</w:t>
      </w:r>
      <w:r w:rsidR="00853BCD" w:rsidRPr="007F2045">
        <w:rPr>
          <w:rFonts w:ascii="Times New Roman" w:hAnsi="Times New Roman"/>
          <w:sz w:val="28"/>
          <w:szCs w:val="28"/>
          <w:lang w:val="es-CO"/>
        </w:rPr>
        <w:t xml:space="preserve"> C-179 de 1994 declaró la inexequibilidad de una potestad s</w:t>
      </w:r>
      <w:r w:rsidR="00441FC2" w:rsidRPr="007F2045">
        <w:rPr>
          <w:rFonts w:ascii="Times New Roman" w:hAnsi="Times New Roman"/>
          <w:sz w:val="28"/>
          <w:szCs w:val="28"/>
          <w:lang w:val="es-CO"/>
        </w:rPr>
        <w:t xml:space="preserve">emejante, y que el </w:t>
      </w:r>
      <w:r w:rsidR="002A0AC0" w:rsidRPr="007F2045">
        <w:rPr>
          <w:rFonts w:ascii="Times New Roman" w:hAnsi="Times New Roman"/>
          <w:sz w:val="28"/>
          <w:szCs w:val="28"/>
          <w:lang w:val="es-CO"/>
        </w:rPr>
        <w:t>auto</w:t>
      </w:r>
      <w:r w:rsidR="00441FC2" w:rsidRPr="007F2045">
        <w:rPr>
          <w:rFonts w:ascii="Times New Roman" w:hAnsi="Times New Roman"/>
          <w:sz w:val="28"/>
          <w:szCs w:val="28"/>
          <w:lang w:val="es-CO"/>
        </w:rPr>
        <w:t xml:space="preserve"> 272 de 2023 determinó que</w:t>
      </w:r>
      <w:r w:rsidR="007C0EB3" w:rsidRPr="007F2045">
        <w:rPr>
          <w:rFonts w:ascii="Times New Roman" w:hAnsi="Times New Roman"/>
          <w:sz w:val="28"/>
          <w:szCs w:val="28"/>
          <w:lang w:val="es-CO"/>
        </w:rPr>
        <w:t xml:space="preserve"> el cambio jurisprudencial allí incorporado no desconocía la cosa juzgada derivada de dicha </w:t>
      </w:r>
      <w:r w:rsidR="001A62DF" w:rsidRPr="007F2045">
        <w:rPr>
          <w:rFonts w:ascii="Times New Roman" w:hAnsi="Times New Roman"/>
          <w:sz w:val="28"/>
          <w:szCs w:val="28"/>
          <w:lang w:val="es-CO"/>
        </w:rPr>
        <w:t>s</w:t>
      </w:r>
      <w:r w:rsidR="007C0EB3" w:rsidRPr="007F2045">
        <w:rPr>
          <w:rFonts w:ascii="Times New Roman" w:hAnsi="Times New Roman"/>
          <w:sz w:val="28"/>
          <w:szCs w:val="28"/>
          <w:lang w:val="es-CO"/>
        </w:rPr>
        <w:t>entencia.</w:t>
      </w:r>
      <w:r w:rsidR="00441FC2" w:rsidRPr="007F2045">
        <w:rPr>
          <w:rFonts w:ascii="Times New Roman" w:hAnsi="Times New Roman"/>
          <w:sz w:val="28"/>
          <w:szCs w:val="28"/>
          <w:lang w:val="es-CO"/>
        </w:rPr>
        <w:t xml:space="preserve"> </w:t>
      </w:r>
    </w:p>
    <w:p w14:paraId="74783B86" w14:textId="77777777" w:rsidR="00853BCD" w:rsidRPr="007F2045" w:rsidRDefault="00853BCD" w:rsidP="001B5728">
      <w:pPr>
        <w:pStyle w:val="Prrafodelista"/>
        <w:tabs>
          <w:tab w:val="left" w:pos="284"/>
          <w:tab w:val="left" w:pos="426"/>
        </w:tabs>
        <w:spacing w:after="0" w:line="240" w:lineRule="auto"/>
        <w:ind w:left="0"/>
        <w:rPr>
          <w:rFonts w:ascii="Times New Roman" w:hAnsi="Times New Roman"/>
          <w:sz w:val="28"/>
          <w:szCs w:val="28"/>
          <w:lang w:val="es-CO"/>
        </w:rPr>
      </w:pPr>
    </w:p>
    <w:p w14:paraId="4390708D" w14:textId="77777777" w:rsidR="00853BCD" w:rsidRPr="007F2045" w:rsidRDefault="00853BCD"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Una primera aproximación a este interrogante </w:t>
      </w:r>
      <w:r w:rsidR="007C0EB3" w:rsidRPr="007F2045">
        <w:rPr>
          <w:rFonts w:ascii="Times New Roman" w:hAnsi="Times New Roman"/>
          <w:sz w:val="28"/>
          <w:szCs w:val="28"/>
          <w:lang w:val="es-CO"/>
        </w:rPr>
        <w:t xml:space="preserve">se encuentra contenida en </w:t>
      </w:r>
      <w:r w:rsidR="004B2222" w:rsidRPr="007F2045">
        <w:rPr>
          <w:rFonts w:ascii="Times New Roman" w:hAnsi="Times New Roman"/>
          <w:sz w:val="28"/>
          <w:szCs w:val="28"/>
          <w:lang w:val="es-CO"/>
        </w:rPr>
        <w:t>la</w:t>
      </w:r>
      <w:r w:rsidR="007C0EB3" w:rsidRPr="007F2045">
        <w:rPr>
          <w:rFonts w:ascii="Times New Roman" w:hAnsi="Times New Roman"/>
          <w:sz w:val="28"/>
          <w:szCs w:val="28"/>
          <w:lang w:val="es-CO"/>
        </w:rPr>
        <w:t xml:space="preserve"> </w:t>
      </w:r>
      <w:r w:rsidR="007B5060" w:rsidRPr="007F2045">
        <w:rPr>
          <w:rFonts w:ascii="Times New Roman" w:hAnsi="Times New Roman"/>
          <w:sz w:val="28"/>
          <w:szCs w:val="28"/>
          <w:lang w:val="es-CO"/>
        </w:rPr>
        <w:t>sentencia</w:t>
      </w:r>
      <w:r w:rsidR="007C0EB3" w:rsidRPr="007F2045">
        <w:rPr>
          <w:rFonts w:ascii="Times New Roman" w:hAnsi="Times New Roman"/>
          <w:sz w:val="28"/>
          <w:szCs w:val="28"/>
          <w:lang w:val="es-CO"/>
        </w:rPr>
        <w:t xml:space="preserve"> </w:t>
      </w:r>
      <w:r w:rsidR="00C0504D" w:rsidRPr="007F2045">
        <w:rPr>
          <w:rFonts w:ascii="Times New Roman" w:hAnsi="Times New Roman"/>
          <w:sz w:val="28"/>
          <w:szCs w:val="28"/>
          <w:lang w:val="es-CO"/>
        </w:rPr>
        <w:t>C-</w:t>
      </w:r>
      <w:r w:rsidR="007C0EB3" w:rsidRPr="007F2045">
        <w:rPr>
          <w:rFonts w:ascii="Times New Roman" w:hAnsi="Times New Roman"/>
          <w:sz w:val="28"/>
          <w:szCs w:val="28"/>
          <w:lang w:val="es-CO"/>
        </w:rPr>
        <w:t>463 de 2023</w:t>
      </w:r>
      <w:r w:rsidR="004B2222" w:rsidRPr="007F2045">
        <w:rPr>
          <w:rFonts w:ascii="Times New Roman" w:hAnsi="Times New Roman"/>
          <w:sz w:val="28"/>
          <w:szCs w:val="28"/>
          <w:lang w:val="es-CO"/>
        </w:rPr>
        <w:t>, en la que se revisó la constitucionalidad del Decreto Legislativo 1276 d</w:t>
      </w:r>
      <w:r w:rsidR="004300FB" w:rsidRPr="007F2045">
        <w:rPr>
          <w:rFonts w:ascii="Times New Roman" w:hAnsi="Times New Roman"/>
          <w:sz w:val="28"/>
          <w:szCs w:val="28"/>
          <w:lang w:val="es-CO"/>
        </w:rPr>
        <w:t>el mismo año, expedido en desarrollo del Estado de Emergencia Económica, Social y Ecológica declarado en el departamento de La Guajira</w:t>
      </w:r>
      <w:r w:rsidR="004300FB" w:rsidRPr="007F2045">
        <w:rPr>
          <w:rFonts w:ascii="Times New Roman" w:hAnsi="Times New Roman"/>
          <w:szCs w:val="28"/>
          <w:vertAlign w:val="superscript"/>
          <w:lang w:val="es-CO"/>
        </w:rPr>
        <w:footnoteReference w:id="43"/>
      </w:r>
      <w:r w:rsidR="004300FB" w:rsidRPr="007F2045">
        <w:rPr>
          <w:rFonts w:ascii="Times New Roman" w:hAnsi="Times New Roman"/>
          <w:sz w:val="28"/>
          <w:szCs w:val="28"/>
          <w:lang w:val="es-CO"/>
        </w:rPr>
        <w:t xml:space="preserve">. </w:t>
      </w:r>
      <w:r w:rsidR="004B2222" w:rsidRPr="007F2045">
        <w:rPr>
          <w:rFonts w:ascii="Times New Roman" w:hAnsi="Times New Roman"/>
          <w:sz w:val="28"/>
          <w:szCs w:val="28"/>
          <w:lang w:val="es-CO"/>
        </w:rPr>
        <w:t xml:space="preserve"> </w:t>
      </w:r>
      <w:r w:rsidR="00C0504D" w:rsidRPr="007F2045">
        <w:rPr>
          <w:rFonts w:ascii="Times New Roman" w:hAnsi="Times New Roman"/>
          <w:sz w:val="28"/>
          <w:szCs w:val="28"/>
          <w:lang w:val="es-CO"/>
        </w:rPr>
        <w:t>En los antecedentes d</w:t>
      </w:r>
      <w:r w:rsidR="004300FB" w:rsidRPr="007F2045">
        <w:rPr>
          <w:rFonts w:ascii="Times New Roman" w:hAnsi="Times New Roman"/>
          <w:sz w:val="28"/>
          <w:szCs w:val="28"/>
          <w:lang w:val="es-CO"/>
        </w:rPr>
        <w:t xml:space="preserve">e la </w:t>
      </w:r>
      <w:r w:rsidR="001A62DF" w:rsidRPr="007F2045">
        <w:rPr>
          <w:rFonts w:ascii="Times New Roman" w:hAnsi="Times New Roman"/>
          <w:sz w:val="28"/>
          <w:szCs w:val="28"/>
          <w:lang w:val="es-CO"/>
        </w:rPr>
        <w:t>s</w:t>
      </w:r>
      <w:r w:rsidR="004300FB" w:rsidRPr="007F2045">
        <w:rPr>
          <w:rFonts w:ascii="Times New Roman" w:hAnsi="Times New Roman"/>
          <w:sz w:val="28"/>
          <w:szCs w:val="28"/>
          <w:lang w:val="es-CO"/>
        </w:rPr>
        <w:t xml:space="preserve">entencia </w:t>
      </w:r>
      <w:r w:rsidR="00C0504D" w:rsidRPr="007F2045">
        <w:rPr>
          <w:rFonts w:ascii="Times New Roman" w:hAnsi="Times New Roman"/>
          <w:sz w:val="28"/>
          <w:szCs w:val="28"/>
          <w:lang w:val="es-CO"/>
        </w:rPr>
        <w:t xml:space="preserve">se dejó constancia de que la Corte consideró improcedente </w:t>
      </w:r>
      <w:r w:rsidR="004300FB" w:rsidRPr="007F2045">
        <w:rPr>
          <w:rFonts w:ascii="Times New Roman" w:hAnsi="Times New Roman"/>
          <w:sz w:val="28"/>
          <w:szCs w:val="28"/>
          <w:lang w:val="es-CO"/>
        </w:rPr>
        <w:t>una solicitud ciudadana que pretendía la suspensión provisional del decreto en cuestión</w:t>
      </w:r>
      <w:r w:rsidR="00C0504D" w:rsidRPr="007F2045">
        <w:rPr>
          <w:rFonts w:ascii="Times New Roman" w:hAnsi="Times New Roman"/>
          <w:sz w:val="28"/>
          <w:szCs w:val="28"/>
          <w:lang w:val="es-CO"/>
        </w:rPr>
        <w:t xml:space="preserve"> con fundamento en el </w:t>
      </w:r>
      <w:r w:rsidR="002A0AC0" w:rsidRPr="007F2045">
        <w:rPr>
          <w:rFonts w:ascii="Times New Roman" w:hAnsi="Times New Roman"/>
          <w:sz w:val="28"/>
          <w:szCs w:val="28"/>
          <w:lang w:val="es-CO"/>
        </w:rPr>
        <w:t>auto</w:t>
      </w:r>
      <w:r w:rsidR="00C0504D" w:rsidRPr="007F2045">
        <w:rPr>
          <w:rFonts w:ascii="Times New Roman" w:hAnsi="Times New Roman"/>
          <w:sz w:val="28"/>
          <w:szCs w:val="28"/>
          <w:lang w:val="es-CO"/>
        </w:rPr>
        <w:t xml:space="preserve"> 272 de 2023, ya que dicha providencia “exceptuó, expresamente, de la medida excepcional de suspensión provisional a los decretos legislativos emitidos al amparo de un estado de emergencia”</w:t>
      </w:r>
      <w:r w:rsidR="00C0504D" w:rsidRPr="007F2045">
        <w:rPr>
          <w:rFonts w:ascii="Times New Roman" w:hAnsi="Times New Roman"/>
          <w:szCs w:val="28"/>
          <w:vertAlign w:val="superscript"/>
          <w:lang w:val="es-CO"/>
        </w:rPr>
        <w:footnoteReference w:id="44"/>
      </w:r>
      <w:r w:rsidR="00C0504D" w:rsidRPr="007F2045">
        <w:rPr>
          <w:rFonts w:ascii="Times New Roman" w:hAnsi="Times New Roman"/>
          <w:sz w:val="28"/>
          <w:szCs w:val="28"/>
          <w:lang w:val="es-CO"/>
        </w:rPr>
        <w:t xml:space="preserve">. La </w:t>
      </w:r>
      <w:r w:rsidR="001A62DF" w:rsidRPr="007F2045">
        <w:rPr>
          <w:rFonts w:ascii="Times New Roman" w:hAnsi="Times New Roman"/>
          <w:sz w:val="28"/>
          <w:szCs w:val="28"/>
          <w:lang w:val="es-CO"/>
        </w:rPr>
        <w:t>s</w:t>
      </w:r>
      <w:r w:rsidR="00C0504D" w:rsidRPr="007F2045">
        <w:rPr>
          <w:rFonts w:ascii="Times New Roman" w:hAnsi="Times New Roman"/>
          <w:sz w:val="28"/>
          <w:szCs w:val="28"/>
          <w:lang w:val="es-CO"/>
        </w:rPr>
        <w:t xml:space="preserve">entencia llegó a esta conclusión tras considerar que el </w:t>
      </w:r>
      <w:r w:rsidR="002A0AC0" w:rsidRPr="007F2045">
        <w:rPr>
          <w:rFonts w:ascii="Times New Roman" w:hAnsi="Times New Roman"/>
          <w:sz w:val="28"/>
          <w:szCs w:val="28"/>
          <w:lang w:val="es-CO"/>
        </w:rPr>
        <w:t>auto</w:t>
      </w:r>
      <w:r w:rsidR="00C0504D" w:rsidRPr="007F2045">
        <w:rPr>
          <w:rFonts w:ascii="Times New Roman" w:hAnsi="Times New Roman"/>
          <w:sz w:val="28"/>
          <w:szCs w:val="28"/>
          <w:lang w:val="es-CO"/>
        </w:rPr>
        <w:t xml:space="preserve"> 272 de 2023, en cuanto a la inconstitucionalidad de la</w:t>
      </w:r>
      <w:r w:rsidR="00722247" w:rsidRPr="007F2045">
        <w:rPr>
          <w:rFonts w:ascii="Times New Roman" w:hAnsi="Times New Roman"/>
          <w:sz w:val="28"/>
          <w:szCs w:val="28"/>
          <w:lang w:val="es-CO"/>
        </w:rPr>
        <w:t>s</w:t>
      </w:r>
      <w:r w:rsidR="00C0504D" w:rsidRPr="007F2045">
        <w:rPr>
          <w:rFonts w:ascii="Times New Roman" w:hAnsi="Times New Roman"/>
          <w:sz w:val="28"/>
          <w:szCs w:val="28"/>
          <w:lang w:val="es-CO"/>
        </w:rPr>
        <w:t xml:space="preserve"> norma</w:t>
      </w:r>
      <w:r w:rsidR="00722247" w:rsidRPr="007F2045">
        <w:rPr>
          <w:rFonts w:ascii="Times New Roman" w:hAnsi="Times New Roman"/>
          <w:sz w:val="28"/>
          <w:szCs w:val="28"/>
          <w:lang w:val="es-CO"/>
        </w:rPr>
        <w:t>s</w:t>
      </w:r>
      <w:r w:rsidR="00C0504D" w:rsidRPr="007F2045">
        <w:rPr>
          <w:rFonts w:ascii="Times New Roman" w:hAnsi="Times New Roman"/>
          <w:sz w:val="28"/>
          <w:szCs w:val="28"/>
          <w:lang w:val="es-CO"/>
        </w:rPr>
        <w:t xml:space="preserve"> que permitía</w:t>
      </w:r>
      <w:r w:rsidR="00722247" w:rsidRPr="007F2045">
        <w:rPr>
          <w:rFonts w:ascii="Times New Roman" w:hAnsi="Times New Roman"/>
          <w:sz w:val="28"/>
          <w:szCs w:val="28"/>
          <w:lang w:val="es-CO"/>
        </w:rPr>
        <w:t>n</w:t>
      </w:r>
      <w:r w:rsidR="00C0504D" w:rsidRPr="007F2045">
        <w:rPr>
          <w:rFonts w:ascii="Times New Roman" w:hAnsi="Times New Roman"/>
          <w:sz w:val="28"/>
          <w:szCs w:val="28"/>
          <w:lang w:val="es-CO"/>
        </w:rPr>
        <w:t xml:space="preserve"> la suspensión provisional de tales decretos</w:t>
      </w:r>
      <w:r w:rsidR="00C0504D" w:rsidRPr="007F2045">
        <w:rPr>
          <w:rFonts w:ascii="Times New Roman" w:hAnsi="Times New Roman"/>
          <w:szCs w:val="28"/>
          <w:vertAlign w:val="superscript"/>
          <w:lang w:val="es-CO"/>
        </w:rPr>
        <w:footnoteReference w:id="45"/>
      </w:r>
      <w:r w:rsidR="00722247" w:rsidRPr="007F2045">
        <w:rPr>
          <w:rFonts w:ascii="Times New Roman" w:hAnsi="Times New Roman"/>
          <w:sz w:val="28"/>
          <w:szCs w:val="28"/>
          <w:lang w:val="es-CO"/>
        </w:rPr>
        <w:t>, respetó lo resuelto en la sentencia C-179 de 1994.</w:t>
      </w:r>
    </w:p>
    <w:p w14:paraId="173AA838" w14:textId="77777777" w:rsidR="00C0504D" w:rsidRPr="007F2045" w:rsidRDefault="00C0504D" w:rsidP="001B5728">
      <w:pPr>
        <w:pStyle w:val="Prrafodelista"/>
        <w:tabs>
          <w:tab w:val="left" w:pos="284"/>
          <w:tab w:val="left" w:pos="426"/>
        </w:tabs>
        <w:spacing w:after="0" w:line="240" w:lineRule="auto"/>
        <w:ind w:left="0"/>
        <w:rPr>
          <w:rFonts w:ascii="Times New Roman" w:hAnsi="Times New Roman"/>
          <w:sz w:val="28"/>
          <w:szCs w:val="28"/>
          <w:lang w:val="es-CO"/>
        </w:rPr>
      </w:pPr>
    </w:p>
    <w:p w14:paraId="40541B66" w14:textId="77777777" w:rsidR="00A315FA" w:rsidRPr="007F2045" w:rsidRDefault="00C0504D"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En esta oportunidad, la Corte considera necesario rectificar lo señalado en la </w:t>
      </w:r>
      <w:r w:rsidR="007B5060" w:rsidRPr="007F2045">
        <w:rPr>
          <w:rFonts w:ascii="Times New Roman" w:hAnsi="Times New Roman"/>
          <w:sz w:val="28"/>
          <w:szCs w:val="28"/>
          <w:lang w:val="es-CO"/>
        </w:rPr>
        <w:t>sentencia</w:t>
      </w:r>
      <w:r w:rsidRPr="007F2045">
        <w:rPr>
          <w:rFonts w:ascii="Times New Roman" w:hAnsi="Times New Roman"/>
          <w:sz w:val="28"/>
          <w:szCs w:val="28"/>
          <w:lang w:val="es-CO"/>
        </w:rPr>
        <w:t xml:space="preserve"> C-463 de 2023, porque no refleja el verdadero alcance de la cosa juzgada de la </w:t>
      </w:r>
      <w:r w:rsidR="007B5060" w:rsidRPr="007F2045">
        <w:rPr>
          <w:rFonts w:ascii="Times New Roman" w:hAnsi="Times New Roman"/>
          <w:sz w:val="28"/>
          <w:szCs w:val="28"/>
          <w:lang w:val="es-CO"/>
        </w:rPr>
        <w:t>sentencia</w:t>
      </w:r>
      <w:r w:rsidRPr="007F2045">
        <w:rPr>
          <w:rFonts w:ascii="Times New Roman" w:hAnsi="Times New Roman"/>
          <w:sz w:val="28"/>
          <w:szCs w:val="28"/>
          <w:lang w:val="es-CO"/>
        </w:rPr>
        <w:t xml:space="preserve"> C-179 de 1994. </w:t>
      </w:r>
      <w:r w:rsidR="001C7DF2" w:rsidRPr="007F2045">
        <w:rPr>
          <w:rFonts w:ascii="Times New Roman" w:hAnsi="Times New Roman"/>
          <w:sz w:val="28"/>
          <w:szCs w:val="28"/>
          <w:lang w:val="es-CO"/>
        </w:rPr>
        <w:t xml:space="preserve">Por una parte, en </w:t>
      </w:r>
      <w:r w:rsidR="00681B89" w:rsidRPr="007F2045">
        <w:rPr>
          <w:rFonts w:ascii="Times New Roman" w:hAnsi="Times New Roman"/>
          <w:sz w:val="28"/>
          <w:szCs w:val="28"/>
          <w:lang w:val="es-CO"/>
        </w:rPr>
        <w:t xml:space="preserve">la </w:t>
      </w:r>
      <w:r w:rsidR="00DD1E25" w:rsidRPr="007F2045">
        <w:rPr>
          <w:rFonts w:ascii="Times New Roman" w:hAnsi="Times New Roman"/>
          <w:b/>
          <w:bCs/>
          <w:sz w:val="28"/>
          <w:szCs w:val="28"/>
          <w:lang w:val="es-CO"/>
        </w:rPr>
        <w:t>s</w:t>
      </w:r>
      <w:r w:rsidR="00681B89" w:rsidRPr="007F2045">
        <w:rPr>
          <w:rFonts w:ascii="Times New Roman" w:hAnsi="Times New Roman"/>
          <w:b/>
          <w:bCs/>
          <w:sz w:val="28"/>
          <w:szCs w:val="28"/>
          <w:lang w:val="es-CO"/>
        </w:rPr>
        <w:t>ección 4.2.b</w:t>
      </w:r>
      <w:r w:rsidR="00681B89" w:rsidRPr="007F2045">
        <w:rPr>
          <w:rFonts w:ascii="Times New Roman" w:hAnsi="Times New Roman"/>
          <w:sz w:val="28"/>
          <w:szCs w:val="28"/>
          <w:lang w:val="es-CO"/>
        </w:rPr>
        <w:t xml:space="preserve"> </w:t>
      </w:r>
      <w:r w:rsidR="00957FA2" w:rsidRPr="007F2045">
        <w:rPr>
          <w:rFonts w:ascii="Times New Roman" w:hAnsi="Times New Roman"/>
          <w:sz w:val="28"/>
          <w:szCs w:val="28"/>
          <w:lang w:val="es-CO"/>
        </w:rPr>
        <w:t xml:space="preserve">del </w:t>
      </w:r>
      <w:r w:rsidR="00DD64C5" w:rsidRPr="007F2045">
        <w:rPr>
          <w:rFonts w:ascii="Times New Roman" w:hAnsi="Times New Roman"/>
          <w:sz w:val="28"/>
          <w:szCs w:val="28"/>
          <w:lang w:val="es-CO"/>
        </w:rPr>
        <w:t>presente</w:t>
      </w:r>
      <w:r w:rsidR="001C7DF2" w:rsidRPr="007F2045">
        <w:rPr>
          <w:rFonts w:ascii="Times New Roman" w:hAnsi="Times New Roman"/>
          <w:sz w:val="28"/>
          <w:szCs w:val="28"/>
          <w:lang w:val="es-CO"/>
        </w:rPr>
        <w:t xml:space="preserve"> </w:t>
      </w:r>
      <w:r w:rsidR="00DD64C5" w:rsidRPr="007F2045">
        <w:rPr>
          <w:rFonts w:ascii="Times New Roman" w:hAnsi="Times New Roman"/>
          <w:sz w:val="28"/>
          <w:szCs w:val="28"/>
          <w:lang w:val="es-CO"/>
        </w:rPr>
        <w:t>a</w:t>
      </w:r>
      <w:r w:rsidR="001C7DF2" w:rsidRPr="007F2045">
        <w:rPr>
          <w:rFonts w:ascii="Times New Roman" w:hAnsi="Times New Roman"/>
          <w:sz w:val="28"/>
          <w:szCs w:val="28"/>
          <w:lang w:val="es-CO"/>
        </w:rPr>
        <w:t xml:space="preserve">uto ya se </w:t>
      </w:r>
      <w:r w:rsidR="00DD64C5" w:rsidRPr="007F2045">
        <w:rPr>
          <w:rFonts w:ascii="Times New Roman" w:hAnsi="Times New Roman"/>
          <w:sz w:val="28"/>
          <w:szCs w:val="28"/>
          <w:lang w:val="es-CO"/>
        </w:rPr>
        <w:t xml:space="preserve">demostró </w:t>
      </w:r>
      <w:r w:rsidR="001C7DF2" w:rsidRPr="007F2045">
        <w:rPr>
          <w:rFonts w:ascii="Times New Roman" w:hAnsi="Times New Roman"/>
          <w:sz w:val="28"/>
          <w:szCs w:val="28"/>
          <w:lang w:val="es-CO"/>
        </w:rPr>
        <w:t xml:space="preserve">cómo </w:t>
      </w:r>
      <w:r w:rsidR="00976074" w:rsidRPr="007F2045">
        <w:rPr>
          <w:rFonts w:ascii="Times New Roman" w:hAnsi="Times New Roman"/>
          <w:sz w:val="28"/>
          <w:szCs w:val="28"/>
          <w:lang w:val="es-CO"/>
        </w:rPr>
        <w:t xml:space="preserve">la medida de suspensión provisional que </w:t>
      </w:r>
      <w:r w:rsidR="00976074" w:rsidRPr="007F2045">
        <w:rPr>
          <w:rFonts w:ascii="Times New Roman" w:hAnsi="Times New Roman"/>
          <w:sz w:val="28"/>
          <w:szCs w:val="28"/>
          <w:lang w:val="es-CO"/>
        </w:rPr>
        <w:lastRenderedPageBreak/>
        <w:t xml:space="preserve">dicha </w:t>
      </w:r>
      <w:r w:rsidR="001A62DF" w:rsidRPr="007F2045">
        <w:rPr>
          <w:rFonts w:ascii="Times New Roman" w:hAnsi="Times New Roman"/>
          <w:sz w:val="28"/>
          <w:szCs w:val="28"/>
          <w:lang w:val="es-CO"/>
        </w:rPr>
        <w:t>s</w:t>
      </w:r>
      <w:r w:rsidR="00976074" w:rsidRPr="007F2045">
        <w:rPr>
          <w:rFonts w:ascii="Times New Roman" w:hAnsi="Times New Roman"/>
          <w:sz w:val="28"/>
          <w:szCs w:val="28"/>
          <w:lang w:val="es-CO"/>
        </w:rPr>
        <w:t>entencia declaró inexequible no versó sobre los decretos declarat</w:t>
      </w:r>
      <w:r w:rsidR="001A62DF" w:rsidRPr="007F2045">
        <w:rPr>
          <w:rFonts w:ascii="Times New Roman" w:hAnsi="Times New Roman"/>
          <w:sz w:val="28"/>
          <w:szCs w:val="28"/>
          <w:lang w:val="es-CO"/>
        </w:rPr>
        <w:t>orios</w:t>
      </w:r>
      <w:r w:rsidR="00976074" w:rsidRPr="007F2045">
        <w:rPr>
          <w:rFonts w:ascii="Times New Roman" w:hAnsi="Times New Roman"/>
          <w:sz w:val="28"/>
          <w:szCs w:val="28"/>
          <w:lang w:val="es-CO"/>
        </w:rPr>
        <w:t xml:space="preserve"> del estado de excepción</w:t>
      </w:r>
      <w:r w:rsidR="001A62DF" w:rsidRPr="007F2045">
        <w:rPr>
          <w:rFonts w:ascii="Times New Roman" w:hAnsi="Times New Roman"/>
          <w:sz w:val="28"/>
          <w:szCs w:val="28"/>
          <w:lang w:val="es-CO"/>
        </w:rPr>
        <w:t>,</w:t>
      </w:r>
      <w:r w:rsidR="00976074" w:rsidRPr="007F2045">
        <w:rPr>
          <w:rFonts w:ascii="Times New Roman" w:hAnsi="Times New Roman"/>
          <w:sz w:val="28"/>
          <w:szCs w:val="28"/>
          <w:lang w:val="es-CO"/>
        </w:rPr>
        <w:t xml:space="preserve"> sino únicamente respecto de aquéllos que lo desarrollan. Por otra parte, una revisión más detallada de la medida analizada en la </w:t>
      </w:r>
      <w:r w:rsidR="007B5060" w:rsidRPr="007F2045">
        <w:rPr>
          <w:rFonts w:ascii="Times New Roman" w:hAnsi="Times New Roman"/>
          <w:sz w:val="28"/>
          <w:szCs w:val="28"/>
          <w:lang w:val="es-CO"/>
        </w:rPr>
        <w:t>sentencia</w:t>
      </w:r>
      <w:r w:rsidR="00976074" w:rsidRPr="007F2045">
        <w:rPr>
          <w:rFonts w:ascii="Times New Roman" w:hAnsi="Times New Roman"/>
          <w:sz w:val="28"/>
          <w:szCs w:val="28"/>
          <w:lang w:val="es-CO"/>
        </w:rPr>
        <w:t xml:space="preserve"> C-179 de 1994, así como de la regla excepcional de suspensión provisional desarrollada por el </w:t>
      </w:r>
      <w:r w:rsidR="002A0AC0" w:rsidRPr="007F2045">
        <w:rPr>
          <w:rFonts w:ascii="Times New Roman" w:hAnsi="Times New Roman"/>
          <w:sz w:val="28"/>
          <w:szCs w:val="28"/>
          <w:lang w:val="es-CO"/>
        </w:rPr>
        <w:t>auto</w:t>
      </w:r>
      <w:r w:rsidR="00976074" w:rsidRPr="007F2045">
        <w:rPr>
          <w:rFonts w:ascii="Times New Roman" w:hAnsi="Times New Roman"/>
          <w:sz w:val="28"/>
          <w:szCs w:val="28"/>
          <w:lang w:val="es-CO"/>
        </w:rPr>
        <w:t xml:space="preserve"> 272 de 2023, evidencia</w:t>
      </w:r>
      <w:r w:rsidR="00C93BFE" w:rsidRPr="007F2045">
        <w:rPr>
          <w:rFonts w:ascii="Times New Roman" w:hAnsi="Times New Roman"/>
          <w:sz w:val="28"/>
          <w:szCs w:val="28"/>
          <w:lang w:val="es-CO"/>
        </w:rPr>
        <w:t xml:space="preserve"> que</w:t>
      </w:r>
      <w:r w:rsidR="001A62DF" w:rsidRPr="007F2045">
        <w:rPr>
          <w:rFonts w:ascii="Times New Roman" w:hAnsi="Times New Roman"/>
          <w:sz w:val="28"/>
          <w:szCs w:val="28"/>
          <w:lang w:val="es-CO"/>
        </w:rPr>
        <w:t>,</w:t>
      </w:r>
      <w:r w:rsidR="00976074" w:rsidRPr="007F2045">
        <w:rPr>
          <w:rFonts w:ascii="Times New Roman" w:hAnsi="Times New Roman"/>
          <w:sz w:val="28"/>
          <w:szCs w:val="28"/>
          <w:lang w:val="es-CO"/>
        </w:rPr>
        <w:t xml:space="preserve"> sin lugar a equívocos</w:t>
      </w:r>
      <w:r w:rsidR="001A62DF" w:rsidRPr="007F2045">
        <w:rPr>
          <w:rFonts w:ascii="Times New Roman" w:hAnsi="Times New Roman"/>
          <w:sz w:val="28"/>
          <w:szCs w:val="28"/>
          <w:lang w:val="es-CO"/>
        </w:rPr>
        <w:t>,</w:t>
      </w:r>
      <w:r w:rsidR="00976074" w:rsidRPr="007F2045">
        <w:rPr>
          <w:rFonts w:ascii="Times New Roman" w:hAnsi="Times New Roman"/>
          <w:sz w:val="28"/>
          <w:szCs w:val="28"/>
          <w:lang w:val="es-CO"/>
        </w:rPr>
        <w:t xml:space="preserve"> se trata de dos proposiciones que tienen un contenido normativo significativamente distinto.</w:t>
      </w:r>
    </w:p>
    <w:p w14:paraId="75ABF497" w14:textId="77777777" w:rsidR="00684A8D" w:rsidRPr="007F2045" w:rsidRDefault="00684A8D" w:rsidP="001B5728">
      <w:pPr>
        <w:pStyle w:val="Prrafodelista"/>
        <w:tabs>
          <w:tab w:val="left" w:pos="284"/>
          <w:tab w:val="left" w:pos="426"/>
        </w:tabs>
        <w:spacing w:after="0" w:line="240" w:lineRule="auto"/>
        <w:ind w:left="0"/>
        <w:rPr>
          <w:rFonts w:ascii="Times New Roman" w:hAnsi="Times New Roman"/>
          <w:sz w:val="28"/>
          <w:szCs w:val="28"/>
          <w:lang w:val="es-CO"/>
        </w:rPr>
      </w:pPr>
    </w:p>
    <w:p w14:paraId="60D32B35" w14:textId="77777777" w:rsidR="00684A8D" w:rsidRPr="007F2045" w:rsidRDefault="00976074"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En efecto</w:t>
      </w:r>
      <w:r w:rsidR="674EB737" w:rsidRPr="007F2045">
        <w:rPr>
          <w:rFonts w:ascii="Times New Roman" w:hAnsi="Times New Roman"/>
          <w:sz w:val="28"/>
          <w:szCs w:val="28"/>
          <w:lang w:val="es-CO"/>
        </w:rPr>
        <w:t xml:space="preserve">, a partir de </w:t>
      </w:r>
      <w:r w:rsidR="6FF1B433" w:rsidRPr="007F2045">
        <w:rPr>
          <w:rFonts w:ascii="Times New Roman" w:hAnsi="Times New Roman"/>
          <w:sz w:val="28"/>
          <w:szCs w:val="28"/>
          <w:lang w:val="es-CO"/>
        </w:rPr>
        <w:t xml:space="preserve">la comparación que se </w:t>
      </w:r>
      <w:r w:rsidR="674EB737" w:rsidRPr="007F2045">
        <w:rPr>
          <w:rFonts w:ascii="Times New Roman" w:hAnsi="Times New Roman"/>
          <w:sz w:val="28"/>
          <w:szCs w:val="28"/>
          <w:lang w:val="es-CO"/>
        </w:rPr>
        <w:t xml:space="preserve">realiza </w:t>
      </w:r>
      <w:r w:rsidR="4343D4D5" w:rsidRPr="007F2045">
        <w:rPr>
          <w:rFonts w:ascii="Times New Roman" w:hAnsi="Times New Roman"/>
          <w:sz w:val="28"/>
          <w:szCs w:val="28"/>
          <w:lang w:val="es-CO"/>
        </w:rPr>
        <w:t>a continuación</w:t>
      </w:r>
      <w:r w:rsidR="6FF1B433" w:rsidRPr="007F2045">
        <w:rPr>
          <w:rFonts w:ascii="Times New Roman" w:hAnsi="Times New Roman"/>
          <w:sz w:val="28"/>
          <w:szCs w:val="28"/>
          <w:lang w:val="es-CO"/>
        </w:rPr>
        <w:t xml:space="preserve">, la Corte </w:t>
      </w:r>
      <w:r w:rsidR="674EB737" w:rsidRPr="007F2045">
        <w:rPr>
          <w:rFonts w:ascii="Times New Roman" w:hAnsi="Times New Roman"/>
          <w:sz w:val="28"/>
          <w:szCs w:val="28"/>
          <w:lang w:val="es-CO"/>
        </w:rPr>
        <w:t xml:space="preserve">también encuentra </w:t>
      </w:r>
      <w:r w:rsidR="6FF1B433" w:rsidRPr="007F2045">
        <w:rPr>
          <w:rFonts w:ascii="Times New Roman" w:hAnsi="Times New Roman"/>
          <w:sz w:val="28"/>
          <w:szCs w:val="28"/>
          <w:lang w:val="es-CO"/>
        </w:rPr>
        <w:t xml:space="preserve">que la </w:t>
      </w:r>
      <w:r w:rsidR="007B5060" w:rsidRPr="007F2045">
        <w:rPr>
          <w:rFonts w:ascii="Times New Roman" w:hAnsi="Times New Roman"/>
          <w:sz w:val="28"/>
          <w:szCs w:val="28"/>
          <w:lang w:val="es-CO"/>
        </w:rPr>
        <w:t>sentencia</w:t>
      </w:r>
      <w:r w:rsidR="6FF1B433" w:rsidRPr="007F2045">
        <w:rPr>
          <w:rFonts w:ascii="Times New Roman" w:hAnsi="Times New Roman"/>
          <w:sz w:val="28"/>
          <w:szCs w:val="28"/>
          <w:lang w:val="es-CO"/>
        </w:rPr>
        <w:t xml:space="preserve"> C-179 de 1994 tampoco constituye cosa juzgada que impida aplicar el </w:t>
      </w:r>
      <w:r w:rsidR="002A0AC0" w:rsidRPr="007F2045">
        <w:rPr>
          <w:rFonts w:ascii="Times New Roman" w:hAnsi="Times New Roman"/>
          <w:sz w:val="28"/>
          <w:szCs w:val="28"/>
          <w:lang w:val="es-CO"/>
        </w:rPr>
        <w:t>auto</w:t>
      </w:r>
      <w:r w:rsidR="6FF1B433" w:rsidRPr="007F2045">
        <w:rPr>
          <w:rFonts w:ascii="Times New Roman" w:hAnsi="Times New Roman"/>
          <w:sz w:val="28"/>
          <w:szCs w:val="28"/>
          <w:lang w:val="es-CO"/>
        </w:rPr>
        <w:t xml:space="preserve"> 272 de 2023</w:t>
      </w:r>
      <w:r w:rsidR="002444A1" w:rsidRPr="007F2045">
        <w:rPr>
          <w:rFonts w:ascii="Times New Roman" w:hAnsi="Times New Roman"/>
          <w:sz w:val="28"/>
          <w:szCs w:val="28"/>
          <w:lang w:val="es-CO"/>
        </w:rPr>
        <w:t>,</w:t>
      </w:r>
      <w:r w:rsidR="6FF1B433" w:rsidRPr="007F2045">
        <w:rPr>
          <w:rFonts w:ascii="Times New Roman" w:hAnsi="Times New Roman"/>
          <w:sz w:val="28"/>
          <w:szCs w:val="28"/>
          <w:lang w:val="es-CO"/>
        </w:rPr>
        <w:t xml:space="preserve"> para suspender los decretos de desarrollo </w:t>
      </w:r>
      <w:r w:rsidR="674EB737" w:rsidRPr="007F2045">
        <w:rPr>
          <w:rFonts w:ascii="Times New Roman" w:hAnsi="Times New Roman"/>
          <w:sz w:val="28"/>
          <w:szCs w:val="28"/>
          <w:lang w:val="es-CO"/>
        </w:rPr>
        <w:t xml:space="preserve">que se expidan al amparo y con fundamento en la declaratoria de un </w:t>
      </w:r>
      <w:r w:rsidR="6FF1B433" w:rsidRPr="007F2045">
        <w:rPr>
          <w:rFonts w:ascii="Times New Roman" w:hAnsi="Times New Roman"/>
          <w:sz w:val="28"/>
          <w:szCs w:val="28"/>
          <w:lang w:val="es-CO"/>
        </w:rPr>
        <w:t>estado de excepción, ya que no hay identidad de objeto entre la medida que la Corte declaró inexequible y la que se encuentra actualmente vigente:</w:t>
      </w:r>
    </w:p>
    <w:p w14:paraId="202D6EE4" w14:textId="77777777" w:rsidR="00684A8D" w:rsidRPr="007F2045" w:rsidRDefault="00684A8D" w:rsidP="001B5728">
      <w:pPr>
        <w:spacing w:after="0" w:line="240" w:lineRule="auto"/>
        <w:rPr>
          <w:rFonts w:ascii="Times New Roman" w:hAnsi="Times New Roman"/>
          <w:sz w:val="20"/>
          <w:szCs w:val="20"/>
          <w:lang w:val="es-CO"/>
        </w:rPr>
      </w:pPr>
    </w:p>
    <w:tbl>
      <w:tblPr>
        <w:tblStyle w:val="Tablaconcuadrcula"/>
        <w:tblW w:w="0" w:type="auto"/>
        <w:tblLook w:val="04A0" w:firstRow="1" w:lastRow="0" w:firstColumn="1" w:lastColumn="0" w:noHBand="0" w:noVBand="1"/>
      </w:tblPr>
      <w:tblGrid>
        <w:gridCol w:w="1483"/>
        <w:gridCol w:w="3672"/>
        <w:gridCol w:w="3673"/>
      </w:tblGrid>
      <w:tr w:rsidR="003331F3" w:rsidRPr="007F2045" w14:paraId="624D6BE8" w14:textId="77777777" w:rsidTr="00557B94">
        <w:trPr>
          <w:tblHeader/>
        </w:trPr>
        <w:tc>
          <w:tcPr>
            <w:tcW w:w="1483" w:type="dxa"/>
            <w:shd w:val="clear" w:color="auto" w:fill="D0CECE" w:themeFill="background2" w:themeFillShade="E6"/>
          </w:tcPr>
          <w:p w14:paraId="0A03E41E" w14:textId="77777777" w:rsidR="00684A8D" w:rsidRPr="007F2045" w:rsidRDefault="00684A8D" w:rsidP="001B5728">
            <w:pPr>
              <w:spacing w:line="240" w:lineRule="auto"/>
              <w:jc w:val="center"/>
              <w:rPr>
                <w:rFonts w:ascii="Times New Roman" w:hAnsi="Times New Roman"/>
                <w:b/>
                <w:bCs/>
                <w:sz w:val="20"/>
                <w:szCs w:val="20"/>
                <w:lang w:val="es-CO"/>
              </w:rPr>
            </w:pPr>
            <w:r w:rsidRPr="007F2045">
              <w:rPr>
                <w:rFonts w:ascii="Times New Roman" w:hAnsi="Times New Roman"/>
                <w:b/>
                <w:bCs/>
                <w:sz w:val="20"/>
                <w:szCs w:val="20"/>
                <w:lang w:val="es-CO"/>
              </w:rPr>
              <w:t>Criterio</w:t>
            </w:r>
          </w:p>
        </w:tc>
        <w:tc>
          <w:tcPr>
            <w:tcW w:w="3672" w:type="dxa"/>
            <w:shd w:val="clear" w:color="auto" w:fill="D0CECE" w:themeFill="background2" w:themeFillShade="E6"/>
          </w:tcPr>
          <w:p w14:paraId="52530AB8" w14:textId="77777777" w:rsidR="00684A8D" w:rsidRPr="007F2045" w:rsidRDefault="00684A8D" w:rsidP="001B5728">
            <w:pPr>
              <w:spacing w:line="240" w:lineRule="auto"/>
              <w:jc w:val="center"/>
              <w:rPr>
                <w:rFonts w:ascii="Times New Roman" w:hAnsi="Times New Roman"/>
                <w:b/>
                <w:bCs/>
                <w:sz w:val="20"/>
                <w:szCs w:val="20"/>
                <w:lang w:val="es-CO"/>
              </w:rPr>
            </w:pPr>
            <w:r w:rsidRPr="007F2045">
              <w:rPr>
                <w:rFonts w:ascii="Times New Roman" w:hAnsi="Times New Roman"/>
                <w:b/>
                <w:bCs/>
                <w:sz w:val="20"/>
                <w:szCs w:val="20"/>
                <w:lang w:val="es-CO"/>
              </w:rPr>
              <w:t>PLEEE</w:t>
            </w:r>
            <w:r w:rsidRPr="007F2045">
              <w:rPr>
                <w:rFonts w:ascii="Times New Roman" w:hAnsi="Times New Roman"/>
                <w:b/>
                <w:bCs/>
                <w:sz w:val="20"/>
                <w:szCs w:val="20"/>
                <w:vertAlign w:val="superscript"/>
                <w:lang w:val="es-CO"/>
              </w:rPr>
              <w:footnoteReference w:id="46"/>
            </w:r>
          </w:p>
        </w:tc>
        <w:tc>
          <w:tcPr>
            <w:tcW w:w="3673" w:type="dxa"/>
            <w:shd w:val="clear" w:color="auto" w:fill="D0CECE" w:themeFill="background2" w:themeFillShade="E6"/>
          </w:tcPr>
          <w:p w14:paraId="56CF1B0B" w14:textId="77777777" w:rsidR="00684A8D" w:rsidRPr="007F2045" w:rsidRDefault="00684A8D" w:rsidP="001B5728">
            <w:pPr>
              <w:spacing w:line="240" w:lineRule="auto"/>
              <w:jc w:val="center"/>
              <w:rPr>
                <w:rFonts w:ascii="Times New Roman" w:hAnsi="Times New Roman"/>
                <w:b/>
                <w:bCs/>
                <w:sz w:val="20"/>
                <w:szCs w:val="20"/>
                <w:lang w:val="es-CO"/>
              </w:rPr>
            </w:pPr>
            <w:r w:rsidRPr="007F2045">
              <w:rPr>
                <w:rFonts w:ascii="Times New Roman" w:hAnsi="Times New Roman"/>
                <w:b/>
                <w:bCs/>
                <w:sz w:val="20"/>
                <w:szCs w:val="20"/>
                <w:lang w:val="es-CO"/>
              </w:rPr>
              <w:t>Auto 272 de 2023</w:t>
            </w:r>
          </w:p>
        </w:tc>
      </w:tr>
      <w:tr w:rsidR="003331F3" w:rsidRPr="007F2045" w14:paraId="29528474" w14:textId="77777777" w:rsidTr="00557B94">
        <w:tc>
          <w:tcPr>
            <w:tcW w:w="1483" w:type="dxa"/>
            <w:shd w:val="clear" w:color="auto" w:fill="E7E6E6" w:themeFill="background2"/>
          </w:tcPr>
          <w:p w14:paraId="4F31873C" w14:textId="77777777" w:rsidR="00684A8D" w:rsidRPr="007F2045" w:rsidRDefault="00684A8D" w:rsidP="001B5728">
            <w:pPr>
              <w:spacing w:line="240" w:lineRule="auto"/>
              <w:jc w:val="center"/>
              <w:rPr>
                <w:rFonts w:ascii="Times New Roman" w:hAnsi="Times New Roman"/>
                <w:b/>
                <w:bCs/>
                <w:sz w:val="20"/>
                <w:szCs w:val="20"/>
                <w:lang w:val="es-CO"/>
              </w:rPr>
            </w:pPr>
            <w:r w:rsidRPr="007F2045">
              <w:rPr>
                <w:rFonts w:ascii="Times New Roman" w:hAnsi="Times New Roman"/>
                <w:b/>
                <w:bCs/>
                <w:sz w:val="20"/>
                <w:szCs w:val="20"/>
                <w:lang w:val="es-CO"/>
              </w:rPr>
              <w:t>Medida</w:t>
            </w:r>
          </w:p>
        </w:tc>
        <w:tc>
          <w:tcPr>
            <w:tcW w:w="7345" w:type="dxa"/>
            <w:gridSpan w:val="2"/>
          </w:tcPr>
          <w:p w14:paraId="3A1DEE7A" w14:textId="77777777" w:rsidR="00684A8D" w:rsidRPr="007F2045" w:rsidRDefault="00684A8D" w:rsidP="001B5728">
            <w:pPr>
              <w:spacing w:line="240" w:lineRule="auto"/>
              <w:jc w:val="center"/>
              <w:rPr>
                <w:rFonts w:ascii="Times New Roman" w:hAnsi="Times New Roman"/>
                <w:sz w:val="20"/>
                <w:szCs w:val="20"/>
                <w:lang w:val="es-CO"/>
              </w:rPr>
            </w:pPr>
            <w:r w:rsidRPr="007F2045">
              <w:rPr>
                <w:rFonts w:ascii="Times New Roman" w:hAnsi="Times New Roman"/>
                <w:sz w:val="20"/>
                <w:szCs w:val="20"/>
                <w:lang w:val="es-CO"/>
              </w:rPr>
              <w:t>Suspensión provisional de los efectos de la norma objeto de control mientras se adopta la decisión definitiva sobre su constitucionalidad</w:t>
            </w:r>
            <w:r w:rsidRPr="007F2045">
              <w:rPr>
                <w:rFonts w:ascii="Times New Roman" w:hAnsi="Times New Roman"/>
                <w:sz w:val="20"/>
                <w:szCs w:val="20"/>
                <w:vertAlign w:val="superscript"/>
                <w:lang w:val="es-CO"/>
              </w:rPr>
              <w:footnoteReference w:id="47"/>
            </w:r>
            <w:r w:rsidRPr="007F2045">
              <w:rPr>
                <w:rFonts w:ascii="Times New Roman" w:hAnsi="Times New Roman"/>
                <w:sz w:val="20"/>
                <w:szCs w:val="20"/>
                <w:lang w:val="es-CO"/>
              </w:rPr>
              <w:t>.</w:t>
            </w:r>
          </w:p>
        </w:tc>
      </w:tr>
      <w:tr w:rsidR="003331F3" w:rsidRPr="007F2045" w14:paraId="3A5DC520" w14:textId="77777777" w:rsidTr="00557B94">
        <w:tc>
          <w:tcPr>
            <w:tcW w:w="1483" w:type="dxa"/>
            <w:shd w:val="clear" w:color="auto" w:fill="E7E6E6" w:themeFill="background2"/>
          </w:tcPr>
          <w:p w14:paraId="5DB03094" w14:textId="77777777" w:rsidR="00684A8D" w:rsidRPr="007F2045" w:rsidRDefault="00684A8D" w:rsidP="001B5728">
            <w:pPr>
              <w:spacing w:line="240" w:lineRule="auto"/>
              <w:jc w:val="center"/>
              <w:rPr>
                <w:rFonts w:ascii="Times New Roman" w:hAnsi="Times New Roman"/>
                <w:b/>
                <w:bCs/>
                <w:sz w:val="20"/>
                <w:szCs w:val="20"/>
                <w:lang w:val="es-CO"/>
              </w:rPr>
            </w:pPr>
            <w:r w:rsidRPr="007F2045">
              <w:rPr>
                <w:rFonts w:ascii="Times New Roman" w:hAnsi="Times New Roman"/>
                <w:b/>
                <w:bCs/>
                <w:sz w:val="20"/>
                <w:szCs w:val="20"/>
                <w:lang w:val="es-CO"/>
              </w:rPr>
              <w:t>Objeto</w:t>
            </w:r>
          </w:p>
        </w:tc>
        <w:tc>
          <w:tcPr>
            <w:tcW w:w="3672" w:type="dxa"/>
          </w:tcPr>
          <w:p w14:paraId="4B4480D2" w14:textId="77777777" w:rsidR="00684A8D" w:rsidRPr="007F2045" w:rsidRDefault="00684A8D" w:rsidP="001B5728">
            <w:pPr>
              <w:spacing w:line="240" w:lineRule="auto"/>
              <w:rPr>
                <w:rFonts w:ascii="Times New Roman" w:hAnsi="Times New Roman"/>
                <w:sz w:val="20"/>
                <w:szCs w:val="20"/>
                <w:lang w:val="es-CO"/>
              </w:rPr>
            </w:pPr>
            <w:r w:rsidRPr="007F2045">
              <w:rPr>
                <w:rFonts w:ascii="Times New Roman" w:hAnsi="Times New Roman"/>
                <w:sz w:val="20"/>
                <w:szCs w:val="20"/>
                <w:lang w:val="es-CO"/>
              </w:rPr>
              <w:t>Decretos de desarrollo expedidos durante el estado de excepción.</w:t>
            </w:r>
          </w:p>
        </w:tc>
        <w:tc>
          <w:tcPr>
            <w:tcW w:w="3673" w:type="dxa"/>
          </w:tcPr>
          <w:p w14:paraId="1E0ED713" w14:textId="77777777" w:rsidR="00684A8D" w:rsidRPr="007F2045" w:rsidRDefault="00684A8D" w:rsidP="001B5728">
            <w:pPr>
              <w:spacing w:line="240" w:lineRule="auto"/>
              <w:rPr>
                <w:rFonts w:ascii="Times New Roman" w:hAnsi="Times New Roman"/>
                <w:sz w:val="20"/>
                <w:szCs w:val="20"/>
                <w:lang w:val="es-CO"/>
              </w:rPr>
            </w:pPr>
            <w:r w:rsidRPr="007F2045">
              <w:rPr>
                <w:rFonts w:ascii="Times New Roman" w:hAnsi="Times New Roman"/>
                <w:sz w:val="20"/>
                <w:szCs w:val="20"/>
                <w:lang w:val="es-CO"/>
              </w:rPr>
              <w:t>Normas objeto del control abstracto de constitucionalidad</w:t>
            </w:r>
            <w:r w:rsidRPr="007F2045">
              <w:rPr>
                <w:rFonts w:ascii="Times New Roman" w:hAnsi="Times New Roman"/>
                <w:sz w:val="20"/>
                <w:szCs w:val="20"/>
                <w:vertAlign w:val="superscript"/>
                <w:lang w:val="es-CO"/>
              </w:rPr>
              <w:footnoteReference w:id="48"/>
            </w:r>
            <w:r w:rsidRPr="007F2045">
              <w:rPr>
                <w:rFonts w:ascii="Times New Roman" w:hAnsi="Times New Roman"/>
                <w:sz w:val="20"/>
                <w:szCs w:val="20"/>
                <w:lang w:val="es-CO"/>
              </w:rPr>
              <w:t>.</w:t>
            </w:r>
          </w:p>
        </w:tc>
      </w:tr>
      <w:tr w:rsidR="003331F3" w:rsidRPr="007F2045" w14:paraId="712FF961" w14:textId="77777777" w:rsidTr="00557B94">
        <w:tc>
          <w:tcPr>
            <w:tcW w:w="1483" w:type="dxa"/>
            <w:shd w:val="clear" w:color="auto" w:fill="E7E6E6" w:themeFill="background2"/>
          </w:tcPr>
          <w:p w14:paraId="3A603292" w14:textId="77777777" w:rsidR="00684A8D" w:rsidRPr="007F2045" w:rsidRDefault="00684A8D" w:rsidP="001B5728">
            <w:pPr>
              <w:spacing w:line="240" w:lineRule="auto"/>
              <w:jc w:val="center"/>
              <w:rPr>
                <w:rFonts w:ascii="Times New Roman" w:hAnsi="Times New Roman"/>
                <w:b/>
                <w:bCs/>
                <w:sz w:val="20"/>
                <w:szCs w:val="20"/>
                <w:lang w:val="es-CO"/>
              </w:rPr>
            </w:pPr>
            <w:r w:rsidRPr="007F2045">
              <w:rPr>
                <w:rFonts w:ascii="Times New Roman" w:hAnsi="Times New Roman"/>
                <w:b/>
                <w:bCs/>
                <w:sz w:val="20"/>
                <w:szCs w:val="20"/>
                <w:lang w:val="es-CO"/>
              </w:rPr>
              <w:t>Legitimación para solicitar la medida</w:t>
            </w:r>
          </w:p>
        </w:tc>
        <w:tc>
          <w:tcPr>
            <w:tcW w:w="3672" w:type="dxa"/>
          </w:tcPr>
          <w:p w14:paraId="1780CBA1" w14:textId="77777777" w:rsidR="00684A8D" w:rsidRPr="007F2045" w:rsidRDefault="00684A8D" w:rsidP="001B5728">
            <w:pPr>
              <w:spacing w:line="240" w:lineRule="auto"/>
              <w:rPr>
                <w:rFonts w:ascii="Times New Roman" w:hAnsi="Times New Roman"/>
                <w:sz w:val="20"/>
                <w:szCs w:val="20"/>
                <w:lang w:val="es-CO"/>
              </w:rPr>
            </w:pPr>
            <w:r w:rsidRPr="007F2045">
              <w:rPr>
                <w:rFonts w:ascii="Times New Roman" w:hAnsi="Times New Roman"/>
                <w:sz w:val="20"/>
                <w:szCs w:val="20"/>
                <w:lang w:val="es-CO"/>
              </w:rPr>
              <w:t>La medida podía ser decretada por la Corte “aún de oficio”</w:t>
            </w:r>
            <w:r w:rsidRPr="007F2045">
              <w:rPr>
                <w:rFonts w:ascii="Times New Roman" w:hAnsi="Times New Roman"/>
                <w:sz w:val="20"/>
                <w:szCs w:val="20"/>
                <w:vertAlign w:val="superscript"/>
                <w:lang w:val="es-CO"/>
              </w:rPr>
              <w:footnoteReference w:id="49"/>
            </w:r>
            <w:r w:rsidRPr="007F2045">
              <w:rPr>
                <w:rFonts w:ascii="Times New Roman" w:hAnsi="Times New Roman"/>
                <w:sz w:val="20"/>
                <w:szCs w:val="20"/>
                <w:lang w:val="es-CO"/>
              </w:rPr>
              <w:t>. Esta redacción sugería que también se podía decretar a solicitud de algún interviniente, pero no se precisaba por parte de quién o quiénes, ni en qué condiciones.</w:t>
            </w:r>
          </w:p>
        </w:tc>
        <w:tc>
          <w:tcPr>
            <w:tcW w:w="3673" w:type="dxa"/>
          </w:tcPr>
          <w:p w14:paraId="4310A8FE" w14:textId="77777777" w:rsidR="00684A8D" w:rsidRPr="007F2045" w:rsidRDefault="00684A8D" w:rsidP="001B5728">
            <w:pPr>
              <w:spacing w:line="240" w:lineRule="auto"/>
              <w:rPr>
                <w:rFonts w:ascii="Times New Roman" w:hAnsi="Times New Roman"/>
                <w:sz w:val="20"/>
                <w:szCs w:val="20"/>
                <w:lang w:val="es-CO"/>
              </w:rPr>
            </w:pPr>
            <w:r w:rsidRPr="007F2045">
              <w:rPr>
                <w:rFonts w:ascii="Times New Roman" w:hAnsi="Times New Roman"/>
                <w:sz w:val="20"/>
                <w:szCs w:val="20"/>
                <w:lang w:val="es-CO"/>
              </w:rPr>
              <w:t>La suspensión procede únicamente a solicitud de cualquier magistrado de la Sala Plena. El demandante puede proponerle a cualquier magistrado que solicite a la Sala Plena la suspensión, pero no puede hacerlo directamente</w:t>
            </w:r>
            <w:r w:rsidRPr="007F2045">
              <w:rPr>
                <w:rFonts w:ascii="Times New Roman" w:hAnsi="Times New Roman"/>
                <w:sz w:val="20"/>
                <w:szCs w:val="20"/>
                <w:vertAlign w:val="superscript"/>
                <w:lang w:val="es-CO"/>
              </w:rPr>
              <w:footnoteReference w:id="50"/>
            </w:r>
            <w:r w:rsidRPr="007F2045">
              <w:rPr>
                <w:rFonts w:ascii="Times New Roman" w:hAnsi="Times New Roman"/>
                <w:sz w:val="20"/>
                <w:szCs w:val="20"/>
                <w:lang w:val="es-CO"/>
              </w:rPr>
              <w:t>.</w:t>
            </w:r>
          </w:p>
        </w:tc>
      </w:tr>
      <w:tr w:rsidR="003331F3" w:rsidRPr="007F2045" w14:paraId="2B17E1B5" w14:textId="77777777" w:rsidTr="00557B94">
        <w:tc>
          <w:tcPr>
            <w:tcW w:w="1483" w:type="dxa"/>
            <w:shd w:val="clear" w:color="auto" w:fill="E7E6E6" w:themeFill="background2"/>
          </w:tcPr>
          <w:p w14:paraId="587EE7A9" w14:textId="77777777" w:rsidR="00684A8D" w:rsidRPr="007F2045" w:rsidRDefault="00684A8D" w:rsidP="001B5728">
            <w:pPr>
              <w:spacing w:line="240" w:lineRule="auto"/>
              <w:jc w:val="center"/>
              <w:rPr>
                <w:rFonts w:ascii="Times New Roman" w:hAnsi="Times New Roman"/>
                <w:b/>
                <w:bCs/>
                <w:sz w:val="20"/>
                <w:szCs w:val="20"/>
                <w:lang w:val="es-CO"/>
              </w:rPr>
            </w:pPr>
            <w:r w:rsidRPr="007F2045">
              <w:rPr>
                <w:rFonts w:ascii="Times New Roman" w:hAnsi="Times New Roman"/>
                <w:b/>
                <w:bCs/>
                <w:sz w:val="20"/>
                <w:szCs w:val="20"/>
                <w:lang w:val="es-CO"/>
              </w:rPr>
              <w:t>Competencia para adoptar la medida</w:t>
            </w:r>
          </w:p>
        </w:tc>
        <w:tc>
          <w:tcPr>
            <w:tcW w:w="7345" w:type="dxa"/>
            <w:gridSpan w:val="2"/>
          </w:tcPr>
          <w:p w14:paraId="178A2E1E" w14:textId="77777777" w:rsidR="00684A8D" w:rsidRPr="007F2045" w:rsidRDefault="00684A8D" w:rsidP="001B5728">
            <w:pPr>
              <w:spacing w:line="240" w:lineRule="auto"/>
              <w:jc w:val="center"/>
              <w:rPr>
                <w:rFonts w:ascii="Times New Roman" w:hAnsi="Times New Roman"/>
                <w:sz w:val="20"/>
                <w:szCs w:val="20"/>
                <w:lang w:val="es-CO"/>
              </w:rPr>
            </w:pPr>
            <w:r w:rsidRPr="007F2045">
              <w:rPr>
                <w:rFonts w:ascii="Times New Roman" w:hAnsi="Times New Roman"/>
                <w:sz w:val="20"/>
                <w:szCs w:val="20"/>
                <w:lang w:val="es-CO"/>
              </w:rPr>
              <w:t>Corte Constitucional – Sala Plena</w:t>
            </w:r>
            <w:r w:rsidRPr="007F2045">
              <w:rPr>
                <w:rFonts w:ascii="Times New Roman" w:hAnsi="Times New Roman"/>
                <w:sz w:val="20"/>
                <w:szCs w:val="20"/>
                <w:vertAlign w:val="superscript"/>
                <w:lang w:val="es-CO"/>
              </w:rPr>
              <w:footnoteReference w:id="51"/>
            </w:r>
          </w:p>
        </w:tc>
      </w:tr>
      <w:tr w:rsidR="003331F3" w:rsidRPr="007F2045" w14:paraId="5B6CC53B" w14:textId="77777777" w:rsidTr="00557B94">
        <w:tc>
          <w:tcPr>
            <w:tcW w:w="1483" w:type="dxa"/>
            <w:shd w:val="clear" w:color="auto" w:fill="E7E6E6" w:themeFill="background2"/>
          </w:tcPr>
          <w:p w14:paraId="4E3AA80E" w14:textId="77777777" w:rsidR="00684A8D" w:rsidRPr="007F2045" w:rsidRDefault="00684A8D" w:rsidP="001B5728">
            <w:pPr>
              <w:spacing w:line="240" w:lineRule="auto"/>
              <w:jc w:val="center"/>
              <w:rPr>
                <w:rFonts w:ascii="Times New Roman" w:hAnsi="Times New Roman"/>
                <w:b/>
                <w:bCs/>
                <w:sz w:val="20"/>
                <w:szCs w:val="20"/>
                <w:lang w:val="es-CO"/>
              </w:rPr>
            </w:pPr>
            <w:r w:rsidRPr="007F2045">
              <w:rPr>
                <w:rFonts w:ascii="Times New Roman" w:hAnsi="Times New Roman"/>
                <w:b/>
                <w:bCs/>
                <w:sz w:val="20"/>
                <w:szCs w:val="20"/>
                <w:lang w:val="es-CO"/>
              </w:rPr>
              <w:t>Oportunidad</w:t>
            </w:r>
          </w:p>
        </w:tc>
        <w:tc>
          <w:tcPr>
            <w:tcW w:w="3672" w:type="dxa"/>
          </w:tcPr>
          <w:p w14:paraId="3B4E0FFB" w14:textId="77777777" w:rsidR="00684A8D" w:rsidRPr="007F2045" w:rsidRDefault="00684A8D" w:rsidP="001B5728">
            <w:pPr>
              <w:spacing w:line="240" w:lineRule="auto"/>
              <w:rPr>
                <w:rFonts w:ascii="Times New Roman" w:hAnsi="Times New Roman"/>
                <w:sz w:val="20"/>
                <w:szCs w:val="20"/>
                <w:lang w:val="es-CO"/>
              </w:rPr>
            </w:pPr>
            <w:r w:rsidRPr="007F2045">
              <w:rPr>
                <w:rFonts w:ascii="Times New Roman" w:hAnsi="Times New Roman"/>
                <w:sz w:val="20"/>
                <w:szCs w:val="20"/>
                <w:lang w:val="es-CO"/>
              </w:rPr>
              <w:t>La medida se podía adoptar dentro de los 10 días siguientes a la fecha en que la Corte asume el conocimiento de la revisión del decreto</w:t>
            </w:r>
            <w:r w:rsidRPr="007F2045">
              <w:rPr>
                <w:rFonts w:ascii="Times New Roman" w:hAnsi="Times New Roman"/>
                <w:sz w:val="20"/>
                <w:szCs w:val="20"/>
                <w:vertAlign w:val="superscript"/>
                <w:lang w:val="es-CO"/>
              </w:rPr>
              <w:footnoteReference w:id="52"/>
            </w:r>
            <w:r w:rsidRPr="007F2045">
              <w:rPr>
                <w:rFonts w:ascii="Times New Roman" w:hAnsi="Times New Roman"/>
                <w:sz w:val="20"/>
                <w:szCs w:val="20"/>
                <w:lang w:val="es-CO"/>
              </w:rPr>
              <w:t>.</w:t>
            </w:r>
          </w:p>
        </w:tc>
        <w:tc>
          <w:tcPr>
            <w:tcW w:w="3673" w:type="dxa"/>
          </w:tcPr>
          <w:p w14:paraId="3CC7E36E" w14:textId="77777777" w:rsidR="00684A8D" w:rsidRPr="007F2045" w:rsidRDefault="00684A8D" w:rsidP="001B5728">
            <w:pPr>
              <w:spacing w:line="240" w:lineRule="auto"/>
              <w:rPr>
                <w:rFonts w:ascii="Times New Roman" w:hAnsi="Times New Roman"/>
                <w:sz w:val="20"/>
                <w:szCs w:val="20"/>
                <w:lang w:val="es-CO"/>
              </w:rPr>
            </w:pPr>
            <w:r w:rsidRPr="007F2045">
              <w:rPr>
                <w:rFonts w:ascii="Times New Roman" w:hAnsi="Times New Roman"/>
                <w:sz w:val="20"/>
                <w:szCs w:val="20"/>
                <w:lang w:val="es-CO"/>
              </w:rPr>
              <w:t xml:space="preserve">No existe una restricción temporal para la aplicación de la medida. </w:t>
            </w:r>
          </w:p>
        </w:tc>
      </w:tr>
      <w:tr w:rsidR="003331F3" w:rsidRPr="007F2045" w14:paraId="0BCD5705" w14:textId="77777777" w:rsidTr="00557B94">
        <w:tc>
          <w:tcPr>
            <w:tcW w:w="1483" w:type="dxa"/>
            <w:shd w:val="clear" w:color="auto" w:fill="E7E6E6" w:themeFill="background2"/>
          </w:tcPr>
          <w:p w14:paraId="76D75334" w14:textId="77777777" w:rsidR="00684A8D" w:rsidRPr="007F2045" w:rsidRDefault="00684A8D" w:rsidP="001B5728">
            <w:pPr>
              <w:spacing w:line="240" w:lineRule="auto"/>
              <w:jc w:val="center"/>
              <w:rPr>
                <w:rFonts w:ascii="Times New Roman" w:hAnsi="Times New Roman"/>
                <w:b/>
                <w:bCs/>
                <w:sz w:val="20"/>
                <w:szCs w:val="20"/>
                <w:lang w:val="es-CO"/>
              </w:rPr>
            </w:pPr>
            <w:r w:rsidRPr="007F2045">
              <w:rPr>
                <w:rFonts w:ascii="Times New Roman" w:hAnsi="Times New Roman"/>
                <w:b/>
                <w:bCs/>
                <w:sz w:val="20"/>
                <w:szCs w:val="20"/>
                <w:lang w:val="es-CO"/>
              </w:rPr>
              <w:t>Requisitos de procedencia</w:t>
            </w:r>
          </w:p>
        </w:tc>
        <w:tc>
          <w:tcPr>
            <w:tcW w:w="3672" w:type="dxa"/>
          </w:tcPr>
          <w:p w14:paraId="3D9FEBE0" w14:textId="77777777" w:rsidR="00684A8D" w:rsidRPr="007F2045" w:rsidRDefault="00684A8D" w:rsidP="001B5728">
            <w:pPr>
              <w:spacing w:line="240" w:lineRule="auto"/>
              <w:rPr>
                <w:rFonts w:ascii="Times New Roman" w:hAnsi="Times New Roman"/>
                <w:sz w:val="20"/>
                <w:szCs w:val="20"/>
                <w:lang w:val="es-CO"/>
              </w:rPr>
            </w:pPr>
            <w:r w:rsidRPr="007F2045">
              <w:rPr>
                <w:rFonts w:ascii="Times New Roman" w:hAnsi="Times New Roman"/>
                <w:sz w:val="20"/>
                <w:szCs w:val="20"/>
                <w:lang w:val="es-CO"/>
              </w:rPr>
              <w:t>Procedía cuando la norma objeto de control contenía una manifiesta violación de la Constitución</w:t>
            </w:r>
            <w:r w:rsidRPr="007F2045">
              <w:rPr>
                <w:rFonts w:ascii="Times New Roman" w:hAnsi="Times New Roman"/>
                <w:sz w:val="20"/>
                <w:szCs w:val="20"/>
                <w:vertAlign w:val="superscript"/>
                <w:lang w:val="es-CO"/>
              </w:rPr>
              <w:footnoteReference w:id="53"/>
            </w:r>
            <w:r w:rsidRPr="007F2045">
              <w:rPr>
                <w:rFonts w:ascii="Times New Roman" w:hAnsi="Times New Roman"/>
                <w:sz w:val="20"/>
                <w:szCs w:val="20"/>
                <w:lang w:val="es-CO"/>
              </w:rPr>
              <w:t>.</w:t>
            </w:r>
          </w:p>
        </w:tc>
        <w:tc>
          <w:tcPr>
            <w:tcW w:w="3673" w:type="dxa"/>
          </w:tcPr>
          <w:p w14:paraId="3B28BF20" w14:textId="77777777" w:rsidR="00684A8D" w:rsidRPr="007F2045" w:rsidRDefault="00684A8D" w:rsidP="001B5728">
            <w:pPr>
              <w:spacing w:line="240" w:lineRule="auto"/>
              <w:rPr>
                <w:rFonts w:ascii="Times New Roman" w:hAnsi="Times New Roman"/>
                <w:sz w:val="20"/>
                <w:szCs w:val="20"/>
                <w:lang w:val="es-CO"/>
              </w:rPr>
            </w:pPr>
            <w:r w:rsidRPr="007F2045">
              <w:rPr>
                <w:rFonts w:ascii="Times New Roman" w:hAnsi="Times New Roman"/>
                <w:sz w:val="20"/>
                <w:szCs w:val="20"/>
                <w:lang w:val="es-CO"/>
              </w:rPr>
              <w:t>Procede de manera excepcional</w:t>
            </w:r>
            <w:r w:rsidRPr="007F2045">
              <w:rPr>
                <w:rFonts w:ascii="Times New Roman" w:hAnsi="Times New Roman"/>
                <w:sz w:val="20"/>
                <w:szCs w:val="20"/>
                <w:vertAlign w:val="superscript"/>
                <w:lang w:val="es-CO"/>
              </w:rPr>
              <w:footnoteReference w:id="54"/>
            </w:r>
            <w:r w:rsidRPr="007F2045">
              <w:rPr>
                <w:rFonts w:ascii="Times New Roman" w:hAnsi="Times New Roman"/>
                <w:sz w:val="20"/>
                <w:szCs w:val="20"/>
                <w:lang w:val="es-CO"/>
              </w:rPr>
              <w:t xml:space="preserve"> y está sujeta al cumplimiento de los siguientes requisitos estrictos</w:t>
            </w:r>
            <w:r w:rsidRPr="007F2045">
              <w:rPr>
                <w:rFonts w:ascii="Times New Roman" w:hAnsi="Times New Roman"/>
                <w:sz w:val="20"/>
                <w:szCs w:val="20"/>
                <w:vertAlign w:val="superscript"/>
                <w:lang w:val="es-CO"/>
              </w:rPr>
              <w:footnoteReference w:id="55"/>
            </w:r>
            <w:r w:rsidRPr="007F2045">
              <w:rPr>
                <w:rFonts w:ascii="Times New Roman" w:hAnsi="Times New Roman"/>
                <w:sz w:val="20"/>
                <w:szCs w:val="20"/>
                <w:lang w:val="es-CO"/>
              </w:rPr>
              <w:t>:</w:t>
            </w:r>
          </w:p>
          <w:p w14:paraId="253904CB" w14:textId="77777777" w:rsidR="00684A8D" w:rsidRPr="007F2045" w:rsidRDefault="00684A8D" w:rsidP="001B5728">
            <w:pPr>
              <w:spacing w:line="240" w:lineRule="auto"/>
              <w:rPr>
                <w:rFonts w:ascii="Times New Roman" w:hAnsi="Times New Roman"/>
                <w:sz w:val="20"/>
                <w:szCs w:val="20"/>
                <w:lang w:val="es-CO"/>
              </w:rPr>
            </w:pPr>
          </w:p>
          <w:p w14:paraId="1779B53E" w14:textId="77777777" w:rsidR="00684A8D" w:rsidRPr="007F2045" w:rsidRDefault="00684A8D" w:rsidP="001B5728">
            <w:pPr>
              <w:tabs>
                <w:tab w:val="left" w:pos="387"/>
              </w:tabs>
              <w:spacing w:line="240" w:lineRule="auto"/>
              <w:rPr>
                <w:rFonts w:ascii="Times New Roman" w:hAnsi="Times New Roman"/>
                <w:sz w:val="20"/>
                <w:szCs w:val="20"/>
                <w:lang w:val="es-CO"/>
              </w:rPr>
            </w:pPr>
            <w:r w:rsidRPr="007F2045">
              <w:rPr>
                <w:rFonts w:ascii="Times New Roman" w:hAnsi="Times New Roman"/>
                <w:sz w:val="20"/>
                <w:szCs w:val="20"/>
                <w:lang w:val="es-CO"/>
              </w:rPr>
              <w:t>(i) Se debe determinar la ineficacia de otras opciones menos lesivas para la presunción de constitucionalidad de la norma objeto de control, como la adopción de un fallo con efectos retroactivos</w:t>
            </w:r>
            <w:r w:rsidRPr="007F2045">
              <w:rPr>
                <w:rFonts w:ascii="Times New Roman" w:hAnsi="Times New Roman"/>
                <w:sz w:val="20"/>
                <w:szCs w:val="20"/>
                <w:vertAlign w:val="superscript"/>
                <w:lang w:val="es-CO"/>
              </w:rPr>
              <w:footnoteReference w:id="56"/>
            </w:r>
            <w:r w:rsidRPr="007F2045">
              <w:rPr>
                <w:rFonts w:ascii="Times New Roman" w:hAnsi="Times New Roman"/>
                <w:sz w:val="20"/>
                <w:szCs w:val="20"/>
                <w:lang w:val="es-CO"/>
              </w:rPr>
              <w:t>.</w:t>
            </w:r>
          </w:p>
          <w:p w14:paraId="332AC8AB" w14:textId="77777777" w:rsidR="00684A8D" w:rsidRPr="007F2045" w:rsidRDefault="00684A8D" w:rsidP="001B5728">
            <w:pPr>
              <w:tabs>
                <w:tab w:val="left" w:pos="387"/>
              </w:tabs>
              <w:spacing w:line="240" w:lineRule="auto"/>
              <w:rPr>
                <w:rFonts w:ascii="Times New Roman" w:hAnsi="Times New Roman"/>
                <w:sz w:val="20"/>
                <w:szCs w:val="20"/>
                <w:lang w:val="es-CO"/>
              </w:rPr>
            </w:pPr>
          </w:p>
          <w:p w14:paraId="0B6103FE" w14:textId="77777777" w:rsidR="00684A8D" w:rsidRPr="007F2045" w:rsidRDefault="00684A8D" w:rsidP="001B5728">
            <w:pPr>
              <w:tabs>
                <w:tab w:val="left" w:pos="387"/>
              </w:tabs>
              <w:spacing w:line="240" w:lineRule="auto"/>
              <w:rPr>
                <w:rFonts w:ascii="Times New Roman" w:hAnsi="Times New Roman"/>
                <w:sz w:val="20"/>
                <w:szCs w:val="20"/>
                <w:lang w:val="es-CO"/>
              </w:rPr>
            </w:pPr>
            <w:r w:rsidRPr="007F2045">
              <w:rPr>
                <w:rFonts w:ascii="Times New Roman" w:hAnsi="Times New Roman"/>
                <w:sz w:val="20"/>
                <w:szCs w:val="20"/>
                <w:lang w:val="es-CO"/>
              </w:rPr>
              <w:t>(</w:t>
            </w:r>
            <w:proofErr w:type="spellStart"/>
            <w:r w:rsidRPr="007F2045">
              <w:rPr>
                <w:rFonts w:ascii="Times New Roman" w:hAnsi="Times New Roman"/>
                <w:sz w:val="20"/>
                <w:szCs w:val="20"/>
                <w:lang w:val="es-CO"/>
              </w:rPr>
              <w:t>ii</w:t>
            </w:r>
            <w:proofErr w:type="spellEnd"/>
            <w:r w:rsidRPr="007F2045">
              <w:rPr>
                <w:rFonts w:ascii="Times New Roman" w:hAnsi="Times New Roman"/>
                <w:sz w:val="20"/>
                <w:szCs w:val="20"/>
                <w:lang w:val="es-CO"/>
              </w:rPr>
              <w:t>) Se debe demostrar que la suspensión es imperativa para la protección de bienes constitucionalmente valiosos y no afecta de manera desproporcionada algún contenido de la Carta Política</w:t>
            </w:r>
            <w:r w:rsidRPr="007F2045">
              <w:rPr>
                <w:rFonts w:ascii="Times New Roman" w:hAnsi="Times New Roman"/>
                <w:sz w:val="20"/>
                <w:szCs w:val="20"/>
                <w:vertAlign w:val="superscript"/>
                <w:lang w:val="es-CO"/>
              </w:rPr>
              <w:footnoteReference w:id="57"/>
            </w:r>
            <w:r w:rsidRPr="007F2045">
              <w:rPr>
                <w:rFonts w:ascii="Times New Roman" w:hAnsi="Times New Roman"/>
                <w:sz w:val="20"/>
                <w:szCs w:val="20"/>
                <w:lang w:val="es-CO"/>
              </w:rPr>
              <w:t>.</w:t>
            </w:r>
          </w:p>
          <w:p w14:paraId="23E2DFC5" w14:textId="77777777" w:rsidR="00684A8D" w:rsidRPr="007F2045" w:rsidRDefault="00684A8D" w:rsidP="001B5728">
            <w:pPr>
              <w:tabs>
                <w:tab w:val="left" w:pos="387"/>
              </w:tabs>
              <w:spacing w:line="240" w:lineRule="auto"/>
              <w:rPr>
                <w:rFonts w:ascii="Times New Roman" w:hAnsi="Times New Roman"/>
                <w:sz w:val="20"/>
                <w:szCs w:val="20"/>
                <w:lang w:val="es-CO"/>
              </w:rPr>
            </w:pPr>
          </w:p>
          <w:p w14:paraId="51AF60C2" w14:textId="77777777" w:rsidR="00684A8D" w:rsidRPr="007F2045" w:rsidRDefault="00684A8D" w:rsidP="001B5728">
            <w:pPr>
              <w:tabs>
                <w:tab w:val="left" w:pos="387"/>
              </w:tabs>
              <w:spacing w:line="240" w:lineRule="auto"/>
              <w:rPr>
                <w:rFonts w:ascii="Times New Roman" w:hAnsi="Times New Roman"/>
                <w:sz w:val="20"/>
                <w:szCs w:val="20"/>
                <w:lang w:val="es-CO"/>
              </w:rPr>
            </w:pPr>
            <w:r w:rsidRPr="007F2045">
              <w:rPr>
                <w:rFonts w:ascii="Times New Roman" w:hAnsi="Times New Roman"/>
                <w:sz w:val="20"/>
                <w:szCs w:val="20"/>
                <w:lang w:val="es-CO"/>
              </w:rPr>
              <w:t>(</w:t>
            </w:r>
            <w:proofErr w:type="spellStart"/>
            <w:r w:rsidRPr="007F2045">
              <w:rPr>
                <w:rFonts w:ascii="Times New Roman" w:hAnsi="Times New Roman"/>
                <w:sz w:val="20"/>
                <w:szCs w:val="20"/>
                <w:lang w:val="es-CO"/>
              </w:rPr>
              <w:t>iii</w:t>
            </w:r>
            <w:proofErr w:type="spellEnd"/>
            <w:r w:rsidRPr="007F2045">
              <w:rPr>
                <w:rFonts w:ascii="Times New Roman" w:hAnsi="Times New Roman"/>
                <w:sz w:val="20"/>
                <w:szCs w:val="20"/>
                <w:lang w:val="es-CO"/>
              </w:rPr>
              <w:t xml:space="preserve">) La medida procede única y exclusivamente respecto de normas que son, </w:t>
            </w:r>
            <w:r w:rsidRPr="007F2045">
              <w:rPr>
                <w:rFonts w:ascii="Times New Roman" w:hAnsi="Times New Roman"/>
                <w:i/>
                <w:sz w:val="20"/>
                <w:szCs w:val="20"/>
                <w:lang w:val="es-CO"/>
              </w:rPr>
              <w:t>prima facie</w:t>
            </w:r>
            <w:r w:rsidRPr="007F2045">
              <w:rPr>
                <w:rFonts w:ascii="Times New Roman" w:hAnsi="Times New Roman"/>
                <w:sz w:val="20"/>
                <w:szCs w:val="20"/>
                <w:lang w:val="es-CO"/>
              </w:rPr>
              <w:t xml:space="preserve">, abierta o manifiestamente </w:t>
            </w:r>
            <w:r w:rsidRPr="007F2045">
              <w:rPr>
                <w:rFonts w:ascii="Times New Roman" w:hAnsi="Times New Roman"/>
                <w:sz w:val="20"/>
                <w:szCs w:val="20"/>
                <w:lang w:val="es-CO"/>
              </w:rPr>
              <w:lastRenderedPageBreak/>
              <w:t>inconstitucionales</w:t>
            </w:r>
            <w:r w:rsidR="59C23E8E" w:rsidRPr="007F2045">
              <w:rPr>
                <w:rFonts w:ascii="Times New Roman" w:hAnsi="Times New Roman"/>
                <w:sz w:val="20"/>
                <w:szCs w:val="20"/>
                <w:lang w:val="es-CO"/>
              </w:rPr>
              <w:t>,</w:t>
            </w:r>
            <w:r w:rsidRPr="007F2045">
              <w:rPr>
                <w:rFonts w:ascii="Times New Roman" w:hAnsi="Times New Roman"/>
                <w:sz w:val="20"/>
                <w:szCs w:val="20"/>
                <w:lang w:val="es-CO"/>
              </w:rPr>
              <w:t xml:space="preserve"> porque (a) vulneran derechos fundamentales, (b) violan claros mandatos constitucionales o (c) establecen regulaciones manifiestamente irrazonables o desproporcionadas</w:t>
            </w:r>
            <w:r w:rsidRPr="007F2045">
              <w:rPr>
                <w:rFonts w:ascii="Times New Roman" w:hAnsi="Times New Roman"/>
                <w:sz w:val="20"/>
                <w:szCs w:val="20"/>
                <w:vertAlign w:val="superscript"/>
                <w:lang w:val="es-CO"/>
              </w:rPr>
              <w:footnoteReference w:id="58"/>
            </w:r>
            <w:r w:rsidRPr="007F2045">
              <w:rPr>
                <w:rFonts w:ascii="Times New Roman" w:hAnsi="Times New Roman"/>
                <w:sz w:val="20"/>
                <w:szCs w:val="20"/>
                <w:lang w:val="es-CO"/>
              </w:rPr>
              <w:t>.</w:t>
            </w:r>
          </w:p>
          <w:p w14:paraId="501FC44C" w14:textId="77777777" w:rsidR="00684A8D" w:rsidRPr="007F2045" w:rsidRDefault="00684A8D" w:rsidP="001B5728">
            <w:pPr>
              <w:tabs>
                <w:tab w:val="left" w:pos="387"/>
              </w:tabs>
              <w:spacing w:line="240" w:lineRule="auto"/>
              <w:rPr>
                <w:rFonts w:ascii="Times New Roman" w:hAnsi="Times New Roman"/>
                <w:sz w:val="20"/>
                <w:szCs w:val="20"/>
                <w:lang w:val="es-CO"/>
              </w:rPr>
            </w:pPr>
          </w:p>
          <w:p w14:paraId="6DBA7EEF" w14:textId="77777777" w:rsidR="00684A8D" w:rsidRPr="007F2045" w:rsidRDefault="00684A8D" w:rsidP="001B5728">
            <w:pPr>
              <w:tabs>
                <w:tab w:val="left" w:pos="387"/>
              </w:tabs>
              <w:spacing w:line="240" w:lineRule="auto"/>
              <w:rPr>
                <w:rFonts w:ascii="Times New Roman" w:hAnsi="Times New Roman"/>
                <w:sz w:val="20"/>
                <w:szCs w:val="20"/>
                <w:lang w:val="es-CO"/>
              </w:rPr>
            </w:pPr>
            <w:r w:rsidRPr="007F2045">
              <w:rPr>
                <w:rFonts w:ascii="Times New Roman" w:hAnsi="Times New Roman"/>
                <w:sz w:val="20"/>
                <w:szCs w:val="20"/>
                <w:lang w:val="es-CO"/>
              </w:rPr>
              <w:t>(</w:t>
            </w:r>
            <w:proofErr w:type="spellStart"/>
            <w:r w:rsidRPr="007F2045">
              <w:rPr>
                <w:rFonts w:ascii="Times New Roman" w:hAnsi="Times New Roman"/>
                <w:sz w:val="20"/>
                <w:szCs w:val="20"/>
                <w:lang w:val="es-CO"/>
              </w:rPr>
              <w:t>iv</w:t>
            </w:r>
            <w:proofErr w:type="spellEnd"/>
            <w:r w:rsidRPr="007F2045">
              <w:rPr>
                <w:rFonts w:ascii="Times New Roman" w:hAnsi="Times New Roman"/>
                <w:sz w:val="20"/>
                <w:szCs w:val="20"/>
                <w:lang w:val="es-CO"/>
              </w:rPr>
              <w:t>) La norma objeto de suspensión tiene la potencialidad de producir un efecto irremediable o de eludir el control de constitucionalidad</w:t>
            </w:r>
            <w:r w:rsidRPr="007F2045">
              <w:rPr>
                <w:rFonts w:ascii="Times New Roman" w:hAnsi="Times New Roman"/>
                <w:sz w:val="20"/>
                <w:szCs w:val="20"/>
                <w:vertAlign w:val="superscript"/>
                <w:lang w:val="es-CO"/>
              </w:rPr>
              <w:footnoteReference w:id="59"/>
            </w:r>
            <w:r w:rsidRPr="007F2045">
              <w:rPr>
                <w:rFonts w:ascii="Times New Roman" w:hAnsi="Times New Roman"/>
                <w:sz w:val="20"/>
                <w:szCs w:val="20"/>
                <w:lang w:val="es-CO"/>
              </w:rPr>
              <w:t>.</w:t>
            </w:r>
          </w:p>
          <w:p w14:paraId="26A4832C" w14:textId="77777777" w:rsidR="00684A8D" w:rsidRPr="007F2045" w:rsidRDefault="00684A8D" w:rsidP="001B5728">
            <w:pPr>
              <w:tabs>
                <w:tab w:val="left" w:pos="387"/>
              </w:tabs>
              <w:spacing w:line="240" w:lineRule="auto"/>
              <w:rPr>
                <w:rFonts w:ascii="Times New Roman" w:hAnsi="Times New Roman"/>
                <w:sz w:val="20"/>
                <w:szCs w:val="20"/>
                <w:lang w:val="es-CO"/>
              </w:rPr>
            </w:pPr>
          </w:p>
          <w:p w14:paraId="1048FBA4" w14:textId="77777777" w:rsidR="00684A8D" w:rsidRPr="007F2045" w:rsidRDefault="00684A8D" w:rsidP="001B5728">
            <w:pPr>
              <w:tabs>
                <w:tab w:val="left" w:pos="387"/>
              </w:tabs>
              <w:spacing w:line="240" w:lineRule="auto"/>
              <w:rPr>
                <w:rFonts w:ascii="Times New Roman" w:hAnsi="Times New Roman"/>
                <w:sz w:val="20"/>
                <w:szCs w:val="20"/>
                <w:lang w:val="es-CO"/>
              </w:rPr>
            </w:pPr>
            <w:r w:rsidRPr="007F2045">
              <w:rPr>
                <w:rFonts w:ascii="Times New Roman" w:hAnsi="Times New Roman"/>
                <w:sz w:val="20"/>
                <w:szCs w:val="20"/>
                <w:lang w:val="es-CO"/>
              </w:rPr>
              <w:t>(v) La suspensión supera un juicio estricto de proporcionalidad en el que se acredita que (a) es imprescindible para cumplir con un objetivo constitucionalmente imperioso y (b) los beneficios que reporta son mayores que las limitaciones que impone al principio democrático</w:t>
            </w:r>
            <w:r w:rsidRPr="007F2045">
              <w:rPr>
                <w:rFonts w:ascii="Times New Roman" w:hAnsi="Times New Roman"/>
                <w:sz w:val="20"/>
                <w:szCs w:val="20"/>
                <w:vertAlign w:val="superscript"/>
                <w:lang w:val="es-CO"/>
              </w:rPr>
              <w:footnoteReference w:id="60"/>
            </w:r>
            <w:r w:rsidRPr="007F2045">
              <w:rPr>
                <w:rFonts w:ascii="Times New Roman" w:hAnsi="Times New Roman"/>
                <w:sz w:val="20"/>
                <w:szCs w:val="20"/>
                <w:lang w:val="es-CO"/>
              </w:rPr>
              <w:t>.</w:t>
            </w:r>
          </w:p>
          <w:p w14:paraId="5AEA6F16" w14:textId="77777777" w:rsidR="00684A8D" w:rsidRPr="007F2045" w:rsidRDefault="00684A8D" w:rsidP="001B5728">
            <w:pPr>
              <w:tabs>
                <w:tab w:val="left" w:pos="387"/>
              </w:tabs>
              <w:spacing w:line="240" w:lineRule="auto"/>
              <w:rPr>
                <w:rFonts w:ascii="Times New Roman" w:hAnsi="Times New Roman"/>
                <w:sz w:val="20"/>
                <w:szCs w:val="20"/>
                <w:lang w:val="es-CO"/>
              </w:rPr>
            </w:pPr>
          </w:p>
          <w:p w14:paraId="6EB474C8" w14:textId="77777777" w:rsidR="00684A8D" w:rsidRPr="007F2045" w:rsidRDefault="00684A8D" w:rsidP="001B5728">
            <w:pPr>
              <w:tabs>
                <w:tab w:val="left" w:pos="387"/>
              </w:tabs>
              <w:spacing w:line="240" w:lineRule="auto"/>
              <w:rPr>
                <w:rFonts w:ascii="Times New Roman" w:hAnsi="Times New Roman"/>
                <w:sz w:val="20"/>
                <w:szCs w:val="20"/>
                <w:lang w:val="es-CO"/>
              </w:rPr>
            </w:pPr>
            <w:r w:rsidRPr="007F2045">
              <w:rPr>
                <w:rFonts w:ascii="Times New Roman" w:hAnsi="Times New Roman"/>
                <w:sz w:val="20"/>
                <w:szCs w:val="20"/>
                <w:lang w:val="es-CO"/>
              </w:rPr>
              <w:t>(vi) La suspensión debe contar con un soporte decisional análogo al exigido respecto de la decisión de fondo sobre la constitucionalidad de la disposición acusada. Por lo tanto, debe ser adoptada con el voto favorable de la mayoría de los magistrados y magistradas de la Corte</w:t>
            </w:r>
            <w:r w:rsidRPr="007F2045">
              <w:rPr>
                <w:rFonts w:ascii="Times New Roman" w:hAnsi="Times New Roman"/>
                <w:sz w:val="20"/>
                <w:szCs w:val="20"/>
                <w:vertAlign w:val="superscript"/>
                <w:lang w:val="es-CO"/>
              </w:rPr>
              <w:footnoteReference w:id="61"/>
            </w:r>
            <w:r w:rsidRPr="007F2045">
              <w:rPr>
                <w:rFonts w:ascii="Times New Roman" w:hAnsi="Times New Roman"/>
                <w:sz w:val="20"/>
                <w:szCs w:val="20"/>
                <w:lang w:val="es-CO"/>
              </w:rPr>
              <w:t>.</w:t>
            </w:r>
          </w:p>
          <w:p w14:paraId="1BF11C09" w14:textId="77777777" w:rsidR="00684A8D" w:rsidRPr="007F2045" w:rsidRDefault="00684A8D" w:rsidP="001B5728">
            <w:pPr>
              <w:spacing w:line="240" w:lineRule="auto"/>
              <w:rPr>
                <w:rFonts w:ascii="Times New Roman" w:hAnsi="Times New Roman"/>
                <w:sz w:val="20"/>
                <w:szCs w:val="20"/>
                <w:lang w:val="es-CO"/>
              </w:rPr>
            </w:pPr>
          </w:p>
        </w:tc>
      </w:tr>
    </w:tbl>
    <w:p w14:paraId="5F9014CF" w14:textId="77777777" w:rsidR="00684A8D" w:rsidRPr="007F2045" w:rsidRDefault="00684A8D" w:rsidP="001B5728">
      <w:pPr>
        <w:spacing w:after="0" w:line="240" w:lineRule="auto"/>
        <w:rPr>
          <w:rFonts w:ascii="Times New Roman" w:hAnsi="Times New Roman"/>
          <w:sz w:val="28"/>
          <w:szCs w:val="28"/>
          <w:lang w:val="es-CO"/>
        </w:rPr>
      </w:pPr>
    </w:p>
    <w:p w14:paraId="357B39AB" w14:textId="77777777" w:rsidR="00684A8D" w:rsidRPr="007F2045" w:rsidRDefault="00684A8D"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Como se puede apreciar, ambas medidas tienen en común la autoridad competente para adoptarlas (la Sala Plena de la Corte Constitucional) y el efecto que generan (suspensión de los efectos de la norma objeto de la medida). Sin embargo, presentan significativas diferencias en cuanto a las normas susceptibles de ser afectadas por tales medidas, la legitimación para solicitarlas, la oportunidad para imponerlas y</w:t>
      </w:r>
      <w:r w:rsidR="00582EE9" w:rsidRPr="007F2045">
        <w:rPr>
          <w:rFonts w:ascii="Times New Roman" w:hAnsi="Times New Roman"/>
          <w:sz w:val="28"/>
          <w:szCs w:val="28"/>
          <w:lang w:val="es-CO"/>
        </w:rPr>
        <w:t>,</w:t>
      </w:r>
      <w:r w:rsidRPr="007F2045">
        <w:rPr>
          <w:rFonts w:ascii="Times New Roman" w:hAnsi="Times New Roman"/>
          <w:sz w:val="28"/>
          <w:szCs w:val="28"/>
          <w:lang w:val="es-CO"/>
        </w:rPr>
        <w:t xml:space="preserve"> en especial, las condiciones para su procedencia. Mientras que</w:t>
      </w:r>
      <w:r w:rsidR="00040E2F" w:rsidRPr="007F2045">
        <w:rPr>
          <w:rFonts w:ascii="Times New Roman" w:hAnsi="Times New Roman"/>
          <w:sz w:val="28"/>
          <w:szCs w:val="28"/>
          <w:lang w:val="es-CO"/>
        </w:rPr>
        <w:t>,</w:t>
      </w:r>
      <w:r w:rsidRPr="007F2045">
        <w:rPr>
          <w:rFonts w:ascii="Times New Roman" w:hAnsi="Times New Roman"/>
          <w:sz w:val="28"/>
          <w:szCs w:val="28"/>
          <w:lang w:val="es-CO"/>
        </w:rPr>
        <w:t xml:space="preserve"> para la suspensión provisional regulada en el PLEEE</w:t>
      </w:r>
      <w:r w:rsidR="00040E2F" w:rsidRPr="007F2045">
        <w:rPr>
          <w:rFonts w:ascii="Times New Roman" w:hAnsi="Times New Roman"/>
          <w:sz w:val="28"/>
          <w:szCs w:val="28"/>
          <w:lang w:val="es-CO"/>
        </w:rPr>
        <w:t>,</w:t>
      </w:r>
      <w:r w:rsidRPr="007F2045">
        <w:rPr>
          <w:rFonts w:ascii="Times New Roman" w:hAnsi="Times New Roman"/>
          <w:sz w:val="28"/>
          <w:szCs w:val="28"/>
          <w:lang w:val="es-CO"/>
        </w:rPr>
        <w:t xml:space="preserve"> bastaba con que el decreto de desarrollo del estado de excepción contuviese una “manifiesta violación de la Constitución”, la medida prevista en el </w:t>
      </w:r>
      <w:r w:rsidR="002A0AC0" w:rsidRPr="007F2045">
        <w:rPr>
          <w:rFonts w:ascii="Times New Roman" w:hAnsi="Times New Roman"/>
          <w:sz w:val="28"/>
          <w:szCs w:val="28"/>
          <w:lang w:val="es-CO"/>
        </w:rPr>
        <w:t>auto</w:t>
      </w:r>
      <w:r w:rsidRPr="007F2045">
        <w:rPr>
          <w:rFonts w:ascii="Times New Roman" w:hAnsi="Times New Roman"/>
          <w:sz w:val="28"/>
          <w:szCs w:val="28"/>
          <w:lang w:val="es-CO"/>
        </w:rPr>
        <w:t xml:space="preserve"> 272 de 2023 establece unos requisitos adicionales para garantizar su carácter excepcional y restrictivo, a saber: la ineficacia de alternativas menos lesivas</w:t>
      </w:r>
      <w:r w:rsidR="00E66627" w:rsidRPr="007F2045">
        <w:rPr>
          <w:rFonts w:ascii="Times New Roman" w:hAnsi="Times New Roman"/>
          <w:sz w:val="28"/>
          <w:szCs w:val="28"/>
          <w:lang w:val="es-CO"/>
        </w:rPr>
        <w:t xml:space="preserve">; </w:t>
      </w:r>
      <w:r w:rsidRPr="007F2045">
        <w:rPr>
          <w:rFonts w:ascii="Times New Roman" w:hAnsi="Times New Roman"/>
          <w:sz w:val="28"/>
          <w:szCs w:val="28"/>
          <w:lang w:val="es-CO"/>
        </w:rPr>
        <w:t>la imperativa necesidad de proteger bienes constitucionales valiosos sin afectar algún contenido de la Carta</w:t>
      </w:r>
      <w:r w:rsidR="00E66627" w:rsidRPr="007F2045">
        <w:rPr>
          <w:rFonts w:ascii="Times New Roman" w:hAnsi="Times New Roman"/>
          <w:sz w:val="28"/>
          <w:szCs w:val="28"/>
          <w:lang w:val="es-CO"/>
        </w:rPr>
        <w:t xml:space="preserve">; </w:t>
      </w:r>
      <w:r w:rsidRPr="007F2045">
        <w:rPr>
          <w:rFonts w:ascii="Times New Roman" w:hAnsi="Times New Roman"/>
          <w:sz w:val="28"/>
          <w:szCs w:val="28"/>
          <w:lang w:val="es-CO"/>
        </w:rPr>
        <w:t>la necesidad de evitar un efecto irremediable o la elusión del control de constitucionalidad</w:t>
      </w:r>
      <w:r w:rsidR="00E66627" w:rsidRPr="007F2045">
        <w:rPr>
          <w:rFonts w:ascii="Times New Roman" w:hAnsi="Times New Roman"/>
          <w:sz w:val="28"/>
          <w:szCs w:val="28"/>
          <w:lang w:val="es-CO"/>
        </w:rPr>
        <w:t xml:space="preserve">; </w:t>
      </w:r>
      <w:r w:rsidR="00E3482D" w:rsidRPr="007F2045">
        <w:rPr>
          <w:rFonts w:ascii="Times New Roman" w:hAnsi="Times New Roman"/>
          <w:sz w:val="28"/>
          <w:szCs w:val="28"/>
          <w:lang w:val="es-CO"/>
        </w:rPr>
        <w:t xml:space="preserve">y </w:t>
      </w:r>
      <w:r w:rsidRPr="007F2045">
        <w:rPr>
          <w:rFonts w:ascii="Times New Roman" w:hAnsi="Times New Roman"/>
          <w:sz w:val="28"/>
          <w:szCs w:val="28"/>
          <w:lang w:val="es-CO"/>
        </w:rPr>
        <w:t>la superación de un juicio de proporcionalidad estricto.</w:t>
      </w:r>
    </w:p>
    <w:p w14:paraId="5360213F" w14:textId="77777777" w:rsidR="00684A8D" w:rsidRPr="007F2045" w:rsidRDefault="00684A8D" w:rsidP="001B5728">
      <w:pPr>
        <w:pStyle w:val="Prrafodelista"/>
        <w:tabs>
          <w:tab w:val="left" w:pos="284"/>
          <w:tab w:val="left" w:pos="426"/>
        </w:tabs>
        <w:spacing w:after="0" w:line="240" w:lineRule="auto"/>
        <w:ind w:left="0"/>
        <w:rPr>
          <w:rFonts w:ascii="Times New Roman" w:hAnsi="Times New Roman"/>
          <w:sz w:val="28"/>
          <w:szCs w:val="28"/>
          <w:lang w:val="es-CO"/>
        </w:rPr>
      </w:pPr>
    </w:p>
    <w:p w14:paraId="29E85CB5" w14:textId="77777777" w:rsidR="00684A8D" w:rsidRPr="007F2045" w:rsidRDefault="00684A8D"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Además, a diferencia de la regulación contenida en el PLEEE, el </w:t>
      </w:r>
      <w:r w:rsidR="002A0AC0" w:rsidRPr="007F2045">
        <w:rPr>
          <w:rFonts w:ascii="Times New Roman" w:hAnsi="Times New Roman"/>
          <w:sz w:val="28"/>
          <w:szCs w:val="28"/>
          <w:lang w:val="es-CO"/>
        </w:rPr>
        <w:t>auto</w:t>
      </w:r>
      <w:r w:rsidRPr="007F2045">
        <w:rPr>
          <w:rFonts w:ascii="Times New Roman" w:hAnsi="Times New Roman"/>
          <w:sz w:val="28"/>
          <w:szCs w:val="28"/>
          <w:lang w:val="es-CO"/>
        </w:rPr>
        <w:t xml:space="preserve"> 272 de 2023 </w:t>
      </w:r>
      <w:r w:rsidR="00283D22" w:rsidRPr="007F2045">
        <w:rPr>
          <w:rFonts w:ascii="Times New Roman" w:hAnsi="Times New Roman"/>
          <w:sz w:val="28"/>
          <w:szCs w:val="28"/>
          <w:lang w:val="es-CO"/>
        </w:rPr>
        <w:t>definió</w:t>
      </w:r>
      <w:r w:rsidRPr="007F2045">
        <w:rPr>
          <w:rFonts w:ascii="Times New Roman" w:hAnsi="Times New Roman"/>
          <w:sz w:val="28"/>
          <w:szCs w:val="28"/>
          <w:lang w:val="es-CO"/>
        </w:rPr>
        <w:t xml:space="preserve"> con mayor precisión la noción de “abierta o manifiesta inconstitucionalidad”, al indicar que tal característica se predica de normas que vulneran derechos fundamentales, desconocen claros mandatos </w:t>
      </w:r>
      <w:r w:rsidR="00E66627" w:rsidRPr="007F2045">
        <w:rPr>
          <w:rFonts w:ascii="Times New Roman" w:hAnsi="Times New Roman"/>
          <w:sz w:val="28"/>
          <w:szCs w:val="28"/>
          <w:lang w:val="es-CO"/>
        </w:rPr>
        <w:t xml:space="preserve">de la Constitución </w:t>
      </w:r>
      <w:r w:rsidRPr="007F2045">
        <w:rPr>
          <w:rFonts w:ascii="Times New Roman" w:hAnsi="Times New Roman"/>
          <w:sz w:val="28"/>
          <w:szCs w:val="28"/>
          <w:lang w:val="es-CO"/>
        </w:rPr>
        <w:t xml:space="preserve">o establecen regulaciones manifiestamente irrazonables o desproporcionadas. </w:t>
      </w:r>
    </w:p>
    <w:p w14:paraId="52395808" w14:textId="77777777" w:rsidR="00684A8D" w:rsidRPr="007F2045" w:rsidRDefault="00684A8D" w:rsidP="001B5728">
      <w:pPr>
        <w:pStyle w:val="Prrafodelista"/>
        <w:spacing w:after="0" w:line="240" w:lineRule="auto"/>
        <w:rPr>
          <w:rFonts w:ascii="Times New Roman" w:hAnsi="Times New Roman"/>
          <w:sz w:val="28"/>
          <w:szCs w:val="28"/>
          <w:lang w:val="es-CO"/>
        </w:rPr>
      </w:pPr>
    </w:p>
    <w:p w14:paraId="7CF3014C" w14:textId="77777777" w:rsidR="00684A8D" w:rsidRPr="007F2045" w:rsidRDefault="00684A8D"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Tales diferencias evidencian que el contenido normativo de las normas del PLEEE que la Corte declaró inexequibles en la </w:t>
      </w:r>
      <w:r w:rsidR="007B5060" w:rsidRPr="007F2045">
        <w:rPr>
          <w:rFonts w:ascii="Times New Roman" w:hAnsi="Times New Roman"/>
          <w:sz w:val="28"/>
          <w:szCs w:val="28"/>
          <w:lang w:val="es-CO"/>
        </w:rPr>
        <w:t>sentencia</w:t>
      </w:r>
      <w:r w:rsidRPr="007F2045">
        <w:rPr>
          <w:rFonts w:ascii="Times New Roman" w:hAnsi="Times New Roman"/>
          <w:sz w:val="28"/>
          <w:szCs w:val="28"/>
          <w:lang w:val="es-CO"/>
        </w:rPr>
        <w:t xml:space="preserve"> C-179 de 1994 es </w:t>
      </w:r>
      <w:r w:rsidRPr="007F2045">
        <w:rPr>
          <w:rFonts w:ascii="Times New Roman" w:hAnsi="Times New Roman"/>
          <w:sz w:val="28"/>
          <w:szCs w:val="28"/>
          <w:u w:val="single"/>
          <w:lang w:val="es-CO"/>
        </w:rPr>
        <w:t>sustancialmente distinto</w:t>
      </w:r>
      <w:r w:rsidRPr="007F2045">
        <w:rPr>
          <w:rFonts w:ascii="Times New Roman" w:hAnsi="Times New Roman"/>
          <w:sz w:val="28"/>
          <w:szCs w:val="28"/>
          <w:lang w:val="es-CO"/>
        </w:rPr>
        <w:t xml:space="preserve"> al que se encuentra contenido en el </w:t>
      </w:r>
      <w:r w:rsidR="002A0AC0" w:rsidRPr="007F2045">
        <w:rPr>
          <w:rFonts w:ascii="Times New Roman" w:hAnsi="Times New Roman"/>
          <w:sz w:val="28"/>
          <w:szCs w:val="28"/>
          <w:lang w:val="es-CO"/>
        </w:rPr>
        <w:t>auto</w:t>
      </w:r>
      <w:r w:rsidRPr="007F2045">
        <w:rPr>
          <w:rFonts w:ascii="Times New Roman" w:hAnsi="Times New Roman"/>
          <w:sz w:val="28"/>
          <w:szCs w:val="28"/>
          <w:lang w:val="es-CO"/>
        </w:rPr>
        <w:t xml:space="preserve"> 272 de 2023. Eso significa que, pese a que comparten ciertos rasgos, no existe identidad de objeto entre la suspensión provisional del PLEEE que fue declarada inexequible </w:t>
      </w:r>
      <w:r w:rsidRPr="007F2045">
        <w:rPr>
          <w:rFonts w:ascii="Times New Roman" w:hAnsi="Times New Roman"/>
          <w:sz w:val="28"/>
          <w:szCs w:val="28"/>
          <w:lang w:val="es-CO"/>
        </w:rPr>
        <w:lastRenderedPageBreak/>
        <w:t xml:space="preserve">por la Corte y la suspensión provisional excepcional y restrictiva que la Corte desarrolló </w:t>
      </w:r>
      <w:r w:rsidR="00582EE9" w:rsidRPr="007F2045">
        <w:rPr>
          <w:rFonts w:ascii="Times New Roman" w:hAnsi="Times New Roman"/>
          <w:sz w:val="28"/>
          <w:szCs w:val="28"/>
          <w:lang w:val="es-CO"/>
        </w:rPr>
        <w:t xml:space="preserve">en </w:t>
      </w:r>
      <w:r w:rsidRPr="007F2045">
        <w:rPr>
          <w:rFonts w:ascii="Times New Roman" w:hAnsi="Times New Roman"/>
          <w:sz w:val="28"/>
          <w:szCs w:val="28"/>
          <w:lang w:val="es-CO"/>
        </w:rPr>
        <w:t xml:space="preserve">el </w:t>
      </w:r>
      <w:r w:rsidR="002A0AC0" w:rsidRPr="007F2045">
        <w:rPr>
          <w:rFonts w:ascii="Times New Roman" w:hAnsi="Times New Roman"/>
          <w:sz w:val="28"/>
          <w:szCs w:val="28"/>
          <w:lang w:val="es-CO"/>
        </w:rPr>
        <w:t>auto</w:t>
      </w:r>
      <w:r w:rsidRPr="007F2045">
        <w:rPr>
          <w:rFonts w:ascii="Times New Roman" w:hAnsi="Times New Roman"/>
          <w:sz w:val="28"/>
          <w:szCs w:val="28"/>
          <w:lang w:val="es-CO"/>
        </w:rPr>
        <w:t xml:space="preserve"> 272 de 2023. Sin embargo, no solo esa </w:t>
      </w:r>
      <w:r w:rsidR="003E745F" w:rsidRPr="007F2045">
        <w:rPr>
          <w:rFonts w:ascii="Times New Roman" w:hAnsi="Times New Roman"/>
          <w:sz w:val="28"/>
          <w:szCs w:val="28"/>
          <w:lang w:val="es-CO"/>
        </w:rPr>
        <w:t>diferenciación</w:t>
      </w:r>
      <w:r w:rsidRPr="007F2045">
        <w:rPr>
          <w:rFonts w:ascii="Times New Roman" w:hAnsi="Times New Roman"/>
          <w:sz w:val="28"/>
          <w:szCs w:val="28"/>
          <w:lang w:val="es-CO"/>
        </w:rPr>
        <w:t xml:space="preserve"> del alcance específico de la facultad permite concluir la variación del objeto de control. </w:t>
      </w:r>
    </w:p>
    <w:p w14:paraId="1185AB03" w14:textId="77777777" w:rsidR="00684A8D" w:rsidRPr="007F2045" w:rsidRDefault="00684A8D" w:rsidP="001B5728">
      <w:pPr>
        <w:pStyle w:val="Prrafodelista"/>
        <w:spacing w:after="0" w:line="240" w:lineRule="auto"/>
        <w:rPr>
          <w:rFonts w:ascii="Times New Roman" w:hAnsi="Times New Roman"/>
          <w:sz w:val="28"/>
          <w:szCs w:val="28"/>
          <w:lang w:val="es-CO"/>
        </w:rPr>
      </w:pPr>
    </w:p>
    <w:p w14:paraId="4FFE42DE" w14:textId="77777777" w:rsidR="005B5C4A" w:rsidRPr="007F2045" w:rsidRDefault="6FF1B433"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La facultad de suspensión provisional </w:t>
      </w:r>
      <w:r w:rsidR="001F35BC" w:rsidRPr="007F2045">
        <w:rPr>
          <w:rFonts w:ascii="Times New Roman" w:hAnsi="Times New Roman"/>
          <w:sz w:val="28"/>
          <w:szCs w:val="28"/>
          <w:lang w:val="es-CO"/>
        </w:rPr>
        <w:t xml:space="preserve">admitida </w:t>
      </w:r>
      <w:r w:rsidRPr="007F2045">
        <w:rPr>
          <w:rFonts w:ascii="Times New Roman" w:hAnsi="Times New Roman"/>
          <w:sz w:val="28"/>
          <w:szCs w:val="28"/>
          <w:lang w:val="es-CO"/>
        </w:rPr>
        <w:t xml:space="preserve">en el </w:t>
      </w:r>
      <w:r w:rsidR="002A0AC0" w:rsidRPr="007F2045">
        <w:rPr>
          <w:rFonts w:ascii="Times New Roman" w:hAnsi="Times New Roman"/>
          <w:sz w:val="28"/>
          <w:szCs w:val="28"/>
          <w:lang w:val="es-CO"/>
        </w:rPr>
        <w:t>auto</w:t>
      </w:r>
      <w:r w:rsidRPr="007F2045">
        <w:rPr>
          <w:rFonts w:ascii="Times New Roman" w:hAnsi="Times New Roman"/>
          <w:sz w:val="28"/>
          <w:szCs w:val="28"/>
          <w:lang w:val="es-CO"/>
        </w:rPr>
        <w:t xml:space="preserve"> 272 de 2023 se inscribe</w:t>
      </w:r>
      <w:r w:rsidR="59E88C2B" w:rsidRPr="007F2045">
        <w:rPr>
          <w:rFonts w:ascii="Times New Roman" w:hAnsi="Times New Roman"/>
          <w:sz w:val="28"/>
          <w:szCs w:val="28"/>
          <w:lang w:val="es-CO"/>
        </w:rPr>
        <w:t>,</w:t>
      </w:r>
      <w:r w:rsidRPr="007F2045">
        <w:rPr>
          <w:rFonts w:ascii="Times New Roman" w:hAnsi="Times New Roman"/>
          <w:sz w:val="28"/>
          <w:szCs w:val="28"/>
          <w:lang w:val="es-CO"/>
        </w:rPr>
        <w:t xml:space="preserve"> además</w:t>
      </w:r>
      <w:r w:rsidR="59E88C2B" w:rsidRPr="007F2045">
        <w:rPr>
          <w:rFonts w:ascii="Times New Roman" w:hAnsi="Times New Roman"/>
          <w:sz w:val="28"/>
          <w:szCs w:val="28"/>
          <w:lang w:val="es-CO"/>
        </w:rPr>
        <w:t>,</w:t>
      </w:r>
      <w:r w:rsidRPr="007F2045">
        <w:rPr>
          <w:rFonts w:ascii="Times New Roman" w:hAnsi="Times New Roman"/>
          <w:sz w:val="28"/>
          <w:szCs w:val="28"/>
          <w:lang w:val="es-CO"/>
        </w:rPr>
        <w:t xml:space="preserve"> en una específica comprensión del control de constitucionalidad en general y del control a la excepción en particular. En efecto, la jurisprudencia de la Corte ha evidenciado una especial preocupación por identificar instrumentos que hagan posible enfrentar prácticas de elusión constitucional. En esa dirección, por ejemplo, se encuentra </w:t>
      </w:r>
      <w:r w:rsidRPr="007F2045">
        <w:rPr>
          <w:rFonts w:ascii="Times New Roman" w:hAnsi="Times New Roman"/>
          <w:i/>
          <w:iCs/>
          <w:sz w:val="28"/>
          <w:szCs w:val="28"/>
          <w:lang w:val="es-CO"/>
        </w:rPr>
        <w:t>(i)</w:t>
      </w:r>
      <w:r w:rsidRPr="007F2045">
        <w:rPr>
          <w:rFonts w:ascii="Times New Roman" w:hAnsi="Times New Roman"/>
          <w:sz w:val="28"/>
          <w:szCs w:val="28"/>
          <w:lang w:val="es-CO"/>
        </w:rPr>
        <w:t xml:space="preserve"> el reconocimiento excepcional de las competencias atípicas; </w:t>
      </w:r>
      <w:r w:rsidRPr="007F2045">
        <w:rPr>
          <w:rFonts w:ascii="Times New Roman" w:hAnsi="Times New Roman"/>
          <w:i/>
          <w:iCs/>
          <w:sz w:val="28"/>
          <w:szCs w:val="28"/>
          <w:lang w:val="es-CO"/>
        </w:rPr>
        <w:t>(</w:t>
      </w:r>
      <w:proofErr w:type="spellStart"/>
      <w:r w:rsidRPr="007F2045">
        <w:rPr>
          <w:rFonts w:ascii="Times New Roman" w:hAnsi="Times New Roman"/>
          <w:i/>
          <w:iCs/>
          <w:sz w:val="28"/>
          <w:szCs w:val="28"/>
          <w:lang w:val="es-CO"/>
        </w:rPr>
        <w:t>ii</w:t>
      </w:r>
      <w:proofErr w:type="spellEnd"/>
      <w:r w:rsidRPr="007F2045">
        <w:rPr>
          <w:rFonts w:ascii="Times New Roman" w:hAnsi="Times New Roman"/>
          <w:i/>
          <w:iCs/>
          <w:sz w:val="28"/>
          <w:szCs w:val="28"/>
          <w:lang w:val="es-CO"/>
        </w:rPr>
        <w:t xml:space="preserve">) </w:t>
      </w:r>
      <w:r w:rsidRPr="007F2045">
        <w:rPr>
          <w:rFonts w:ascii="Times New Roman" w:hAnsi="Times New Roman"/>
          <w:sz w:val="28"/>
          <w:szCs w:val="28"/>
          <w:lang w:val="es-CO"/>
        </w:rPr>
        <w:t>la identificación de fórmulas de modulación temporal de la decisiones de inexequibilidad</w:t>
      </w:r>
      <w:r w:rsidR="001F35BC" w:rsidRPr="007F2045">
        <w:rPr>
          <w:rFonts w:ascii="Times New Roman" w:hAnsi="Times New Roman"/>
          <w:sz w:val="28"/>
          <w:szCs w:val="28"/>
          <w:lang w:val="es-CO"/>
        </w:rPr>
        <w:t>,</w:t>
      </w:r>
      <w:r w:rsidRPr="007F2045">
        <w:rPr>
          <w:rFonts w:ascii="Times New Roman" w:hAnsi="Times New Roman"/>
          <w:sz w:val="28"/>
          <w:szCs w:val="28"/>
          <w:lang w:val="es-CO"/>
        </w:rPr>
        <w:t xml:space="preserve"> previendo efectos </w:t>
      </w:r>
      <w:r w:rsidR="00E66627" w:rsidRPr="007F2045">
        <w:rPr>
          <w:rFonts w:ascii="Times New Roman" w:hAnsi="Times New Roman"/>
          <w:i/>
          <w:iCs/>
          <w:sz w:val="28"/>
          <w:szCs w:val="28"/>
          <w:lang w:val="es-CO"/>
        </w:rPr>
        <w:t xml:space="preserve">(a) </w:t>
      </w:r>
      <w:r w:rsidRPr="007F2045">
        <w:rPr>
          <w:rFonts w:ascii="Times New Roman" w:hAnsi="Times New Roman"/>
          <w:sz w:val="28"/>
          <w:szCs w:val="28"/>
          <w:lang w:val="es-CO"/>
        </w:rPr>
        <w:t>retroactivos</w:t>
      </w:r>
      <w:r w:rsidR="00E66627" w:rsidRPr="007F2045">
        <w:rPr>
          <w:rFonts w:ascii="Times New Roman" w:hAnsi="Times New Roman"/>
          <w:sz w:val="28"/>
          <w:szCs w:val="28"/>
          <w:lang w:val="es-CO"/>
        </w:rPr>
        <w:t>,</w:t>
      </w:r>
      <w:r w:rsidRPr="007F2045">
        <w:rPr>
          <w:rFonts w:ascii="Times New Roman" w:hAnsi="Times New Roman"/>
          <w:sz w:val="28"/>
          <w:szCs w:val="28"/>
          <w:lang w:val="es-CO"/>
        </w:rPr>
        <w:t xml:space="preserve"> cuando se constatan graves y notorias violaciones de la Carta</w:t>
      </w:r>
      <w:r w:rsidR="59E88C2B" w:rsidRPr="007F2045">
        <w:rPr>
          <w:rFonts w:ascii="Times New Roman" w:hAnsi="Times New Roman"/>
          <w:sz w:val="28"/>
          <w:szCs w:val="28"/>
          <w:lang w:val="es-CO"/>
        </w:rPr>
        <w:t xml:space="preserve">, o </w:t>
      </w:r>
      <w:r w:rsidR="00E66627" w:rsidRPr="007F2045">
        <w:rPr>
          <w:rFonts w:ascii="Times New Roman" w:hAnsi="Times New Roman"/>
          <w:i/>
          <w:iCs/>
          <w:sz w:val="28"/>
          <w:szCs w:val="28"/>
          <w:lang w:val="es-CO"/>
        </w:rPr>
        <w:t>(b)</w:t>
      </w:r>
      <w:r w:rsidR="00E66627" w:rsidRPr="007F2045">
        <w:rPr>
          <w:rFonts w:ascii="Times New Roman" w:hAnsi="Times New Roman"/>
          <w:sz w:val="28"/>
          <w:szCs w:val="28"/>
          <w:lang w:val="es-CO"/>
        </w:rPr>
        <w:t xml:space="preserve"> </w:t>
      </w:r>
      <w:r w:rsidR="59E88C2B" w:rsidRPr="007F2045">
        <w:rPr>
          <w:rFonts w:ascii="Times New Roman" w:hAnsi="Times New Roman"/>
          <w:sz w:val="28"/>
          <w:szCs w:val="28"/>
          <w:lang w:val="es-CO"/>
        </w:rPr>
        <w:t>prospectivo</w:t>
      </w:r>
      <w:r w:rsidR="00E3482D" w:rsidRPr="007F2045">
        <w:rPr>
          <w:rFonts w:ascii="Times New Roman" w:hAnsi="Times New Roman"/>
          <w:sz w:val="28"/>
          <w:szCs w:val="28"/>
          <w:lang w:val="es-CO"/>
        </w:rPr>
        <w:t>s</w:t>
      </w:r>
      <w:r w:rsidR="00E66627" w:rsidRPr="007F2045">
        <w:rPr>
          <w:rFonts w:ascii="Times New Roman" w:hAnsi="Times New Roman"/>
          <w:sz w:val="28"/>
          <w:szCs w:val="28"/>
          <w:lang w:val="es-CO"/>
        </w:rPr>
        <w:t>, cuando</w:t>
      </w:r>
      <w:r w:rsidR="006B5249" w:rsidRPr="007F2045">
        <w:rPr>
          <w:rFonts w:ascii="Times New Roman" w:hAnsi="Times New Roman"/>
          <w:sz w:val="28"/>
          <w:szCs w:val="28"/>
          <w:lang w:val="es-CO"/>
        </w:rPr>
        <w:t xml:space="preserve"> por razones de seguridad jurídica la regla establecida en la sentencia no debe ser aplicada directamente al caso</w:t>
      </w:r>
      <w:r w:rsidRPr="007F2045">
        <w:rPr>
          <w:rFonts w:ascii="Times New Roman" w:hAnsi="Times New Roman"/>
          <w:sz w:val="28"/>
          <w:szCs w:val="28"/>
          <w:lang w:val="es-CO"/>
        </w:rPr>
        <w:t xml:space="preserve">; </w:t>
      </w:r>
      <w:r w:rsidRPr="007F2045">
        <w:rPr>
          <w:rFonts w:ascii="Times New Roman" w:hAnsi="Times New Roman"/>
          <w:i/>
          <w:iCs/>
          <w:sz w:val="28"/>
          <w:szCs w:val="28"/>
          <w:lang w:val="es-CO"/>
        </w:rPr>
        <w:t>(</w:t>
      </w:r>
      <w:proofErr w:type="spellStart"/>
      <w:r w:rsidRPr="007F2045">
        <w:rPr>
          <w:rFonts w:ascii="Times New Roman" w:hAnsi="Times New Roman"/>
          <w:i/>
          <w:iCs/>
          <w:sz w:val="28"/>
          <w:szCs w:val="28"/>
          <w:lang w:val="es-CO"/>
        </w:rPr>
        <w:t>iii</w:t>
      </w:r>
      <w:proofErr w:type="spellEnd"/>
      <w:r w:rsidRPr="007F2045">
        <w:rPr>
          <w:rFonts w:ascii="Times New Roman" w:hAnsi="Times New Roman"/>
          <w:i/>
          <w:iCs/>
          <w:sz w:val="28"/>
          <w:szCs w:val="28"/>
          <w:lang w:val="es-CO"/>
        </w:rPr>
        <w:t>)</w:t>
      </w:r>
      <w:r w:rsidRPr="007F2045">
        <w:rPr>
          <w:rFonts w:ascii="Times New Roman" w:hAnsi="Times New Roman"/>
          <w:sz w:val="28"/>
          <w:szCs w:val="28"/>
          <w:lang w:val="es-CO"/>
        </w:rPr>
        <w:t xml:space="preserve"> el control constitucional de normas de corta vigencia o derogadas; </w:t>
      </w:r>
      <w:r w:rsidRPr="007F2045">
        <w:rPr>
          <w:rFonts w:ascii="Times New Roman" w:hAnsi="Times New Roman"/>
          <w:i/>
          <w:iCs/>
          <w:sz w:val="28"/>
          <w:szCs w:val="28"/>
          <w:lang w:val="es-CO"/>
        </w:rPr>
        <w:t>y (</w:t>
      </w:r>
      <w:proofErr w:type="spellStart"/>
      <w:r w:rsidRPr="007F2045">
        <w:rPr>
          <w:rFonts w:ascii="Times New Roman" w:hAnsi="Times New Roman"/>
          <w:i/>
          <w:iCs/>
          <w:sz w:val="28"/>
          <w:szCs w:val="28"/>
          <w:lang w:val="es-CO"/>
        </w:rPr>
        <w:t>iv</w:t>
      </w:r>
      <w:proofErr w:type="spellEnd"/>
      <w:r w:rsidRPr="007F2045">
        <w:rPr>
          <w:rFonts w:ascii="Times New Roman" w:hAnsi="Times New Roman"/>
          <w:i/>
          <w:iCs/>
          <w:sz w:val="28"/>
          <w:szCs w:val="28"/>
          <w:lang w:val="es-CO"/>
        </w:rPr>
        <w:t>)</w:t>
      </w:r>
      <w:r w:rsidRPr="007F2045">
        <w:rPr>
          <w:rFonts w:ascii="Times New Roman" w:hAnsi="Times New Roman"/>
          <w:sz w:val="28"/>
          <w:szCs w:val="28"/>
          <w:lang w:val="es-CO"/>
        </w:rPr>
        <w:t xml:space="preserve"> el desarrollo de un escrutinio cada vez más detallado y preciso de los decretos dictados al amparo de estados de excepción.</w:t>
      </w:r>
    </w:p>
    <w:p w14:paraId="68582200" w14:textId="77777777" w:rsidR="005B5C4A" w:rsidRPr="007F2045" w:rsidRDefault="005B5C4A" w:rsidP="001B5728">
      <w:pPr>
        <w:pStyle w:val="Prrafodelista"/>
        <w:tabs>
          <w:tab w:val="left" w:pos="284"/>
          <w:tab w:val="left" w:pos="426"/>
        </w:tabs>
        <w:spacing w:after="0" w:line="240" w:lineRule="auto"/>
        <w:ind w:left="0"/>
        <w:rPr>
          <w:rFonts w:ascii="Times New Roman" w:hAnsi="Times New Roman"/>
          <w:sz w:val="28"/>
          <w:szCs w:val="28"/>
          <w:lang w:val="es-CO"/>
        </w:rPr>
      </w:pPr>
    </w:p>
    <w:p w14:paraId="181D54A9" w14:textId="77777777" w:rsidR="005B5C4A" w:rsidRPr="007F2045" w:rsidRDefault="009F70DB"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La falta de identidad entre la medida de suspensión provisional declarada inexequible en la </w:t>
      </w:r>
      <w:r w:rsidR="007B5060" w:rsidRPr="007F2045">
        <w:rPr>
          <w:rFonts w:ascii="Times New Roman" w:hAnsi="Times New Roman"/>
          <w:sz w:val="28"/>
          <w:szCs w:val="28"/>
          <w:lang w:val="es-CO"/>
        </w:rPr>
        <w:t>sentencia</w:t>
      </w:r>
      <w:r w:rsidRPr="007F2045">
        <w:rPr>
          <w:rFonts w:ascii="Times New Roman" w:hAnsi="Times New Roman"/>
          <w:sz w:val="28"/>
          <w:szCs w:val="28"/>
          <w:lang w:val="es-CO"/>
        </w:rPr>
        <w:t xml:space="preserve"> C-179 de 1994 y aqu</w:t>
      </w:r>
      <w:r w:rsidR="001A62DF" w:rsidRPr="007F2045">
        <w:rPr>
          <w:rFonts w:ascii="Times New Roman" w:hAnsi="Times New Roman"/>
          <w:sz w:val="28"/>
          <w:szCs w:val="28"/>
          <w:lang w:val="es-CO"/>
        </w:rPr>
        <w:t>e</w:t>
      </w:r>
      <w:r w:rsidRPr="007F2045">
        <w:rPr>
          <w:rFonts w:ascii="Times New Roman" w:hAnsi="Times New Roman"/>
          <w:sz w:val="28"/>
          <w:szCs w:val="28"/>
          <w:lang w:val="es-CO"/>
        </w:rPr>
        <w:t xml:space="preserve">lla desarrollada por el </w:t>
      </w:r>
      <w:r w:rsidR="002A0AC0" w:rsidRPr="007F2045">
        <w:rPr>
          <w:rFonts w:ascii="Times New Roman" w:hAnsi="Times New Roman"/>
          <w:sz w:val="28"/>
          <w:szCs w:val="28"/>
          <w:lang w:val="es-CO"/>
        </w:rPr>
        <w:t>auto</w:t>
      </w:r>
      <w:r w:rsidRPr="007F2045">
        <w:rPr>
          <w:rFonts w:ascii="Times New Roman" w:hAnsi="Times New Roman"/>
          <w:sz w:val="28"/>
          <w:szCs w:val="28"/>
          <w:lang w:val="es-CO"/>
        </w:rPr>
        <w:t xml:space="preserve"> 272 de 2023 es determinante para comprender el verdadero impacto que esa decisión de inexequibilidad tiene respecto de dicho </w:t>
      </w:r>
      <w:r w:rsidR="001A62DF" w:rsidRPr="007F2045">
        <w:rPr>
          <w:rFonts w:ascii="Times New Roman" w:hAnsi="Times New Roman"/>
          <w:sz w:val="28"/>
          <w:szCs w:val="28"/>
          <w:lang w:val="es-CO"/>
        </w:rPr>
        <w:t>a</w:t>
      </w:r>
      <w:r w:rsidRPr="007F2045">
        <w:rPr>
          <w:rFonts w:ascii="Times New Roman" w:hAnsi="Times New Roman"/>
          <w:sz w:val="28"/>
          <w:szCs w:val="28"/>
          <w:lang w:val="es-CO"/>
        </w:rPr>
        <w:t xml:space="preserve">uto. El hecho de que este último haya reconocido la cosa juzgada de la </w:t>
      </w:r>
      <w:r w:rsidR="007B5060" w:rsidRPr="007F2045">
        <w:rPr>
          <w:rFonts w:ascii="Times New Roman" w:hAnsi="Times New Roman"/>
          <w:sz w:val="28"/>
          <w:szCs w:val="28"/>
          <w:lang w:val="es-CO"/>
        </w:rPr>
        <w:t>sentencia</w:t>
      </w:r>
      <w:r w:rsidRPr="007F2045">
        <w:rPr>
          <w:rFonts w:ascii="Times New Roman" w:hAnsi="Times New Roman"/>
          <w:sz w:val="28"/>
          <w:szCs w:val="28"/>
          <w:lang w:val="es-CO"/>
        </w:rPr>
        <w:t xml:space="preserve"> C-179 de 1994 no implica que los decretos de desarrollo del estado de excepción hayan quedado por fuera del ámbito de aplicación de la nueva regla de suspensión provisional, ya que se trata de una medida distinta a la que fue excluida del ordenamiento por la precitada sentencia. Lo que </w:t>
      </w:r>
      <w:r w:rsidR="00E3482D" w:rsidRPr="007F2045">
        <w:rPr>
          <w:rFonts w:ascii="Times New Roman" w:hAnsi="Times New Roman"/>
          <w:sz w:val="28"/>
          <w:szCs w:val="28"/>
          <w:lang w:val="es-CO"/>
        </w:rPr>
        <w:t>prohíbe</w:t>
      </w:r>
      <w:r w:rsidRPr="007F2045">
        <w:rPr>
          <w:rFonts w:ascii="Times New Roman" w:hAnsi="Times New Roman"/>
          <w:sz w:val="28"/>
          <w:szCs w:val="28"/>
          <w:lang w:val="es-CO"/>
        </w:rPr>
        <w:t xml:space="preserve"> la cosa juzgada era reproducir </w:t>
      </w:r>
      <w:r w:rsidR="0036077E" w:rsidRPr="007F2045">
        <w:rPr>
          <w:rFonts w:ascii="Times New Roman" w:hAnsi="Times New Roman"/>
          <w:sz w:val="28"/>
          <w:szCs w:val="28"/>
          <w:lang w:val="es-CO"/>
        </w:rPr>
        <w:t>una norma</w:t>
      </w:r>
      <w:r w:rsidRPr="007F2045">
        <w:rPr>
          <w:rFonts w:ascii="Times New Roman" w:hAnsi="Times New Roman"/>
          <w:sz w:val="28"/>
          <w:szCs w:val="28"/>
          <w:lang w:val="es-CO"/>
        </w:rPr>
        <w:t xml:space="preserve"> declarada inexequible, pero esto no</w:t>
      </w:r>
      <w:r w:rsidR="00013BD6" w:rsidRPr="007F2045">
        <w:rPr>
          <w:rFonts w:ascii="Times New Roman" w:hAnsi="Times New Roman"/>
          <w:sz w:val="28"/>
          <w:szCs w:val="28"/>
          <w:lang w:val="es-CO"/>
        </w:rPr>
        <w:t xml:space="preserve"> fue</w:t>
      </w:r>
      <w:r w:rsidRPr="007F2045">
        <w:rPr>
          <w:rFonts w:ascii="Times New Roman" w:hAnsi="Times New Roman"/>
          <w:sz w:val="28"/>
          <w:szCs w:val="28"/>
          <w:lang w:val="es-CO"/>
        </w:rPr>
        <w:t xml:space="preserve"> lo</w:t>
      </w:r>
      <w:r w:rsidR="005934BF" w:rsidRPr="007F2045">
        <w:rPr>
          <w:rFonts w:ascii="Times New Roman" w:hAnsi="Times New Roman"/>
          <w:sz w:val="28"/>
          <w:szCs w:val="28"/>
          <w:lang w:val="es-CO"/>
        </w:rPr>
        <w:t xml:space="preserve"> que</w:t>
      </w:r>
      <w:r w:rsidRPr="007F2045">
        <w:rPr>
          <w:rFonts w:ascii="Times New Roman" w:hAnsi="Times New Roman"/>
          <w:sz w:val="28"/>
          <w:szCs w:val="28"/>
          <w:lang w:val="es-CO"/>
        </w:rPr>
        <w:t xml:space="preserve"> hizo el </w:t>
      </w:r>
      <w:r w:rsidR="002A0AC0" w:rsidRPr="007F2045">
        <w:rPr>
          <w:rFonts w:ascii="Times New Roman" w:hAnsi="Times New Roman"/>
          <w:sz w:val="28"/>
          <w:szCs w:val="28"/>
          <w:lang w:val="es-CO"/>
        </w:rPr>
        <w:t>auto</w:t>
      </w:r>
      <w:r w:rsidRPr="007F2045">
        <w:rPr>
          <w:rFonts w:ascii="Times New Roman" w:hAnsi="Times New Roman"/>
          <w:sz w:val="28"/>
          <w:szCs w:val="28"/>
          <w:lang w:val="es-CO"/>
        </w:rPr>
        <w:t xml:space="preserve"> 272 de 2023. Esta providencia</w:t>
      </w:r>
      <w:r w:rsidR="00EC1F7C" w:rsidRPr="007F2045">
        <w:rPr>
          <w:rFonts w:ascii="Times New Roman" w:hAnsi="Times New Roman"/>
          <w:sz w:val="28"/>
          <w:szCs w:val="28"/>
          <w:lang w:val="es-CO"/>
        </w:rPr>
        <w:t xml:space="preserve"> delimitó</w:t>
      </w:r>
      <w:r w:rsidRPr="007F2045">
        <w:rPr>
          <w:rFonts w:ascii="Times New Roman" w:hAnsi="Times New Roman"/>
          <w:sz w:val="28"/>
          <w:szCs w:val="28"/>
          <w:lang w:val="es-CO"/>
        </w:rPr>
        <w:t xml:space="preserve"> la misma figura</w:t>
      </w:r>
      <w:r w:rsidR="001A62DF" w:rsidRPr="007F2045">
        <w:rPr>
          <w:rFonts w:ascii="Times New Roman" w:hAnsi="Times New Roman"/>
          <w:sz w:val="28"/>
          <w:szCs w:val="28"/>
          <w:lang w:val="es-CO"/>
        </w:rPr>
        <w:t>,</w:t>
      </w:r>
      <w:r w:rsidR="005934BF" w:rsidRPr="007F2045">
        <w:rPr>
          <w:rFonts w:ascii="Times New Roman" w:hAnsi="Times New Roman"/>
          <w:sz w:val="28"/>
          <w:szCs w:val="28"/>
          <w:lang w:val="es-CO"/>
        </w:rPr>
        <w:t xml:space="preserve"> en su consideración abstracta,</w:t>
      </w:r>
      <w:r w:rsidRPr="007F2045">
        <w:rPr>
          <w:rFonts w:ascii="Times New Roman" w:hAnsi="Times New Roman"/>
          <w:sz w:val="28"/>
          <w:szCs w:val="28"/>
          <w:lang w:val="es-CO"/>
        </w:rPr>
        <w:t xml:space="preserve"> pero con </w:t>
      </w:r>
      <w:r w:rsidR="005934BF" w:rsidRPr="007F2045">
        <w:rPr>
          <w:rFonts w:ascii="Times New Roman" w:hAnsi="Times New Roman"/>
          <w:sz w:val="28"/>
          <w:szCs w:val="28"/>
          <w:lang w:val="es-CO"/>
        </w:rPr>
        <w:t>otro alcance</w:t>
      </w:r>
      <w:r w:rsidRPr="007F2045">
        <w:rPr>
          <w:rFonts w:ascii="Times New Roman" w:hAnsi="Times New Roman"/>
          <w:sz w:val="28"/>
          <w:szCs w:val="28"/>
          <w:lang w:val="es-CO"/>
        </w:rPr>
        <w:t xml:space="preserve"> y condiciones</w:t>
      </w:r>
      <w:r w:rsidR="009D16C7" w:rsidRPr="007F2045">
        <w:rPr>
          <w:rFonts w:ascii="Times New Roman" w:hAnsi="Times New Roman"/>
          <w:sz w:val="28"/>
          <w:szCs w:val="28"/>
          <w:lang w:val="es-CO"/>
        </w:rPr>
        <w:t xml:space="preserve">, </w:t>
      </w:r>
      <w:r w:rsidR="004A0B40" w:rsidRPr="007F2045">
        <w:rPr>
          <w:rFonts w:ascii="Times New Roman" w:hAnsi="Times New Roman"/>
          <w:sz w:val="28"/>
          <w:szCs w:val="28"/>
          <w:lang w:val="es-CO"/>
        </w:rPr>
        <w:t xml:space="preserve">es decir, no reprodujo el contenido de la suspensión provisional contenida en el PLEEE, y, por lo tanto, dicha figura no es incompatible con la </w:t>
      </w:r>
      <w:r w:rsidRPr="007F2045">
        <w:rPr>
          <w:rFonts w:ascii="Times New Roman" w:hAnsi="Times New Roman"/>
          <w:sz w:val="28"/>
          <w:szCs w:val="28"/>
          <w:lang w:val="es-CO"/>
        </w:rPr>
        <w:t xml:space="preserve">cosa juzgada de la </w:t>
      </w:r>
      <w:r w:rsidR="007B5060" w:rsidRPr="007F2045">
        <w:rPr>
          <w:rFonts w:ascii="Times New Roman" w:hAnsi="Times New Roman"/>
          <w:sz w:val="28"/>
          <w:szCs w:val="28"/>
          <w:lang w:val="es-CO"/>
        </w:rPr>
        <w:t>sentencia</w:t>
      </w:r>
      <w:r w:rsidRPr="007F2045">
        <w:rPr>
          <w:rFonts w:ascii="Times New Roman" w:hAnsi="Times New Roman"/>
          <w:sz w:val="28"/>
          <w:szCs w:val="28"/>
          <w:lang w:val="es-CO"/>
        </w:rPr>
        <w:t xml:space="preserve"> C-179 de 1994. </w:t>
      </w:r>
    </w:p>
    <w:p w14:paraId="38459822" w14:textId="77777777" w:rsidR="009F70DB" w:rsidRPr="007F2045" w:rsidRDefault="009F70DB" w:rsidP="001B5728">
      <w:pPr>
        <w:pStyle w:val="Prrafodelista"/>
        <w:tabs>
          <w:tab w:val="left" w:pos="284"/>
          <w:tab w:val="left" w:pos="426"/>
        </w:tabs>
        <w:spacing w:after="0" w:line="240" w:lineRule="auto"/>
        <w:ind w:left="0"/>
        <w:rPr>
          <w:rFonts w:ascii="Times New Roman" w:hAnsi="Times New Roman"/>
          <w:sz w:val="28"/>
          <w:szCs w:val="28"/>
          <w:lang w:val="es-CO"/>
        </w:rPr>
      </w:pPr>
    </w:p>
    <w:p w14:paraId="60EA27CB" w14:textId="77777777" w:rsidR="005B5C4A" w:rsidRPr="007F2045" w:rsidRDefault="005B5C4A"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Con fundamento en lo expuesto, </w:t>
      </w:r>
      <w:r w:rsidR="009D16C7" w:rsidRPr="007F2045">
        <w:rPr>
          <w:rFonts w:ascii="Times New Roman" w:hAnsi="Times New Roman"/>
          <w:sz w:val="28"/>
          <w:szCs w:val="28"/>
          <w:lang w:val="es-CO"/>
        </w:rPr>
        <w:t>esta Corporación</w:t>
      </w:r>
      <w:r w:rsidRPr="007F2045">
        <w:rPr>
          <w:rFonts w:ascii="Times New Roman" w:hAnsi="Times New Roman"/>
          <w:sz w:val="28"/>
          <w:szCs w:val="28"/>
          <w:lang w:val="es-CO"/>
        </w:rPr>
        <w:t xml:space="preserve"> precisa que lo resuelto en la </w:t>
      </w:r>
      <w:r w:rsidR="007B5060" w:rsidRPr="007F2045">
        <w:rPr>
          <w:rFonts w:ascii="Times New Roman" w:hAnsi="Times New Roman"/>
          <w:sz w:val="28"/>
          <w:szCs w:val="28"/>
          <w:lang w:val="es-CO"/>
        </w:rPr>
        <w:t>sentencia</w:t>
      </w:r>
      <w:r w:rsidRPr="007F2045">
        <w:rPr>
          <w:rFonts w:ascii="Times New Roman" w:hAnsi="Times New Roman"/>
          <w:sz w:val="28"/>
          <w:szCs w:val="28"/>
          <w:lang w:val="es-CO"/>
        </w:rPr>
        <w:t xml:space="preserve"> C-179 de 1994 no impide, en lo absoluto, aplicar la medida de suspensión provisional del </w:t>
      </w:r>
      <w:r w:rsidR="002A0AC0" w:rsidRPr="007F2045">
        <w:rPr>
          <w:rFonts w:ascii="Times New Roman" w:hAnsi="Times New Roman"/>
          <w:sz w:val="28"/>
          <w:szCs w:val="28"/>
          <w:lang w:val="es-CO"/>
        </w:rPr>
        <w:t>auto</w:t>
      </w:r>
      <w:r w:rsidRPr="007F2045">
        <w:rPr>
          <w:rFonts w:ascii="Times New Roman" w:hAnsi="Times New Roman"/>
          <w:sz w:val="28"/>
          <w:szCs w:val="28"/>
          <w:lang w:val="es-CO"/>
        </w:rPr>
        <w:t xml:space="preserve"> 272 de 2023</w:t>
      </w:r>
      <w:r w:rsidR="006F5057" w:rsidRPr="007F2045">
        <w:rPr>
          <w:rFonts w:ascii="Times New Roman" w:hAnsi="Times New Roman"/>
          <w:sz w:val="28"/>
          <w:szCs w:val="28"/>
          <w:lang w:val="es-CO"/>
        </w:rPr>
        <w:t>,</w:t>
      </w:r>
      <w:r w:rsidRPr="007F2045">
        <w:rPr>
          <w:rFonts w:ascii="Times New Roman" w:hAnsi="Times New Roman"/>
          <w:sz w:val="28"/>
          <w:szCs w:val="28"/>
          <w:lang w:val="es-CO"/>
        </w:rPr>
        <w:t xml:space="preserve"> </w:t>
      </w:r>
      <w:r w:rsidR="006F5057" w:rsidRPr="007F2045">
        <w:rPr>
          <w:rFonts w:ascii="Times New Roman" w:hAnsi="Times New Roman"/>
          <w:sz w:val="28"/>
          <w:szCs w:val="28"/>
          <w:lang w:val="es-CO"/>
        </w:rPr>
        <w:t xml:space="preserve">tanto </w:t>
      </w:r>
      <w:r w:rsidRPr="007F2045">
        <w:rPr>
          <w:rFonts w:ascii="Times New Roman" w:hAnsi="Times New Roman"/>
          <w:sz w:val="28"/>
          <w:szCs w:val="28"/>
          <w:lang w:val="es-CO"/>
        </w:rPr>
        <w:t xml:space="preserve">a los decretos </w:t>
      </w:r>
      <w:r w:rsidR="00146F6F" w:rsidRPr="007F2045">
        <w:rPr>
          <w:rFonts w:ascii="Times New Roman" w:hAnsi="Times New Roman"/>
          <w:sz w:val="28"/>
          <w:szCs w:val="28"/>
          <w:lang w:val="es-CO"/>
        </w:rPr>
        <w:t>d</w:t>
      </w:r>
      <w:r w:rsidR="004A0B40" w:rsidRPr="007F2045">
        <w:rPr>
          <w:rFonts w:ascii="Times New Roman" w:hAnsi="Times New Roman"/>
          <w:sz w:val="28"/>
          <w:szCs w:val="28"/>
          <w:lang w:val="es-CO"/>
        </w:rPr>
        <w:t xml:space="preserve">eclarativos </w:t>
      </w:r>
      <w:r w:rsidR="006F5057" w:rsidRPr="007F2045">
        <w:rPr>
          <w:rFonts w:ascii="Times New Roman" w:hAnsi="Times New Roman"/>
          <w:sz w:val="28"/>
          <w:szCs w:val="28"/>
          <w:lang w:val="es-CO"/>
        </w:rPr>
        <w:t xml:space="preserve">como a los decretos legislativos </w:t>
      </w:r>
      <w:r w:rsidR="004A0B40" w:rsidRPr="007F2045">
        <w:rPr>
          <w:rFonts w:ascii="Times New Roman" w:hAnsi="Times New Roman"/>
          <w:sz w:val="28"/>
          <w:szCs w:val="28"/>
          <w:lang w:val="es-CO"/>
        </w:rPr>
        <w:t xml:space="preserve">de desarrollo del </w:t>
      </w:r>
      <w:r w:rsidRPr="007F2045">
        <w:rPr>
          <w:rFonts w:ascii="Times New Roman" w:hAnsi="Times New Roman"/>
          <w:sz w:val="28"/>
          <w:szCs w:val="28"/>
          <w:lang w:val="es-CO"/>
        </w:rPr>
        <w:t xml:space="preserve">estado de excepción. </w:t>
      </w:r>
    </w:p>
    <w:p w14:paraId="12056F9D" w14:textId="77777777" w:rsidR="005B5C4A" w:rsidRPr="007F2045" w:rsidRDefault="005B5C4A" w:rsidP="001B5728">
      <w:pPr>
        <w:pStyle w:val="Prrafodelista"/>
        <w:tabs>
          <w:tab w:val="left" w:pos="284"/>
          <w:tab w:val="left" w:pos="426"/>
        </w:tabs>
        <w:spacing w:after="0" w:line="240" w:lineRule="auto"/>
        <w:ind w:left="0"/>
        <w:rPr>
          <w:rFonts w:ascii="Times New Roman" w:hAnsi="Times New Roman"/>
          <w:sz w:val="28"/>
          <w:szCs w:val="28"/>
          <w:lang w:val="es-CO"/>
        </w:rPr>
      </w:pPr>
    </w:p>
    <w:p w14:paraId="75979DD8" w14:textId="77777777" w:rsidR="00684A8D" w:rsidRPr="007F2045" w:rsidRDefault="001C055F" w:rsidP="001B5728">
      <w:pPr>
        <w:pStyle w:val="Ttulo2"/>
        <w:numPr>
          <w:ilvl w:val="0"/>
          <w:numId w:val="0"/>
        </w:numPr>
        <w:tabs>
          <w:tab w:val="left" w:pos="1134"/>
        </w:tabs>
        <w:ind w:left="1134" w:hanging="414"/>
        <w:rPr>
          <w:lang w:val="es-CO"/>
        </w:rPr>
      </w:pPr>
      <w:r w:rsidRPr="007F2045">
        <w:rPr>
          <w:lang w:val="es-CO"/>
        </w:rPr>
        <w:t>5.</w:t>
      </w:r>
      <w:r w:rsidR="000B5348" w:rsidRPr="007F2045">
        <w:rPr>
          <w:lang w:val="es-CO"/>
        </w:rPr>
        <w:tab/>
      </w:r>
      <w:r w:rsidR="6FF1B433" w:rsidRPr="007F2045">
        <w:rPr>
          <w:lang w:val="es-CO"/>
        </w:rPr>
        <w:t xml:space="preserve">Las condiciones de procedencia de la suspensión provisional establecidas en el </w:t>
      </w:r>
      <w:r w:rsidR="002A0AC0" w:rsidRPr="007F2045">
        <w:rPr>
          <w:lang w:val="es-CO"/>
        </w:rPr>
        <w:t>auto</w:t>
      </w:r>
      <w:r w:rsidR="6FF1B433" w:rsidRPr="007F2045">
        <w:rPr>
          <w:lang w:val="es-CO"/>
        </w:rPr>
        <w:t xml:space="preserve"> 272 de 2023 y su aplicación en el caso del </w:t>
      </w:r>
      <w:r w:rsidR="43F46EF7" w:rsidRPr="007F2045">
        <w:rPr>
          <w:lang w:val="es-CO"/>
        </w:rPr>
        <w:t>D</w:t>
      </w:r>
      <w:r w:rsidR="6FF1B433" w:rsidRPr="007F2045">
        <w:rPr>
          <w:lang w:val="es-CO"/>
        </w:rPr>
        <w:t>ecreto 1390 de 2025</w:t>
      </w:r>
    </w:p>
    <w:p w14:paraId="548F5011" w14:textId="77777777" w:rsidR="00684A8D" w:rsidRPr="007F2045" w:rsidRDefault="00684A8D" w:rsidP="001B5728">
      <w:pPr>
        <w:tabs>
          <w:tab w:val="left" w:pos="284"/>
          <w:tab w:val="left" w:pos="426"/>
        </w:tabs>
        <w:spacing w:after="0" w:line="240" w:lineRule="auto"/>
        <w:rPr>
          <w:rFonts w:ascii="Times New Roman" w:hAnsi="Times New Roman"/>
          <w:b/>
          <w:sz w:val="28"/>
          <w:szCs w:val="28"/>
          <w:lang w:val="es-CO"/>
        </w:rPr>
      </w:pPr>
    </w:p>
    <w:p w14:paraId="18FF8BE6" w14:textId="77777777" w:rsidR="00120940" w:rsidRPr="007F2045" w:rsidRDefault="00120940"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En los términos del auto 272 de 2023, la Corte modificó explícita y parcialmente su jurisprudencia respecto de “la improcedencia general de adoptar medidas excepcionales orientadas a impedir la producción de efectos de las normas objeto de control abstracto de constitucionalidad”. Según precisó, esta regla “encuentra una excepción en aquellos casos en que se está ante una disposición </w:t>
      </w:r>
      <w:r w:rsidRPr="007F2045">
        <w:rPr>
          <w:rFonts w:ascii="Times New Roman" w:hAnsi="Times New Roman"/>
          <w:i/>
          <w:iCs/>
          <w:sz w:val="28"/>
          <w:szCs w:val="28"/>
          <w:lang w:val="es-CO"/>
        </w:rPr>
        <w:t>prima facie</w:t>
      </w:r>
      <w:r w:rsidRPr="007F2045">
        <w:rPr>
          <w:rFonts w:ascii="Times New Roman" w:hAnsi="Times New Roman"/>
          <w:sz w:val="28"/>
          <w:szCs w:val="28"/>
          <w:lang w:val="es-CO"/>
        </w:rPr>
        <w:t xml:space="preserve"> abierta o manifiestamente inconstitucional y que produce efecto irremediable o lleva a eludir el control de constitucionalidad en los términos explicados en esta decisión”. </w:t>
      </w:r>
    </w:p>
    <w:p w14:paraId="1EA6A35D" w14:textId="77777777" w:rsidR="00120940" w:rsidRPr="007F2045" w:rsidRDefault="00120940" w:rsidP="001B5728">
      <w:pPr>
        <w:pStyle w:val="Prrafodelista"/>
        <w:tabs>
          <w:tab w:val="left" w:pos="284"/>
          <w:tab w:val="left" w:pos="426"/>
        </w:tabs>
        <w:spacing w:after="0" w:line="240" w:lineRule="auto"/>
        <w:ind w:left="0"/>
        <w:rPr>
          <w:rFonts w:ascii="Times New Roman" w:hAnsi="Times New Roman"/>
          <w:sz w:val="28"/>
          <w:szCs w:val="28"/>
          <w:lang w:val="es-CO"/>
        </w:rPr>
      </w:pPr>
    </w:p>
    <w:p w14:paraId="79D5F216" w14:textId="77777777" w:rsidR="00120940" w:rsidRPr="007F2045" w:rsidRDefault="00120940"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lastRenderedPageBreak/>
        <w:t xml:space="preserve">De conformidad con esta modificación del precedente constitucional, y “con fundamento en el principio de </w:t>
      </w:r>
      <w:proofErr w:type="spellStart"/>
      <w:r w:rsidRPr="007F2045">
        <w:rPr>
          <w:rFonts w:ascii="Times New Roman" w:hAnsi="Times New Roman"/>
          <w:sz w:val="28"/>
          <w:szCs w:val="28"/>
          <w:lang w:val="es-CO"/>
        </w:rPr>
        <w:t>autorrestricción</w:t>
      </w:r>
      <w:proofErr w:type="spellEnd"/>
      <w:r w:rsidRPr="007F2045">
        <w:rPr>
          <w:rFonts w:ascii="Times New Roman" w:hAnsi="Times New Roman"/>
          <w:sz w:val="28"/>
          <w:szCs w:val="28"/>
          <w:lang w:val="es-CO"/>
        </w:rPr>
        <w:t xml:space="preserve"> judicial y en el principio democrático”, el ejercicio de la atribución de decretar una medida</w:t>
      </w:r>
      <w:r w:rsidRPr="007F2045">
        <w:rPr>
          <w:rFonts w:ascii="Times New Roman" w:hAnsi="Times New Roman"/>
          <w:b/>
          <w:bCs/>
          <w:sz w:val="28"/>
          <w:szCs w:val="28"/>
          <w:lang w:val="es-CO"/>
        </w:rPr>
        <w:t xml:space="preserve"> </w:t>
      </w:r>
      <w:r w:rsidRPr="007F2045">
        <w:rPr>
          <w:rFonts w:ascii="Times New Roman" w:hAnsi="Times New Roman"/>
          <w:sz w:val="28"/>
          <w:szCs w:val="28"/>
          <w:lang w:val="es-CO"/>
        </w:rPr>
        <w:t xml:space="preserve">orientada a impedir la producción de efectos de las normas objeto de control está sujeta a los siguientes </w:t>
      </w:r>
      <w:r w:rsidRPr="007F2045">
        <w:rPr>
          <w:rFonts w:ascii="Times New Roman" w:hAnsi="Times New Roman"/>
          <w:bCs/>
          <w:sz w:val="28"/>
          <w:szCs w:val="28"/>
          <w:lang w:val="es-CO"/>
        </w:rPr>
        <w:t>requisitos estrictos</w:t>
      </w:r>
      <w:r w:rsidRPr="007F2045">
        <w:rPr>
          <w:rFonts w:ascii="Times New Roman" w:hAnsi="Times New Roman"/>
          <w:sz w:val="28"/>
          <w:szCs w:val="28"/>
          <w:lang w:val="es-CO"/>
        </w:rPr>
        <w:t xml:space="preserve">: </w:t>
      </w:r>
      <w:r w:rsidRPr="007F2045">
        <w:rPr>
          <w:rFonts w:ascii="Times New Roman" w:hAnsi="Times New Roman"/>
          <w:i/>
          <w:iCs/>
          <w:sz w:val="28"/>
          <w:szCs w:val="28"/>
          <w:lang w:val="es-CO"/>
        </w:rPr>
        <w:t>(i)</w:t>
      </w:r>
      <w:r w:rsidRPr="007F2045">
        <w:rPr>
          <w:rFonts w:ascii="Times New Roman" w:hAnsi="Times New Roman"/>
          <w:sz w:val="28"/>
          <w:szCs w:val="28"/>
          <w:lang w:val="es-CO"/>
        </w:rPr>
        <w:t xml:space="preserve"> debe ser excepcional; </w:t>
      </w:r>
      <w:r w:rsidRPr="007F2045">
        <w:rPr>
          <w:rFonts w:ascii="Times New Roman" w:hAnsi="Times New Roman"/>
          <w:i/>
          <w:iCs/>
          <w:sz w:val="28"/>
          <w:szCs w:val="28"/>
          <w:lang w:val="es-CO"/>
        </w:rPr>
        <w:t>(</w:t>
      </w:r>
      <w:proofErr w:type="spellStart"/>
      <w:r w:rsidRPr="007F2045">
        <w:rPr>
          <w:rFonts w:ascii="Times New Roman" w:hAnsi="Times New Roman"/>
          <w:i/>
          <w:iCs/>
          <w:sz w:val="28"/>
          <w:szCs w:val="28"/>
          <w:lang w:val="es-CO"/>
        </w:rPr>
        <w:t>ii</w:t>
      </w:r>
      <w:proofErr w:type="spellEnd"/>
      <w:r w:rsidRPr="007F2045">
        <w:rPr>
          <w:rFonts w:ascii="Times New Roman" w:hAnsi="Times New Roman"/>
          <w:i/>
          <w:iCs/>
          <w:sz w:val="28"/>
          <w:szCs w:val="28"/>
          <w:lang w:val="es-CO"/>
        </w:rPr>
        <w:t xml:space="preserve">) </w:t>
      </w:r>
      <w:r w:rsidRPr="007F2045">
        <w:rPr>
          <w:rFonts w:ascii="Times New Roman" w:hAnsi="Times New Roman"/>
          <w:sz w:val="28"/>
          <w:szCs w:val="28"/>
          <w:lang w:val="es-CO"/>
        </w:rPr>
        <w:t xml:space="preserve">procede única y exclusivamente respecto de disposiciones </w:t>
      </w:r>
      <w:r w:rsidRPr="007F2045">
        <w:rPr>
          <w:rFonts w:ascii="Times New Roman" w:hAnsi="Times New Roman"/>
          <w:i/>
          <w:iCs/>
          <w:sz w:val="28"/>
          <w:szCs w:val="28"/>
          <w:lang w:val="es-CO"/>
        </w:rPr>
        <w:t>prima facie</w:t>
      </w:r>
      <w:r w:rsidRPr="007F2045">
        <w:rPr>
          <w:rFonts w:ascii="Times New Roman" w:hAnsi="Times New Roman"/>
          <w:sz w:val="28"/>
          <w:szCs w:val="28"/>
          <w:lang w:val="es-CO"/>
        </w:rPr>
        <w:t xml:space="preserve">, abierta o manifiestamente inconstitucionales; </w:t>
      </w:r>
      <w:r w:rsidRPr="007F2045">
        <w:rPr>
          <w:rFonts w:ascii="Times New Roman" w:hAnsi="Times New Roman"/>
          <w:i/>
          <w:iCs/>
          <w:sz w:val="28"/>
          <w:szCs w:val="28"/>
          <w:lang w:val="es-CO"/>
        </w:rPr>
        <w:t>(</w:t>
      </w:r>
      <w:proofErr w:type="spellStart"/>
      <w:r w:rsidRPr="007F2045">
        <w:rPr>
          <w:rFonts w:ascii="Times New Roman" w:hAnsi="Times New Roman"/>
          <w:i/>
          <w:iCs/>
          <w:sz w:val="28"/>
          <w:szCs w:val="28"/>
          <w:lang w:val="es-CO"/>
        </w:rPr>
        <w:t>iii</w:t>
      </w:r>
      <w:proofErr w:type="spellEnd"/>
      <w:r w:rsidRPr="007F2045">
        <w:rPr>
          <w:rFonts w:ascii="Times New Roman" w:hAnsi="Times New Roman"/>
          <w:i/>
          <w:iCs/>
          <w:sz w:val="28"/>
          <w:szCs w:val="28"/>
          <w:lang w:val="es-CO"/>
        </w:rPr>
        <w:t>)</w:t>
      </w:r>
      <w:r w:rsidRPr="007F2045">
        <w:rPr>
          <w:rFonts w:ascii="Times New Roman" w:hAnsi="Times New Roman"/>
          <w:sz w:val="28"/>
          <w:szCs w:val="28"/>
          <w:lang w:val="es-CO"/>
        </w:rPr>
        <w:t xml:space="preserve"> siempre y cuando puedan producir un efecto irremediable o su adopción dé lugar a una elusión del control constitucional; </w:t>
      </w:r>
      <w:r w:rsidRPr="007F2045">
        <w:rPr>
          <w:rFonts w:ascii="Times New Roman" w:hAnsi="Times New Roman"/>
          <w:i/>
          <w:iCs/>
          <w:sz w:val="28"/>
          <w:szCs w:val="28"/>
          <w:lang w:val="es-CO"/>
        </w:rPr>
        <w:t>(</w:t>
      </w:r>
      <w:proofErr w:type="spellStart"/>
      <w:r w:rsidRPr="007F2045">
        <w:rPr>
          <w:rFonts w:ascii="Times New Roman" w:hAnsi="Times New Roman"/>
          <w:i/>
          <w:iCs/>
          <w:sz w:val="28"/>
          <w:szCs w:val="28"/>
          <w:lang w:val="es-CO"/>
        </w:rPr>
        <w:t>iv</w:t>
      </w:r>
      <w:proofErr w:type="spellEnd"/>
      <w:r w:rsidRPr="007F2045">
        <w:rPr>
          <w:rFonts w:ascii="Times New Roman" w:hAnsi="Times New Roman"/>
          <w:i/>
          <w:iCs/>
          <w:sz w:val="28"/>
          <w:szCs w:val="28"/>
          <w:lang w:val="es-CO"/>
        </w:rPr>
        <w:t>)</w:t>
      </w:r>
      <w:r w:rsidRPr="007F2045">
        <w:rPr>
          <w:rFonts w:ascii="Times New Roman" w:hAnsi="Times New Roman"/>
          <w:sz w:val="28"/>
          <w:szCs w:val="28"/>
          <w:lang w:val="es-CO"/>
        </w:rPr>
        <w:t xml:space="preserve"> las razones para la suspensión, además, deben superar un juicio estricto de proporcionalidad</w:t>
      </w:r>
      <w:r w:rsidR="00CD37CE" w:rsidRPr="007F2045">
        <w:rPr>
          <w:rFonts w:ascii="Times New Roman" w:hAnsi="Times New Roman"/>
          <w:sz w:val="28"/>
          <w:szCs w:val="28"/>
          <w:lang w:val="es-CO"/>
        </w:rPr>
        <w:t>;</w:t>
      </w:r>
      <w:r w:rsidRPr="007F2045">
        <w:rPr>
          <w:rFonts w:ascii="Times New Roman" w:hAnsi="Times New Roman"/>
          <w:sz w:val="28"/>
          <w:szCs w:val="28"/>
          <w:lang w:val="es-CO"/>
        </w:rPr>
        <w:t xml:space="preserve"> y </w:t>
      </w:r>
      <w:r w:rsidRPr="007F2045">
        <w:rPr>
          <w:rFonts w:ascii="Times New Roman" w:hAnsi="Times New Roman"/>
          <w:i/>
          <w:iCs/>
          <w:sz w:val="28"/>
          <w:szCs w:val="28"/>
          <w:lang w:val="es-CO"/>
        </w:rPr>
        <w:t>(v)</w:t>
      </w:r>
      <w:r w:rsidRPr="007F2045">
        <w:rPr>
          <w:rFonts w:ascii="Times New Roman" w:hAnsi="Times New Roman"/>
          <w:sz w:val="28"/>
          <w:szCs w:val="28"/>
          <w:lang w:val="es-CO"/>
        </w:rPr>
        <w:t xml:space="preserve"> procede únicamente a solicitud de alguna de las magistradas o magistrados de la Corte y debe contar con el voto favorable de la mayoría estatutaria para adoptar una decisión de fondo</w:t>
      </w:r>
      <w:r w:rsidR="00865163" w:rsidRPr="007F2045">
        <w:rPr>
          <w:rFonts w:ascii="Times New Roman" w:hAnsi="Times New Roman"/>
          <w:sz w:val="28"/>
          <w:szCs w:val="28"/>
          <w:lang w:val="es-CO"/>
        </w:rPr>
        <w:t>.</w:t>
      </w:r>
    </w:p>
    <w:p w14:paraId="1FB524E3" w14:textId="77777777" w:rsidR="00123A81" w:rsidRPr="007F2045" w:rsidRDefault="00123A81" w:rsidP="001B5728">
      <w:pPr>
        <w:pStyle w:val="Prrafodelista"/>
        <w:spacing w:after="0" w:line="240" w:lineRule="auto"/>
        <w:rPr>
          <w:rFonts w:ascii="Times New Roman" w:hAnsi="Times New Roman"/>
          <w:b/>
          <w:sz w:val="28"/>
          <w:szCs w:val="28"/>
          <w:lang w:val="es-CO"/>
        </w:rPr>
      </w:pPr>
    </w:p>
    <w:p w14:paraId="0354EBB7" w14:textId="77777777" w:rsidR="00120940" w:rsidRPr="007F2045" w:rsidRDefault="00DD28E3"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En el presente caso, l</w:t>
      </w:r>
      <w:r w:rsidR="00120940" w:rsidRPr="007F2045">
        <w:rPr>
          <w:rFonts w:ascii="Times New Roman" w:hAnsi="Times New Roman"/>
          <w:sz w:val="28"/>
          <w:szCs w:val="28"/>
          <w:lang w:val="es-CO"/>
        </w:rPr>
        <w:t>a medida de suspensión provisional del Decreto 1390 de 2025</w:t>
      </w:r>
      <w:r w:rsidR="00120940" w:rsidRPr="007F2045">
        <w:rPr>
          <w:rFonts w:ascii="Times New Roman" w:hAnsi="Times New Roman"/>
          <w:sz w:val="28"/>
          <w:szCs w:val="28"/>
          <w:shd w:val="clear" w:color="auto" w:fill="FFFFFF"/>
          <w:lang w:val="es-CO"/>
        </w:rPr>
        <w:t xml:space="preserve"> </w:t>
      </w:r>
      <w:r w:rsidR="00120940" w:rsidRPr="007F2045">
        <w:rPr>
          <w:rFonts w:ascii="Times New Roman" w:hAnsi="Times New Roman"/>
          <w:sz w:val="28"/>
          <w:szCs w:val="28"/>
          <w:lang w:val="es-CO"/>
        </w:rPr>
        <w:t xml:space="preserve">fue solicitada por el magistrado Carlos Camargo </w:t>
      </w:r>
      <w:proofErr w:type="spellStart"/>
      <w:r w:rsidR="00120940" w:rsidRPr="007F2045">
        <w:rPr>
          <w:rFonts w:ascii="Times New Roman" w:hAnsi="Times New Roman"/>
          <w:sz w:val="28"/>
          <w:szCs w:val="28"/>
          <w:lang w:val="es-CO"/>
        </w:rPr>
        <w:t>Assis</w:t>
      </w:r>
      <w:proofErr w:type="spellEnd"/>
      <w:r w:rsidR="00120940" w:rsidRPr="007F2045">
        <w:rPr>
          <w:rFonts w:ascii="Times New Roman" w:hAnsi="Times New Roman"/>
          <w:sz w:val="28"/>
          <w:szCs w:val="28"/>
          <w:lang w:val="es-CO"/>
        </w:rPr>
        <w:t>, en su condición de magistrado ponente en el expediente de la referencia</w:t>
      </w:r>
      <w:r w:rsidR="003A5D02" w:rsidRPr="007F2045">
        <w:rPr>
          <w:rFonts w:ascii="Times New Roman" w:hAnsi="Times New Roman"/>
          <w:sz w:val="28"/>
          <w:szCs w:val="28"/>
          <w:lang w:val="es-CO"/>
        </w:rPr>
        <w:t xml:space="preserve"> y decidida por la Sala plena, cumpliéndose así la condición fijada en ese sentido en el auto 272 de 2023</w:t>
      </w:r>
      <w:r w:rsidR="003A5D02" w:rsidRPr="007F2045">
        <w:rPr>
          <w:rFonts w:ascii="Times New Roman" w:hAnsi="Times New Roman"/>
          <w:szCs w:val="28"/>
          <w:vertAlign w:val="superscript"/>
          <w:lang w:val="es-CO"/>
        </w:rPr>
        <w:footnoteReference w:id="62"/>
      </w:r>
      <w:r w:rsidR="003A5D02" w:rsidRPr="007F2045">
        <w:rPr>
          <w:rFonts w:ascii="Times New Roman" w:hAnsi="Times New Roman"/>
          <w:sz w:val="28"/>
          <w:szCs w:val="28"/>
          <w:lang w:val="es-CO"/>
        </w:rPr>
        <w:t xml:space="preserve">.  </w:t>
      </w:r>
      <w:r w:rsidR="00120940" w:rsidRPr="007F2045">
        <w:rPr>
          <w:rFonts w:ascii="Times New Roman" w:hAnsi="Times New Roman"/>
          <w:sz w:val="28"/>
          <w:szCs w:val="28"/>
          <w:lang w:val="es-CO"/>
        </w:rPr>
        <w:t>A continuación, se evalúa</w:t>
      </w:r>
      <w:r w:rsidR="003A5D02" w:rsidRPr="007F2045">
        <w:rPr>
          <w:rFonts w:ascii="Times New Roman" w:hAnsi="Times New Roman"/>
          <w:sz w:val="28"/>
          <w:szCs w:val="28"/>
          <w:lang w:val="es-CO"/>
        </w:rPr>
        <w:t xml:space="preserve">n las otras condiciones previstas en </w:t>
      </w:r>
      <w:r w:rsidR="00E3482D" w:rsidRPr="007F2045">
        <w:rPr>
          <w:rFonts w:ascii="Times New Roman" w:hAnsi="Times New Roman"/>
          <w:sz w:val="28"/>
          <w:szCs w:val="28"/>
          <w:lang w:val="es-CO"/>
        </w:rPr>
        <w:t>esta providencia</w:t>
      </w:r>
      <w:r w:rsidR="00120940" w:rsidRPr="007F2045">
        <w:rPr>
          <w:rFonts w:ascii="Times New Roman" w:hAnsi="Times New Roman"/>
          <w:sz w:val="28"/>
          <w:szCs w:val="28"/>
          <w:lang w:val="es-CO"/>
        </w:rPr>
        <w:t>, para lo cual, de manera preliminar, en cada apartado se caracteriza</w:t>
      </w:r>
      <w:r w:rsidR="00767119" w:rsidRPr="007F2045">
        <w:rPr>
          <w:rFonts w:ascii="Times New Roman" w:hAnsi="Times New Roman"/>
          <w:sz w:val="28"/>
          <w:szCs w:val="28"/>
          <w:lang w:val="es-CO"/>
        </w:rPr>
        <w:t>rá</w:t>
      </w:r>
      <w:r w:rsidR="00120940" w:rsidRPr="007F2045">
        <w:rPr>
          <w:rFonts w:ascii="Times New Roman" w:hAnsi="Times New Roman"/>
          <w:sz w:val="28"/>
          <w:szCs w:val="28"/>
          <w:lang w:val="es-CO"/>
        </w:rPr>
        <w:t xml:space="preserve"> su alcance, teniendo en cuenta las especiales particularidades del decreto que declara un estado de emergencia económica, social o ecológica</w:t>
      </w:r>
      <w:r w:rsidR="003A5D02" w:rsidRPr="007F2045">
        <w:rPr>
          <w:rFonts w:ascii="Times New Roman" w:hAnsi="Times New Roman"/>
          <w:szCs w:val="28"/>
          <w:vertAlign w:val="superscript"/>
          <w:lang w:val="es-CO"/>
        </w:rPr>
        <w:footnoteReference w:id="63"/>
      </w:r>
      <w:r w:rsidR="00120940" w:rsidRPr="007F2045">
        <w:rPr>
          <w:rFonts w:ascii="Times New Roman" w:hAnsi="Times New Roman"/>
          <w:sz w:val="28"/>
          <w:szCs w:val="28"/>
          <w:lang w:val="es-CO"/>
        </w:rPr>
        <w:t xml:space="preserve">.   </w:t>
      </w:r>
    </w:p>
    <w:p w14:paraId="6BE37763" w14:textId="77777777" w:rsidR="00120940" w:rsidRPr="007F2045" w:rsidRDefault="00120940" w:rsidP="001B5728">
      <w:pPr>
        <w:pStyle w:val="Prrafodelista"/>
        <w:tabs>
          <w:tab w:val="left" w:pos="284"/>
          <w:tab w:val="left" w:pos="426"/>
        </w:tabs>
        <w:spacing w:after="0" w:line="240" w:lineRule="auto"/>
        <w:ind w:left="0"/>
        <w:rPr>
          <w:rFonts w:ascii="Times New Roman" w:hAnsi="Times New Roman"/>
          <w:sz w:val="28"/>
          <w:szCs w:val="28"/>
          <w:lang w:val="es-CO"/>
        </w:rPr>
      </w:pPr>
    </w:p>
    <w:p w14:paraId="1067FBBE" w14:textId="77777777" w:rsidR="00120940" w:rsidRPr="007F2045" w:rsidRDefault="00610F86" w:rsidP="001B5728">
      <w:pPr>
        <w:pStyle w:val="Ttulo2"/>
        <w:numPr>
          <w:ilvl w:val="0"/>
          <w:numId w:val="0"/>
        </w:numPr>
        <w:tabs>
          <w:tab w:val="left" w:pos="1276"/>
        </w:tabs>
        <w:ind w:left="1276" w:hanging="567"/>
        <w:rPr>
          <w:lang w:val="es-CO"/>
        </w:rPr>
      </w:pPr>
      <w:r w:rsidRPr="007F2045">
        <w:rPr>
          <w:lang w:val="es-CO"/>
        </w:rPr>
        <w:t xml:space="preserve">5.1. </w:t>
      </w:r>
      <w:r w:rsidR="00120940" w:rsidRPr="007F2045">
        <w:rPr>
          <w:lang w:val="es-CO"/>
        </w:rPr>
        <w:t xml:space="preserve">El Decreto 1390 de 2025 es </w:t>
      </w:r>
      <w:r w:rsidR="00120940" w:rsidRPr="007F2045">
        <w:rPr>
          <w:i/>
          <w:iCs/>
          <w:lang w:val="es-CO"/>
        </w:rPr>
        <w:t>prima facie</w:t>
      </w:r>
      <w:r w:rsidR="00120940" w:rsidRPr="007F2045">
        <w:rPr>
          <w:lang w:val="es-CO"/>
        </w:rPr>
        <w:t xml:space="preserve">, abierta o manifiestamente inconstitucional </w:t>
      </w:r>
    </w:p>
    <w:p w14:paraId="00316C4A" w14:textId="77777777" w:rsidR="000E1F51" w:rsidRPr="007F2045" w:rsidRDefault="000E1F51" w:rsidP="001B5728">
      <w:pPr>
        <w:pStyle w:val="Prrafodelista"/>
        <w:tabs>
          <w:tab w:val="left" w:pos="284"/>
          <w:tab w:val="left" w:pos="426"/>
        </w:tabs>
        <w:spacing w:after="0" w:line="240" w:lineRule="auto"/>
        <w:ind w:left="0"/>
        <w:rPr>
          <w:rFonts w:ascii="Times New Roman" w:hAnsi="Times New Roman"/>
          <w:sz w:val="28"/>
          <w:szCs w:val="28"/>
          <w:lang w:val="es-CO"/>
        </w:rPr>
      </w:pPr>
    </w:p>
    <w:p w14:paraId="0313F235" w14:textId="77777777" w:rsidR="00F519D2" w:rsidRPr="007F2045" w:rsidRDefault="00F519D2"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En </w:t>
      </w:r>
      <w:r w:rsidR="002D19A9" w:rsidRPr="007F2045">
        <w:rPr>
          <w:rFonts w:ascii="Times New Roman" w:hAnsi="Times New Roman"/>
          <w:sz w:val="28"/>
          <w:szCs w:val="28"/>
          <w:lang w:val="es-CO"/>
        </w:rPr>
        <w:t xml:space="preserve">este apartado la Corte </w:t>
      </w:r>
      <w:r w:rsidR="001E6131" w:rsidRPr="007F2045">
        <w:rPr>
          <w:rFonts w:ascii="Times New Roman" w:hAnsi="Times New Roman"/>
          <w:sz w:val="28"/>
          <w:szCs w:val="28"/>
          <w:lang w:val="es-CO"/>
        </w:rPr>
        <w:t xml:space="preserve">expondrá en qué consisten los parámetros </w:t>
      </w:r>
      <w:r w:rsidR="000F6B82" w:rsidRPr="007F2045">
        <w:rPr>
          <w:rFonts w:ascii="Times New Roman" w:hAnsi="Times New Roman"/>
          <w:sz w:val="28"/>
          <w:szCs w:val="28"/>
          <w:lang w:val="es-CO"/>
        </w:rPr>
        <w:t xml:space="preserve">fijados por el auto 272 de 2023 para evaluar si una norma es, </w:t>
      </w:r>
      <w:r w:rsidR="000F6B82" w:rsidRPr="007F2045">
        <w:rPr>
          <w:rFonts w:ascii="Times New Roman" w:hAnsi="Times New Roman"/>
          <w:i/>
          <w:iCs/>
          <w:sz w:val="28"/>
          <w:szCs w:val="28"/>
          <w:lang w:val="es-CO"/>
        </w:rPr>
        <w:t>prima facie</w:t>
      </w:r>
      <w:r w:rsidR="000F6B82" w:rsidRPr="007F2045">
        <w:rPr>
          <w:rFonts w:ascii="Times New Roman" w:hAnsi="Times New Roman"/>
          <w:sz w:val="28"/>
          <w:szCs w:val="28"/>
          <w:lang w:val="es-CO"/>
        </w:rPr>
        <w:t xml:space="preserve">, </w:t>
      </w:r>
      <w:r w:rsidR="00DC6A07" w:rsidRPr="007F2045">
        <w:rPr>
          <w:rFonts w:ascii="Times New Roman" w:hAnsi="Times New Roman"/>
          <w:sz w:val="28"/>
          <w:szCs w:val="28"/>
          <w:lang w:val="es-CO"/>
        </w:rPr>
        <w:t xml:space="preserve">abierta o </w:t>
      </w:r>
      <w:r w:rsidR="000F6B82" w:rsidRPr="007F2045">
        <w:rPr>
          <w:rFonts w:ascii="Times New Roman" w:hAnsi="Times New Roman"/>
          <w:sz w:val="28"/>
          <w:szCs w:val="28"/>
          <w:lang w:val="es-CO"/>
        </w:rPr>
        <w:t>manifiestamente inconstitucional</w:t>
      </w:r>
      <w:r w:rsidR="00BE2E9E" w:rsidRPr="007F2045">
        <w:rPr>
          <w:rFonts w:ascii="Times New Roman" w:hAnsi="Times New Roman"/>
          <w:sz w:val="28"/>
          <w:szCs w:val="28"/>
          <w:lang w:val="es-CO"/>
        </w:rPr>
        <w:t xml:space="preserve">. A partir de esa descripción, la Corporación evaluará </w:t>
      </w:r>
      <w:r w:rsidR="00B26476" w:rsidRPr="007F2045">
        <w:rPr>
          <w:rFonts w:ascii="Times New Roman" w:hAnsi="Times New Roman"/>
          <w:sz w:val="28"/>
          <w:szCs w:val="28"/>
          <w:lang w:val="es-CO"/>
        </w:rPr>
        <w:t>si</w:t>
      </w:r>
      <w:r w:rsidR="00671AD7" w:rsidRPr="007F2045">
        <w:rPr>
          <w:rFonts w:ascii="Times New Roman" w:hAnsi="Times New Roman"/>
          <w:sz w:val="28"/>
          <w:szCs w:val="28"/>
          <w:lang w:val="es-CO"/>
        </w:rPr>
        <w:t xml:space="preserve"> </w:t>
      </w:r>
      <w:r w:rsidR="00DC6A07" w:rsidRPr="007F2045">
        <w:rPr>
          <w:rFonts w:ascii="Times New Roman" w:hAnsi="Times New Roman"/>
          <w:sz w:val="28"/>
          <w:szCs w:val="28"/>
          <w:lang w:val="es-CO"/>
        </w:rPr>
        <w:t>el Decreto 1390 de 2025 se encuentra o no en esa condición.</w:t>
      </w:r>
      <w:r w:rsidR="00CF3878" w:rsidRPr="007F2045">
        <w:rPr>
          <w:rFonts w:ascii="Times New Roman" w:hAnsi="Times New Roman"/>
          <w:sz w:val="28"/>
          <w:szCs w:val="28"/>
          <w:lang w:val="es-CO"/>
        </w:rPr>
        <w:t xml:space="preserve"> </w:t>
      </w:r>
    </w:p>
    <w:p w14:paraId="2F3F8BE3" w14:textId="77777777" w:rsidR="00F519D2" w:rsidRPr="007F2045" w:rsidRDefault="00F519D2" w:rsidP="001B5728">
      <w:pPr>
        <w:pStyle w:val="Prrafodelista"/>
        <w:tabs>
          <w:tab w:val="left" w:pos="284"/>
          <w:tab w:val="left" w:pos="426"/>
        </w:tabs>
        <w:spacing w:after="0" w:line="240" w:lineRule="auto"/>
        <w:ind w:left="0"/>
        <w:rPr>
          <w:rFonts w:ascii="Times New Roman" w:hAnsi="Times New Roman"/>
          <w:sz w:val="28"/>
          <w:szCs w:val="28"/>
          <w:lang w:val="es-CO"/>
        </w:rPr>
      </w:pPr>
    </w:p>
    <w:p w14:paraId="33E640E5" w14:textId="77777777" w:rsidR="000E1F51" w:rsidRPr="007F2045" w:rsidRDefault="000E1F51" w:rsidP="001B5728">
      <w:pPr>
        <w:pStyle w:val="Ttulo2"/>
        <w:numPr>
          <w:ilvl w:val="0"/>
          <w:numId w:val="8"/>
        </w:numPr>
        <w:ind w:left="1134" w:hanging="425"/>
        <w:rPr>
          <w:lang w:val="es-CO"/>
        </w:rPr>
      </w:pPr>
      <w:r w:rsidRPr="007F2045">
        <w:rPr>
          <w:lang w:val="es-CO"/>
        </w:rPr>
        <w:t xml:space="preserve">Criterios de evaluación del carácter </w:t>
      </w:r>
      <w:r w:rsidRPr="007F2045">
        <w:rPr>
          <w:i/>
          <w:lang w:val="es-CO"/>
        </w:rPr>
        <w:t>prima facie</w:t>
      </w:r>
      <w:r w:rsidRPr="007F2045">
        <w:rPr>
          <w:lang w:val="es-CO"/>
        </w:rPr>
        <w:t>, abierta o manifiestamente inconstitucional del decreto que declara un estado de emergencia económica, social o ecológica</w:t>
      </w:r>
    </w:p>
    <w:p w14:paraId="2354690C" w14:textId="77777777" w:rsidR="000E1F51" w:rsidRPr="007F2045" w:rsidRDefault="000E1F51" w:rsidP="001B5728">
      <w:pPr>
        <w:pStyle w:val="Prrafodelista"/>
        <w:tabs>
          <w:tab w:val="left" w:pos="284"/>
          <w:tab w:val="left" w:pos="426"/>
        </w:tabs>
        <w:spacing w:after="0" w:line="240" w:lineRule="auto"/>
        <w:ind w:left="0"/>
        <w:rPr>
          <w:rFonts w:ascii="Times New Roman" w:hAnsi="Times New Roman"/>
          <w:sz w:val="28"/>
          <w:szCs w:val="28"/>
          <w:lang w:val="es-CO"/>
        </w:rPr>
      </w:pPr>
    </w:p>
    <w:p w14:paraId="784EB701"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Según el auto 272 de 2023</w:t>
      </w:r>
      <w:r w:rsidR="00557077" w:rsidRPr="007F2045">
        <w:rPr>
          <w:rFonts w:ascii="Times New Roman" w:hAnsi="Times New Roman"/>
          <w:sz w:val="28"/>
          <w:szCs w:val="28"/>
          <w:lang w:val="es-CO"/>
        </w:rPr>
        <w:t>,</w:t>
      </w:r>
      <w:r w:rsidRPr="007F2045">
        <w:rPr>
          <w:rFonts w:ascii="Times New Roman" w:hAnsi="Times New Roman"/>
          <w:sz w:val="28"/>
          <w:szCs w:val="28"/>
          <w:lang w:val="es-CO"/>
        </w:rPr>
        <w:t xml:space="preserve"> la suspensión provisional de los efectos exige “[a]</w:t>
      </w:r>
      <w:proofErr w:type="spellStart"/>
      <w:r w:rsidRPr="007F2045">
        <w:rPr>
          <w:rFonts w:ascii="Times New Roman" w:hAnsi="Times New Roman"/>
          <w:sz w:val="28"/>
          <w:szCs w:val="28"/>
          <w:lang w:val="es-CO"/>
        </w:rPr>
        <w:t>creditar</w:t>
      </w:r>
      <w:proofErr w:type="spellEnd"/>
      <w:r w:rsidRPr="007F2045">
        <w:rPr>
          <w:rFonts w:ascii="Times New Roman" w:hAnsi="Times New Roman"/>
          <w:sz w:val="28"/>
          <w:szCs w:val="28"/>
          <w:lang w:val="es-CO"/>
        </w:rPr>
        <w:t xml:space="preserve"> que las disposiciones son -</w:t>
      </w:r>
      <w:r w:rsidRPr="007F2045">
        <w:rPr>
          <w:rFonts w:ascii="Times New Roman" w:hAnsi="Times New Roman"/>
          <w:i/>
          <w:iCs/>
          <w:sz w:val="28"/>
          <w:szCs w:val="28"/>
          <w:lang w:val="es-CO"/>
        </w:rPr>
        <w:t>prima facie</w:t>
      </w:r>
      <w:r w:rsidRPr="007F2045">
        <w:rPr>
          <w:rFonts w:ascii="Times New Roman" w:hAnsi="Times New Roman"/>
          <w:sz w:val="28"/>
          <w:szCs w:val="28"/>
          <w:lang w:val="es-CO"/>
        </w:rPr>
        <w:t xml:space="preserve">- abierta o manifiestamente inconstitucionales”. De acuerdo </w:t>
      </w:r>
      <w:r w:rsidR="008C1294" w:rsidRPr="007F2045">
        <w:rPr>
          <w:rFonts w:ascii="Times New Roman" w:hAnsi="Times New Roman"/>
          <w:sz w:val="28"/>
          <w:szCs w:val="28"/>
          <w:lang w:val="es-CO"/>
        </w:rPr>
        <w:t>con esa providencia la afectación de la Carta debe</w:t>
      </w:r>
      <w:r w:rsidR="00E03199" w:rsidRPr="007F2045">
        <w:rPr>
          <w:rFonts w:ascii="Times New Roman" w:hAnsi="Times New Roman"/>
          <w:sz w:val="28"/>
          <w:szCs w:val="28"/>
          <w:lang w:val="es-CO"/>
        </w:rPr>
        <w:t xml:space="preserve"> asociarse a</w:t>
      </w:r>
      <w:r w:rsidR="008C1294" w:rsidRPr="007F2045">
        <w:rPr>
          <w:rFonts w:ascii="Times New Roman" w:hAnsi="Times New Roman"/>
          <w:sz w:val="28"/>
          <w:szCs w:val="28"/>
          <w:lang w:val="es-CO"/>
        </w:rPr>
        <w:t xml:space="preserve"> </w:t>
      </w:r>
      <w:r w:rsidRPr="007F2045">
        <w:rPr>
          <w:rFonts w:ascii="Times New Roman" w:hAnsi="Times New Roman"/>
          <w:i/>
          <w:iCs/>
          <w:sz w:val="28"/>
          <w:szCs w:val="28"/>
          <w:lang w:val="es-CO"/>
        </w:rPr>
        <w:t>(i)</w:t>
      </w:r>
      <w:r w:rsidRPr="007F2045">
        <w:rPr>
          <w:rFonts w:ascii="Times New Roman" w:hAnsi="Times New Roman"/>
          <w:sz w:val="28"/>
          <w:szCs w:val="28"/>
          <w:lang w:val="es-CO"/>
        </w:rPr>
        <w:t xml:space="preserve"> la vulneración de derechos fundamentales, </w:t>
      </w:r>
      <w:r w:rsidRPr="007F2045">
        <w:rPr>
          <w:rFonts w:ascii="Times New Roman" w:hAnsi="Times New Roman"/>
          <w:i/>
          <w:iCs/>
          <w:sz w:val="28"/>
          <w:szCs w:val="28"/>
          <w:lang w:val="es-CO"/>
        </w:rPr>
        <w:t>(</w:t>
      </w:r>
      <w:proofErr w:type="spellStart"/>
      <w:r w:rsidRPr="007F2045">
        <w:rPr>
          <w:rFonts w:ascii="Times New Roman" w:hAnsi="Times New Roman"/>
          <w:i/>
          <w:iCs/>
          <w:sz w:val="28"/>
          <w:szCs w:val="28"/>
          <w:lang w:val="es-CO"/>
        </w:rPr>
        <w:t>ii</w:t>
      </w:r>
      <w:proofErr w:type="spellEnd"/>
      <w:r w:rsidRPr="007F2045">
        <w:rPr>
          <w:rFonts w:ascii="Times New Roman" w:hAnsi="Times New Roman"/>
          <w:i/>
          <w:iCs/>
          <w:sz w:val="28"/>
          <w:szCs w:val="28"/>
          <w:lang w:val="es-CO"/>
        </w:rPr>
        <w:t>)</w:t>
      </w:r>
      <w:r w:rsidRPr="007F2045">
        <w:rPr>
          <w:rFonts w:ascii="Times New Roman" w:hAnsi="Times New Roman"/>
          <w:sz w:val="28"/>
          <w:szCs w:val="28"/>
          <w:lang w:val="es-CO"/>
        </w:rPr>
        <w:t xml:space="preserve"> la violación de claros mandatos constitucionales, o </w:t>
      </w:r>
      <w:r w:rsidRPr="007F2045">
        <w:rPr>
          <w:rFonts w:ascii="Times New Roman" w:hAnsi="Times New Roman"/>
          <w:i/>
          <w:iCs/>
          <w:sz w:val="28"/>
          <w:szCs w:val="28"/>
          <w:lang w:val="es-CO"/>
        </w:rPr>
        <w:t>(</w:t>
      </w:r>
      <w:proofErr w:type="spellStart"/>
      <w:r w:rsidRPr="007F2045">
        <w:rPr>
          <w:rFonts w:ascii="Times New Roman" w:hAnsi="Times New Roman"/>
          <w:i/>
          <w:iCs/>
          <w:sz w:val="28"/>
          <w:szCs w:val="28"/>
          <w:lang w:val="es-CO"/>
        </w:rPr>
        <w:t>iii</w:t>
      </w:r>
      <w:proofErr w:type="spellEnd"/>
      <w:r w:rsidRPr="007F2045">
        <w:rPr>
          <w:rFonts w:ascii="Times New Roman" w:hAnsi="Times New Roman"/>
          <w:i/>
          <w:iCs/>
          <w:sz w:val="28"/>
          <w:szCs w:val="28"/>
          <w:lang w:val="es-CO"/>
        </w:rPr>
        <w:t>)</w:t>
      </w:r>
      <w:r w:rsidRPr="007F2045">
        <w:rPr>
          <w:rFonts w:ascii="Times New Roman" w:hAnsi="Times New Roman"/>
          <w:sz w:val="28"/>
          <w:szCs w:val="28"/>
          <w:lang w:val="es-CO"/>
        </w:rPr>
        <w:t xml:space="preserve"> </w:t>
      </w:r>
      <w:r w:rsidR="008C1294" w:rsidRPr="007F2045">
        <w:rPr>
          <w:rFonts w:ascii="Times New Roman" w:hAnsi="Times New Roman"/>
          <w:sz w:val="28"/>
          <w:szCs w:val="28"/>
          <w:lang w:val="es-CO"/>
        </w:rPr>
        <w:t xml:space="preserve">una </w:t>
      </w:r>
      <w:r w:rsidRPr="007F2045">
        <w:rPr>
          <w:rFonts w:ascii="Times New Roman" w:hAnsi="Times New Roman"/>
          <w:sz w:val="28"/>
          <w:szCs w:val="28"/>
          <w:lang w:val="es-CO"/>
        </w:rPr>
        <w:t>falta manifiesta de razonabilidad o de proporcionalidad de la regulación</w:t>
      </w:r>
      <w:r w:rsidRPr="007F2045">
        <w:rPr>
          <w:rFonts w:ascii="Times New Roman" w:hAnsi="Times New Roman"/>
          <w:sz w:val="28"/>
          <w:szCs w:val="28"/>
          <w:shd w:val="clear" w:color="auto" w:fill="FFFFFF"/>
          <w:lang w:val="es-CO"/>
        </w:rPr>
        <w:t xml:space="preserve">. </w:t>
      </w:r>
    </w:p>
    <w:p w14:paraId="7ECF880D" w14:textId="77777777" w:rsidR="000E1F51" w:rsidRPr="007F2045" w:rsidRDefault="000E1F51" w:rsidP="001B5728">
      <w:pPr>
        <w:pStyle w:val="Prrafodelista"/>
        <w:tabs>
          <w:tab w:val="left" w:pos="284"/>
          <w:tab w:val="left" w:pos="426"/>
        </w:tabs>
        <w:spacing w:after="0" w:line="240" w:lineRule="auto"/>
        <w:ind w:left="0"/>
        <w:rPr>
          <w:rFonts w:ascii="Times New Roman" w:hAnsi="Times New Roman"/>
          <w:sz w:val="28"/>
          <w:szCs w:val="28"/>
          <w:lang w:val="es-CO"/>
        </w:rPr>
      </w:pPr>
    </w:p>
    <w:p w14:paraId="7AA3457E"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La declaratoria de un estado de emergencia “</w:t>
      </w:r>
      <w:r w:rsidRPr="007F2045">
        <w:rPr>
          <w:rFonts w:ascii="Times New Roman" w:hAnsi="Times New Roman"/>
          <w:iCs/>
          <w:sz w:val="28"/>
          <w:szCs w:val="28"/>
          <w:lang w:val="es-CO"/>
        </w:rPr>
        <w:t>representa una alteración significativa de la normalidad constitucional, pues, a través de ella, el jefe de gobierno se reviste a sí mismo de competencias legislativas”</w:t>
      </w:r>
      <w:r w:rsidRPr="007F2045">
        <w:rPr>
          <w:rFonts w:ascii="Times New Roman" w:eastAsiaTheme="majorEastAsia" w:hAnsi="Times New Roman"/>
          <w:szCs w:val="28"/>
          <w:vertAlign w:val="superscript"/>
          <w:lang w:val="es-CO"/>
        </w:rPr>
        <w:footnoteReference w:id="64"/>
      </w:r>
      <w:r w:rsidRPr="007F2045">
        <w:rPr>
          <w:rFonts w:ascii="Times New Roman" w:hAnsi="Times New Roman"/>
          <w:sz w:val="28"/>
          <w:szCs w:val="28"/>
          <w:lang w:val="es-CO"/>
        </w:rPr>
        <w:t xml:space="preserve">. El examen de los decretos que declaran un estado de emergencia supone la valoración de requisitos formales y materiales. Los primeros se encuentran relacionados, entre otras cosas, con la debida suscripción del decreto, así como con la existencia de </w:t>
      </w:r>
      <w:r w:rsidRPr="007F2045">
        <w:rPr>
          <w:rFonts w:ascii="Times New Roman" w:hAnsi="Times New Roman"/>
          <w:sz w:val="28"/>
          <w:szCs w:val="28"/>
          <w:lang w:val="es-CO"/>
        </w:rPr>
        <w:lastRenderedPageBreak/>
        <w:t>una motivación mínima. Los segundos corresponden a exigencias sustantivas orientadas a limitar la discrecionalidad del presidente de la República para apreciar los supuestos que habilitan la declaratoria y, con ello, asegurar que la misma se reserve a situaciones de excepción. Tales requisitos suponen:</w:t>
      </w:r>
    </w:p>
    <w:p w14:paraId="64ADECD4" w14:textId="77777777" w:rsidR="000E1F51" w:rsidRPr="007F2045" w:rsidRDefault="000E1F51" w:rsidP="001B5728">
      <w:pPr>
        <w:tabs>
          <w:tab w:val="left" w:pos="284"/>
          <w:tab w:val="left" w:pos="426"/>
        </w:tabs>
        <w:spacing w:after="0" w:line="240" w:lineRule="auto"/>
        <w:ind w:left="567"/>
        <w:rPr>
          <w:rFonts w:ascii="Times New Roman" w:hAnsi="Times New Roman"/>
          <w:lang w:val="es-CO"/>
        </w:rPr>
      </w:pPr>
      <w:r w:rsidRPr="007F2045">
        <w:rPr>
          <w:rFonts w:ascii="Times New Roman" w:hAnsi="Times New Roman"/>
          <w:lang w:val="es-CO"/>
        </w:rPr>
        <w:t xml:space="preserve"> </w:t>
      </w:r>
    </w:p>
    <w:p w14:paraId="7F637D2B" w14:textId="77777777" w:rsidR="000E1F51" w:rsidRPr="007F2045" w:rsidRDefault="000E1F51" w:rsidP="001B5728">
      <w:pPr>
        <w:tabs>
          <w:tab w:val="left" w:pos="284"/>
          <w:tab w:val="left" w:pos="426"/>
        </w:tabs>
        <w:spacing w:after="0" w:line="240" w:lineRule="auto"/>
        <w:ind w:left="567" w:right="616"/>
        <w:rPr>
          <w:rFonts w:ascii="Times New Roman" w:hAnsi="Times New Roman"/>
          <w:lang w:val="es-CO"/>
        </w:rPr>
      </w:pPr>
      <w:r w:rsidRPr="007F2045">
        <w:rPr>
          <w:rFonts w:ascii="Times New Roman" w:hAnsi="Times New Roman"/>
          <w:lang w:val="es-CO"/>
        </w:rPr>
        <w:t>“(i) la ocurrencia de hechos sobrevinientes y extraordinarios, distintos a los que dan lugar a las declaratorias de guerra exterior o conmoción interior; (</w:t>
      </w:r>
      <w:proofErr w:type="spellStart"/>
      <w:r w:rsidRPr="007F2045">
        <w:rPr>
          <w:rFonts w:ascii="Times New Roman" w:hAnsi="Times New Roman"/>
          <w:lang w:val="es-CO"/>
        </w:rPr>
        <w:t>ii</w:t>
      </w:r>
      <w:proofErr w:type="spellEnd"/>
      <w:r w:rsidRPr="007F2045">
        <w:rPr>
          <w:rFonts w:ascii="Times New Roman" w:hAnsi="Times New Roman"/>
          <w:lang w:val="es-CO"/>
        </w:rPr>
        <w:t>) que tales hechos perturben o amenacen en forma grave e inminente el orden económico, social y ecológico del país, o que constituyan grave calamidad pública; y, finalmente, (</w:t>
      </w:r>
      <w:proofErr w:type="spellStart"/>
      <w:r w:rsidRPr="007F2045">
        <w:rPr>
          <w:rFonts w:ascii="Times New Roman" w:hAnsi="Times New Roman"/>
          <w:lang w:val="es-CO"/>
        </w:rPr>
        <w:t>iii</w:t>
      </w:r>
      <w:proofErr w:type="spellEnd"/>
      <w:r w:rsidRPr="007F2045">
        <w:rPr>
          <w:rFonts w:ascii="Times New Roman" w:hAnsi="Times New Roman"/>
          <w:lang w:val="es-CO"/>
        </w:rPr>
        <w:t>) que no puedan ser conjurados con los mecanismos ordinarios previstos en el ordenamiento jurídico”</w:t>
      </w:r>
      <w:r w:rsidRPr="007F2045">
        <w:rPr>
          <w:rFonts w:ascii="Times New Roman" w:eastAsiaTheme="majorEastAsia" w:hAnsi="Times New Roman"/>
          <w:vertAlign w:val="superscript"/>
          <w:lang w:val="es-CO"/>
        </w:rPr>
        <w:footnoteReference w:id="65"/>
      </w:r>
      <w:r w:rsidRPr="007F2045">
        <w:rPr>
          <w:rFonts w:ascii="Times New Roman" w:hAnsi="Times New Roman"/>
          <w:lang w:val="es-CO"/>
        </w:rPr>
        <w:t>.</w:t>
      </w:r>
    </w:p>
    <w:p w14:paraId="26C5DA00" w14:textId="77777777" w:rsidR="000E1F51" w:rsidRPr="007F2045" w:rsidRDefault="000E1F51" w:rsidP="001B5728">
      <w:pPr>
        <w:pStyle w:val="Prrafodelista"/>
        <w:tabs>
          <w:tab w:val="left" w:pos="284"/>
          <w:tab w:val="left" w:pos="426"/>
        </w:tabs>
        <w:spacing w:after="0" w:line="240" w:lineRule="auto"/>
        <w:ind w:left="0"/>
        <w:rPr>
          <w:rFonts w:ascii="Times New Roman" w:hAnsi="Times New Roman"/>
          <w:sz w:val="28"/>
          <w:szCs w:val="28"/>
          <w:lang w:val="es-CO"/>
        </w:rPr>
      </w:pPr>
    </w:p>
    <w:p w14:paraId="0F4903C0"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0"/>
          <w:szCs w:val="20"/>
          <w:lang w:val="es-CO"/>
        </w:rPr>
      </w:pPr>
      <w:r w:rsidRPr="007F2045">
        <w:rPr>
          <w:rFonts w:ascii="Times New Roman" w:hAnsi="Times New Roman"/>
          <w:sz w:val="28"/>
          <w:szCs w:val="28"/>
          <w:lang w:val="es-CO"/>
        </w:rPr>
        <w:t>A partir de la sentencia C-135 de 2009, esta Corte ha reiterado que el control material de los decretos que declaran el estado de emergencia se orienta a verificar el cumplimiento de los presupuestos materiales</w:t>
      </w:r>
      <w:r w:rsidR="00BC4B45" w:rsidRPr="007F2045">
        <w:rPr>
          <w:rFonts w:ascii="Times New Roman" w:hAnsi="Times New Roman"/>
          <w:sz w:val="28"/>
          <w:szCs w:val="28"/>
          <w:lang w:val="es-CO"/>
        </w:rPr>
        <w:t>:</w:t>
      </w:r>
      <w:r w:rsidRPr="007F2045">
        <w:rPr>
          <w:rFonts w:ascii="Times New Roman" w:hAnsi="Times New Roman"/>
          <w:sz w:val="28"/>
          <w:szCs w:val="28"/>
          <w:lang w:val="es-CO"/>
        </w:rPr>
        <w:t xml:space="preserve"> </w:t>
      </w:r>
      <w:r w:rsidRPr="007F2045">
        <w:rPr>
          <w:rFonts w:ascii="Times New Roman" w:hAnsi="Times New Roman"/>
          <w:i/>
          <w:iCs/>
          <w:sz w:val="28"/>
          <w:szCs w:val="28"/>
          <w:lang w:val="es-CO"/>
        </w:rPr>
        <w:t>(i)</w:t>
      </w:r>
      <w:r w:rsidRPr="007F2045">
        <w:rPr>
          <w:rFonts w:ascii="Times New Roman" w:hAnsi="Times New Roman"/>
          <w:sz w:val="28"/>
          <w:szCs w:val="28"/>
          <w:lang w:val="es-CO"/>
        </w:rPr>
        <w:t xml:space="preserve"> fáctico, </w:t>
      </w:r>
      <w:r w:rsidRPr="007F2045">
        <w:rPr>
          <w:rFonts w:ascii="Times New Roman" w:hAnsi="Times New Roman"/>
          <w:i/>
          <w:iCs/>
          <w:sz w:val="28"/>
          <w:szCs w:val="28"/>
          <w:lang w:val="es-CO"/>
        </w:rPr>
        <w:t>(</w:t>
      </w:r>
      <w:proofErr w:type="spellStart"/>
      <w:r w:rsidRPr="007F2045">
        <w:rPr>
          <w:rFonts w:ascii="Times New Roman" w:hAnsi="Times New Roman"/>
          <w:i/>
          <w:iCs/>
          <w:sz w:val="28"/>
          <w:szCs w:val="28"/>
          <w:lang w:val="es-CO"/>
        </w:rPr>
        <w:t>ii</w:t>
      </w:r>
      <w:proofErr w:type="spellEnd"/>
      <w:r w:rsidRPr="007F2045">
        <w:rPr>
          <w:rFonts w:ascii="Times New Roman" w:hAnsi="Times New Roman"/>
          <w:i/>
          <w:iCs/>
          <w:sz w:val="28"/>
          <w:szCs w:val="28"/>
          <w:lang w:val="es-CO"/>
        </w:rPr>
        <w:t>)</w:t>
      </w:r>
      <w:r w:rsidRPr="007F2045">
        <w:rPr>
          <w:rFonts w:ascii="Times New Roman" w:hAnsi="Times New Roman"/>
          <w:sz w:val="28"/>
          <w:szCs w:val="28"/>
          <w:lang w:val="es-CO"/>
        </w:rPr>
        <w:t xml:space="preserve"> valorativo y </w:t>
      </w:r>
      <w:r w:rsidRPr="007F2045">
        <w:rPr>
          <w:rFonts w:ascii="Times New Roman" w:hAnsi="Times New Roman"/>
          <w:i/>
          <w:iCs/>
          <w:sz w:val="28"/>
          <w:szCs w:val="28"/>
          <w:lang w:val="es-CO"/>
        </w:rPr>
        <w:t>(</w:t>
      </w:r>
      <w:proofErr w:type="spellStart"/>
      <w:r w:rsidRPr="007F2045">
        <w:rPr>
          <w:rFonts w:ascii="Times New Roman" w:hAnsi="Times New Roman"/>
          <w:i/>
          <w:iCs/>
          <w:sz w:val="28"/>
          <w:szCs w:val="28"/>
          <w:lang w:val="es-CO"/>
        </w:rPr>
        <w:t>iii</w:t>
      </w:r>
      <w:proofErr w:type="spellEnd"/>
      <w:r w:rsidRPr="007F2045">
        <w:rPr>
          <w:rFonts w:ascii="Times New Roman" w:hAnsi="Times New Roman"/>
          <w:i/>
          <w:iCs/>
          <w:sz w:val="28"/>
          <w:szCs w:val="28"/>
          <w:lang w:val="es-CO"/>
        </w:rPr>
        <w:t>)</w:t>
      </w:r>
      <w:r w:rsidRPr="007F2045">
        <w:rPr>
          <w:rFonts w:ascii="Times New Roman" w:hAnsi="Times New Roman"/>
          <w:sz w:val="28"/>
          <w:szCs w:val="28"/>
          <w:lang w:val="es-CO"/>
        </w:rPr>
        <w:t xml:space="preserve"> de suficiencia, de una manera estricta e integral, dada la trascendencia y repercusiones constitucionales de una declaratoria de esta naturaleza. </w:t>
      </w:r>
    </w:p>
    <w:p w14:paraId="7F2196BE" w14:textId="77777777" w:rsidR="000E1F51" w:rsidRPr="007F2045" w:rsidRDefault="000E1F51" w:rsidP="001B5728">
      <w:pPr>
        <w:pStyle w:val="Prrafodelista"/>
        <w:tabs>
          <w:tab w:val="left" w:pos="284"/>
          <w:tab w:val="left" w:pos="426"/>
        </w:tabs>
        <w:spacing w:after="0" w:line="240" w:lineRule="auto"/>
        <w:ind w:left="0"/>
        <w:rPr>
          <w:rFonts w:ascii="Times New Roman" w:hAnsi="Times New Roman"/>
          <w:sz w:val="20"/>
          <w:szCs w:val="20"/>
          <w:lang w:val="es-CO"/>
        </w:rPr>
      </w:pPr>
    </w:p>
    <w:p w14:paraId="46A0E77E"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En atención al estándar fijado por el auto 272 de 2023 y a la especificidad del control constitucional respecto del decreto que ahora se analiza, es necesario </w:t>
      </w:r>
      <w:r w:rsidRPr="007F2045">
        <w:rPr>
          <w:rFonts w:ascii="Times New Roman" w:hAnsi="Times New Roman"/>
          <w:sz w:val="28"/>
          <w:szCs w:val="28"/>
          <w:shd w:val="clear" w:color="auto" w:fill="FFFFFF"/>
          <w:lang w:val="es-CO"/>
        </w:rPr>
        <w:t xml:space="preserve">precisar la valoración que le corresponde realizar a la Corte, para definir si procede la suspensión provisional, teniendo en cuenta la naturaleza y las condiciones constitucionales de validez de este tipo de normas. </w:t>
      </w:r>
    </w:p>
    <w:p w14:paraId="25DD98FA" w14:textId="77777777" w:rsidR="000E1F51" w:rsidRPr="007F2045" w:rsidRDefault="000E1F51" w:rsidP="001B5728">
      <w:pPr>
        <w:pStyle w:val="Prrafodelista"/>
        <w:tabs>
          <w:tab w:val="left" w:pos="284"/>
          <w:tab w:val="left" w:pos="426"/>
        </w:tabs>
        <w:spacing w:after="0" w:line="240" w:lineRule="auto"/>
        <w:ind w:left="0"/>
        <w:rPr>
          <w:rFonts w:ascii="Times New Roman" w:hAnsi="Times New Roman"/>
          <w:sz w:val="28"/>
          <w:szCs w:val="28"/>
          <w:lang w:val="es-CO"/>
        </w:rPr>
      </w:pPr>
    </w:p>
    <w:p w14:paraId="41427E3F"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En esa </w:t>
      </w:r>
      <w:r w:rsidRPr="007F2045">
        <w:rPr>
          <w:rFonts w:ascii="Times New Roman" w:hAnsi="Times New Roman"/>
          <w:sz w:val="28"/>
          <w:szCs w:val="28"/>
          <w:shd w:val="clear" w:color="auto" w:fill="FFFFFF"/>
          <w:lang w:val="es-CO"/>
        </w:rPr>
        <w:t>dirección</w:t>
      </w:r>
      <w:r w:rsidRPr="007F2045">
        <w:rPr>
          <w:rFonts w:ascii="Times New Roman" w:hAnsi="Times New Roman"/>
          <w:sz w:val="28"/>
          <w:szCs w:val="28"/>
          <w:lang w:val="es-CO"/>
        </w:rPr>
        <w:t xml:space="preserve"> la “ostensible incompatibilidad o notoria discrepancia con los preceptos superiores” debe valorarse a partir de un análisis </w:t>
      </w:r>
      <w:r w:rsidRPr="007F2045">
        <w:rPr>
          <w:rFonts w:ascii="Times New Roman" w:hAnsi="Times New Roman"/>
          <w:i/>
          <w:iCs/>
          <w:sz w:val="28"/>
          <w:szCs w:val="28"/>
          <w:lang w:val="es-CO"/>
        </w:rPr>
        <w:t xml:space="preserve">prima facie </w:t>
      </w:r>
      <w:r w:rsidRPr="007F2045">
        <w:rPr>
          <w:rFonts w:ascii="Times New Roman" w:hAnsi="Times New Roman"/>
          <w:sz w:val="28"/>
          <w:szCs w:val="28"/>
          <w:lang w:val="es-CO"/>
        </w:rPr>
        <w:t xml:space="preserve">de aquellos requerimientos constitucionales que no otorgan una amplia discrecionalidad a favor del presidente de la República.  </w:t>
      </w:r>
    </w:p>
    <w:p w14:paraId="2EF1FF0B" w14:textId="77777777" w:rsidR="000E1F51" w:rsidRPr="007F2045" w:rsidRDefault="000E1F51" w:rsidP="001B5728">
      <w:pPr>
        <w:pStyle w:val="Prrafodelista"/>
        <w:tabs>
          <w:tab w:val="left" w:pos="284"/>
          <w:tab w:val="left" w:pos="426"/>
        </w:tabs>
        <w:spacing w:after="0" w:line="240" w:lineRule="auto"/>
        <w:ind w:left="0"/>
        <w:rPr>
          <w:rFonts w:ascii="Times New Roman" w:hAnsi="Times New Roman"/>
          <w:sz w:val="28"/>
          <w:szCs w:val="28"/>
          <w:lang w:val="es-CO"/>
        </w:rPr>
      </w:pPr>
    </w:p>
    <w:p w14:paraId="14D21FC4"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Así las cosas, para definir la suspensión provisional de los efectos</w:t>
      </w:r>
      <w:r w:rsidR="00DE4DE9" w:rsidRPr="007F2045">
        <w:rPr>
          <w:rFonts w:ascii="Times New Roman" w:hAnsi="Times New Roman"/>
          <w:sz w:val="28"/>
          <w:szCs w:val="28"/>
          <w:lang w:val="es-CO"/>
        </w:rPr>
        <w:t xml:space="preserve"> </w:t>
      </w:r>
      <w:r w:rsidR="004052AA" w:rsidRPr="007F2045">
        <w:rPr>
          <w:rFonts w:ascii="Times New Roman" w:hAnsi="Times New Roman"/>
          <w:sz w:val="28"/>
          <w:szCs w:val="28"/>
          <w:lang w:val="es-CO"/>
        </w:rPr>
        <w:t xml:space="preserve">de un decreto declaratorio del estado de emergencia económica, social o ecológica, </w:t>
      </w:r>
      <w:r w:rsidR="00DE4DE9" w:rsidRPr="007F2045">
        <w:rPr>
          <w:rFonts w:ascii="Times New Roman" w:hAnsi="Times New Roman"/>
          <w:sz w:val="28"/>
          <w:szCs w:val="28"/>
          <w:lang w:val="es-CO"/>
        </w:rPr>
        <w:t xml:space="preserve">la Corte considera que, </w:t>
      </w:r>
      <w:r w:rsidR="00DE4DE9" w:rsidRPr="007F2045">
        <w:rPr>
          <w:rFonts w:ascii="Times New Roman" w:hAnsi="Times New Roman"/>
          <w:i/>
          <w:iCs/>
          <w:sz w:val="28"/>
          <w:szCs w:val="28"/>
          <w:lang w:val="es-CO"/>
        </w:rPr>
        <w:t>en principio</w:t>
      </w:r>
      <w:r w:rsidR="00DE4DE9" w:rsidRPr="007F2045">
        <w:rPr>
          <w:rFonts w:ascii="Times New Roman" w:hAnsi="Times New Roman"/>
          <w:sz w:val="28"/>
          <w:szCs w:val="28"/>
          <w:lang w:val="es-CO"/>
        </w:rPr>
        <w:t xml:space="preserve">, </w:t>
      </w:r>
      <w:r w:rsidRPr="007F2045">
        <w:rPr>
          <w:rFonts w:ascii="Times New Roman" w:hAnsi="Times New Roman"/>
          <w:sz w:val="28"/>
          <w:szCs w:val="28"/>
          <w:lang w:val="es-CO"/>
        </w:rPr>
        <w:t xml:space="preserve">podrá evaluarse, con fundamento en el artículo 215 de la Constitución, </w:t>
      </w:r>
      <w:r w:rsidRPr="007F2045">
        <w:rPr>
          <w:rFonts w:ascii="Times New Roman" w:hAnsi="Times New Roman"/>
          <w:i/>
          <w:iCs/>
          <w:sz w:val="28"/>
          <w:szCs w:val="28"/>
          <w:lang w:val="es-CO"/>
        </w:rPr>
        <w:t>(i)</w:t>
      </w:r>
      <w:r w:rsidRPr="007F2045">
        <w:rPr>
          <w:rFonts w:ascii="Times New Roman" w:hAnsi="Times New Roman"/>
          <w:sz w:val="28"/>
          <w:szCs w:val="28"/>
          <w:lang w:val="es-CO"/>
        </w:rPr>
        <w:t xml:space="preserve"> si del texto del decreto y de sus soportes </w:t>
      </w:r>
      <w:r w:rsidR="00231314" w:rsidRPr="007F2045">
        <w:rPr>
          <w:rFonts w:ascii="Times New Roman" w:hAnsi="Times New Roman"/>
          <w:sz w:val="28"/>
          <w:szCs w:val="28"/>
          <w:lang w:val="es-CO"/>
        </w:rPr>
        <w:t>no</w:t>
      </w:r>
      <w:r w:rsidRPr="007F2045">
        <w:rPr>
          <w:rFonts w:ascii="Times New Roman" w:hAnsi="Times New Roman"/>
          <w:sz w:val="28"/>
          <w:szCs w:val="28"/>
          <w:lang w:val="es-CO"/>
        </w:rPr>
        <w:t xml:space="preserve"> </w:t>
      </w:r>
      <w:r w:rsidR="00231314" w:rsidRPr="007F2045">
        <w:rPr>
          <w:rFonts w:ascii="Times New Roman" w:hAnsi="Times New Roman"/>
          <w:sz w:val="28"/>
          <w:szCs w:val="28"/>
          <w:lang w:val="es-CO"/>
        </w:rPr>
        <w:t xml:space="preserve">se </w:t>
      </w:r>
      <w:r w:rsidRPr="007F2045">
        <w:rPr>
          <w:rFonts w:ascii="Times New Roman" w:hAnsi="Times New Roman"/>
          <w:sz w:val="28"/>
          <w:szCs w:val="28"/>
          <w:lang w:val="es-CO"/>
        </w:rPr>
        <w:t>desprende</w:t>
      </w:r>
      <w:r w:rsidR="00231314" w:rsidRPr="007F2045">
        <w:rPr>
          <w:rFonts w:ascii="Times New Roman" w:hAnsi="Times New Roman"/>
          <w:sz w:val="28"/>
          <w:szCs w:val="28"/>
          <w:lang w:val="es-CO"/>
        </w:rPr>
        <w:t>,</w:t>
      </w:r>
      <w:r w:rsidRPr="007F2045">
        <w:rPr>
          <w:rFonts w:ascii="Times New Roman" w:hAnsi="Times New Roman"/>
          <w:sz w:val="28"/>
          <w:szCs w:val="28"/>
          <w:lang w:val="es-CO"/>
        </w:rPr>
        <w:t xml:space="preserve"> </w:t>
      </w:r>
      <w:r w:rsidRPr="007F2045">
        <w:rPr>
          <w:rFonts w:ascii="Times New Roman" w:hAnsi="Times New Roman"/>
          <w:b/>
          <w:sz w:val="28"/>
          <w:szCs w:val="28"/>
          <w:lang w:val="es-CO"/>
        </w:rPr>
        <w:t>a</w:t>
      </w:r>
      <w:r w:rsidR="00231314" w:rsidRPr="007F2045">
        <w:rPr>
          <w:rFonts w:ascii="Times New Roman" w:hAnsi="Times New Roman"/>
          <w:b/>
          <w:sz w:val="28"/>
          <w:szCs w:val="28"/>
          <w:lang w:val="es-CO"/>
        </w:rPr>
        <w:t xml:space="preserve"> primera vista</w:t>
      </w:r>
      <w:r w:rsidR="00231314" w:rsidRPr="007F2045">
        <w:rPr>
          <w:rFonts w:ascii="Times New Roman" w:hAnsi="Times New Roman"/>
          <w:sz w:val="28"/>
          <w:szCs w:val="28"/>
          <w:lang w:val="es-CO"/>
        </w:rPr>
        <w:t>,</w:t>
      </w:r>
      <w:r w:rsidRPr="007F2045">
        <w:rPr>
          <w:rFonts w:ascii="Times New Roman" w:hAnsi="Times New Roman"/>
          <w:sz w:val="28"/>
          <w:szCs w:val="28"/>
          <w:lang w:val="es-CO"/>
        </w:rPr>
        <w:t xml:space="preserve"> el </w:t>
      </w:r>
      <w:r w:rsidRPr="007F2045">
        <w:rPr>
          <w:rFonts w:ascii="Times New Roman" w:hAnsi="Times New Roman"/>
          <w:sz w:val="28"/>
          <w:szCs w:val="28"/>
          <w:shd w:val="clear" w:color="auto" w:fill="FFFFFF"/>
          <w:lang w:val="es-CO"/>
        </w:rPr>
        <w:t>cumplimiento</w:t>
      </w:r>
      <w:r w:rsidRPr="007F2045">
        <w:rPr>
          <w:rFonts w:ascii="Times New Roman" w:hAnsi="Times New Roman"/>
          <w:sz w:val="28"/>
          <w:szCs w:val="28"/>
          <w:lang w:val="es-CO"/>
        </w:rPr>
        <w:t xml:space="preserve"> de las exigencias formales básicas requeridas para su expedición. Igualmente deberá establecer </w:t>
      </w:r>
      <w:r w:rsidR="00231314" w:rsidRPr="007F2045">
        <w:rPr>
          <w:rFonts w:ascii="Times New Roman" w:hAnsi="Times New Roman"/>
          <w:i/>
          <w:iCs/>
          <w:sz w:val="28"/>
          <w:szCs w:val="28"/>
          <w:lang w:val="es-CO"/>
        </w:rPr>
        <w:t>(</w:t>
      </w:r>
      <w:proofErr w:type="spellStart"/>
      <w:r w:rsidR="00231314" w:rsidRPr="007F2045">
        <w:rPr>
          <w:rFonts w:ascii="Times New Roman" w:hAnsi="Times New Roman"/>
          <w:i/>
          <w:iCs/>
          <w:sz w:val="28"/>
          <w:szCs w:val="28"/>
          <w:lang w:val="es-CO"/>
        </w:rPr>
        <w:t>ii</w:t>
      </w:r>
      <w:proofErr w:type="spellEnd"/>
      <w:r w:rsidR="00231314" w:rsidRPr="007F2045">
        <w:rPr>
          <w:rFonts w:ascii="Times New Roman" w:hAnsi="Times New Roman"/>
          <w:i/>
          <w:iCs/>
          <w:sz w:val="28"/>
          <w:szCs w:val="28"/>
          <w:lang w:val="es-CO"/>
        </w:rPr>
        <w:t>)</w:t>
      </w:r>
      <w:r w:rsidR="00231314" w:rsidRPr="007F2045">
        <w:rPr>
          <w:rFonts w:ascii="Times New Roman" w:hAnsi="Times New Roman"/>
          <w:sz w:val="28"/>
          <w:szCs w:val="28"/>
          <w:lang w:val="es-CO"/>
        </w:rPr>
        <w:t xml:space="preserve"> </w:t>
      </w:r>
      <w:r w:rsidRPr="007F2045">
        <w:rPr>
          <w:rFonts w:ascii="Times New Roman" w:hAnsi="Times New Roman"/>
          <w:kern w:val="0"/>
          <w:sz w:val="28"/>
          <w:szCs w:val="28"/>
          <w:lang w:val="es-CO"/>
        </w:rPr>
        <w:t xml:space="preserve">si </w:t>
      </w:r>
      <w:r w:rsidR="00E03199" w:rsidRPr="007F2045">
        <w:rPr>
          <w:rFonts w:ascii="Times New Roman" w:hAnsi="Times New Roman"/>
          <w:kern w:val="0"/>
          <w:sz w:val="28"/>
          <w:szCs w:val="28"/>
          <w:lang w:val="es-CO"/>
        </w:rPr>
        <w:t>a partir de</w:t>
      </w:r>
      <w:r w:rsidRPr="007F2045">
        <w:rPr>
          <w:rFonts w:ascii="Times New Roman" w:hAnsi="Times New Roman"/>
          <w:kern w:val="0"/>
          <w:sz w:val="28"/>
          <w:szCs w:val="28"/>
          <w:lang w:val="es-CO"/>
        </w:rPr>
        <w:t xml:space="preserve"> las consideraciones del decreto o </w:t>
      </w:r>
      <w:r w:rsidR="00E03199" w:rsidRPr="007F2045">
        <w:rPr>
          <w:rFonts w:ascii="Times New Roman" w:hAnsi="Times New Roman"/>
          <w:kern w:val="0"/>
          <w:sz w:val="28"/>
          <w:szCs w:val="28"/>
          <w:lang w:val="es-CO"/>
        </w:rPr>
        <w:t xml:space="preserve">de </w:t>
      </w:r>
      <w:r w:rsidRPr="007F2045">
        <w:rPr>
          <w:rFonts w:ascii="Times New Roman" w:hAnsi="Times New Roman"/>
          <w:kern w:val="0"/>
          <w:sz w:val="28"/>
          <w:szCs w:val="28"/>
          <w:lang w:val="es-CO"/>
        </w:rPr>
        <w:t xml:space="preserve">los anexos que lo acompañan, </w:t>
      </w:r>
      <w:r w:rsidR="00E03199" w:rsidRPr="007F2045">
        <w:rPr>
          <w:rFonts w:ascii="Times New Roman" w:hAnsi="Times New Roman"/>
          <w:b/>
          <w:kern w:val="0"/>
          <w:sz w:val="28"/>
          <w:szCs w:val="28"/>
          <w:lang w:val="es-CO"/>
        </w:rPr>
        <w:t>surgen serias dudas</w:t>
      </w:r>
      <w:r w:rsidR="00E03199" w:rsidRPr="007F2045">
        <w:rPr>
          <w:rFonts w:ascii="Times New Roman" w:hAnsi="Times New Roman"/>
          <w:kern w:val="0"/>
          <w:sz w:val="28"/>
          <w:szCs w:val="28"/>
          <w:lang w:val="es-CO"/>
        </w:rPr>
        <w:t xml:space="preserve"> sobre </w:t>
      </w:r>
      <w:r w:rsidRPr="007F2045">
        <w:rPr>
          <w:rFonts w:ascii="Times New Roman" w:hAnsi="Times New Roman"/>
          <w:i/>
          <w:iCs/>
          <w:kern w:val="0"/>
          <w:sz w:val="28"/>
          <w:szCs w:val="28"/>
          <w:lang w:val="es-CO"/>
        </w:rPr>
        <w:t>(</w:t>
      </w:r>
      <w:r w:rsidR="00231314" w:rsidRPr="007F2045">
        <w:rPr>
          <w:rFonts w:ascii="Times New Roman" w:hAnsi="Times New Roman"/>
          <w:i/>
          <w:iCs/>
          <w:kern w:val="0"/>
          <w:sz w:val="28"/>
          <w:szCs w:val="28"/>
          <w:lang w:val="es-CO"/>
        </w:rPr>
        <w:t>a</w:t>
      </w:r>
      <w:r w:rsidRPr="007F2045">
        <w:rPr>
          <w:rFonts w:ascii="Times New Roman" w:hAnsi="Times New Roman"/>
          <w:i/>
          <w:iCs/>
          <w:kern w:val="0"/>
          <w:sz w:val="28"/>
          <w:szCs w:val="28"/>
          <w:lang w:val="es-CO"/>
        </w:rPr>
        <w:t>)</w:t>
      </w:r>
      <w:r w:rsidRPr="007F2045">
        <w:rPr>
          <w:rFonts w:ascii="Times New Roman" w:hAnsi="Times New Roman"/>
          <w:kern w:val="0"/>
          <w:sz w:val="28"/>
          <w:szCs w:val="28"/>
          <w:lang w:val="es-CO"/>
        </w:rPr>
        <w:t xml:space="preserve"> la correspondencia de los hechos invocados con el estado de excepción declarado y </w:t>
      </w:r>
      <w:r w:rsidRPr="007F2045">
        <w:rPr>
          <w:rFonts w:ascii="Times New Roman" w:hAnsi="Times New Roman"/>
          <w:i/>
          <w:iCs/>
          <w:kern w:val="0"/>
          <w:sz w:val="28"/>
          <w:szCs w:val="28"/>
          <w:lang w:val="es-CO"/>
        </w:rPr>
        <w:t>(</w:t>
      </w:r>
      <w:r w:rsidR="00231314" w:rsidRPr="007F2045">
        <w:rPr>
          <w:rFonts w:ascii="Times New Roman" w:hAnsi="Times New Roman"/>
          <w:i/>
          <w:iCs/>
          <w:kern w:val="0"/>
          <w:sz w:val="28"/>
          <w:szCs w:val="28"/>
          <w:lang w:val="es-CO"/>
        </w:rPr>
        <w:t>b</w:t>
      </w:r>
      <w:r w:rsidRPr="007F2045">
        <w:rPr>
          <w:rFonts w:ascii="Times New Roman" w:hAnsi="Times New Roman"/>
          <w:i/>
          <w:iCs/>
          <w:kern w:val="0"/>
          <w:sz w:val="28"/>
          <w:szCs w:val="28"/>
          <w:lang w:val="es-CO"/>
        </w:rPr>
        <w:t>)</w:t>
      </w:r>
      <w:r w:rsidRPr="007F2045">
        <w:rPr>
          <w:rFonts w:ascii="Times New Roman" w:hAnsi="Times New Roman"/>
          <w:kern w:val="0"/>
          <w:sz w:val="28"/>
          <w:szCs w:val="28"/>
          <w:lang w:val="es-CO"/>
        </w:rPr>
        <w:t xml:space="preserve"> el carácter sobreviniente o extraordinario de los hechos en los que se fundamenta su declaratoria. </w:t>
      </w:r>
    </w:p>
    <w:p w14:paraId="5C1962B7" w14:textId="77777777" w:rsidR="000E1F51" w:rsidRPr="007F2045" w:rsidRDefault="000E1F51" w:rsidP="001B5728">
      <w:pPr>
        <w:pStyle w:val="Prrafodelista"/>
        <w:tabs>
          <w:tab w:val="left" w:pos="284"/>
          <w:tab w:val="left" w:pos="426"/>
        </w:tabs>
        <w:spacing w:after="0" w:line="240" w:lineRule="auto"/>
        <w:ind w:left="0"/>
        <w:rPr>
          <w:rFonts w:ascii="Times New Roman" w:hAnsi="Times New Roman"/>
          <w:sz w:val="28"/>
          <w:szCs w:val="28"/>
          <w:lang w:val="es-CO"/>
        </w:rPr>
      </w:pPr>
    </w:p>
    <w:p w14:paraId="54ECEF61"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El estándar así establecido tiene, entonces, tres consecuencias. </w:t>
      </w:r>
      <w:r w:rsidRPr="007F2045">
        <w:rPr>
          <w:rFonts w:ascii="Times New Roman" w:hAnsi="Times New Roman"/>
          <w:i/>
          <w:iCs/>
          <w:sz w:val="28"/>
          <w:szCs w:val="28"/>
          <w:lang w:val="es-CO"/>
        </w:rPr>
        <w:t>Primera</w:t>
      </w:r>
      <w:r w:rsidRPr="007F2045">
        <w:rPr>
          <w:rFonts w:ascii="Times New Roman" w:hAnsi="Times New Roman"/>
          <w:sz w:val="28"/>
          <w:szCs w:val="28"/>
          <w:lang w:val="es-CO"/>
        </w:rPr>
        <w:t xml:space="preserve">: el objeto de examen corresponde, </w:t>
      </w:r>
      <w:r w:rsidR="00E03199" w:rsidRPr="007F2045">
        <w:rPr>
          <w:rFonts w:ascii="Times New Roman" w:hAnsi="Times New Roman"/>
          <w:sz w:val="28"/>
          <w:szCs w:val="28"/>
          <w:lang w:val="es-CO"/>
        </w:rPr>
        <w:t>en principio</w:t>
      </w:r>
      <w:r w:rsidRPr="007F2045">
        <w:rPr>
          <w:rFonts w:ascii="Times New Roman" w:hAnsi="Times New Roman"/>
          <w:sz w:val="28"/>
          <w:szCs w:val="28"/>
          <w:lang w:val="es-CO"/>
        </w:rPr>
        <w:t xml:space="preserve">, a los elementos en los cuales la discrecionalidad del presidente de la República resulta especialmente limitada. </w:t>
      </w:r>
      <w:r w:rsidRPr="007F2045">
        <w:rPr>
          <w:rFonts w:ascii="Times New Roman" w:hAnsi="Times New Roman"/>
          <w:i/>
          <w:iCs/>
          <w:sz w:val="28"/>
          <w:szCs w:val="28"/>
          <w:lang w:val="es-CO"/>
        </w:rPr>
        <w:t>Segunda</w:t>
      </w:r>
      <w:r w:rsidRPr="007F2045">
        <w:rPr>
          <w:rFonts w:ascii="Times New Roman" w:hAnsi="Times New Roman"/>
          <w:sz w:val="28"/>
          <w:szCs w:val="28"/>
          <w:lang w:val="es-CO"/>
        </w:rPr>
        <w:t xml:space="preserve">: se trata de un juicio preliminar, que no implica un estudio de fondo ni definitivo sobre ningún </w:t>
      </w:r>
      <w:r w:rsidRPr="007F2045">
        <w:rPr>
          <w:rFonts w:ascii="Times New Roman" w:hAnsi="Times New Roman"/>
          <w:sz w:val="28"/>
          <w:szCs w:val="28"/>
          <w:shd w:val="clear" w:color="auto" w:fill="FFFFFF"/>
          <w:lang w:val="es-CO"/>
        </w:rPr>
        <w:t>presupuesto</w:t>
      </w:r>
      <w:r w:rsidRPr="007F2045">
        <w:rPr>
          <w:rFonts w:ascii="Times New Roman" w:hAnsi="Times New Roman"/>
          <w:sz w:val="28"/>
          <w:szCs w:val="28"/>
          <w:lang w:val="es-CO"/>
        </w:rPr>
        <w:t xml:space="preserve"> de los estados de emergencia, debido a que los elementos para emprender el examen están conformados por el decreto que declara el estado de emergencia y los anexos remitidos a la Corte, sin tener en cuenta pruebas adicionales requeridas por esta corporación</w:t>
      </w:r>
      <w:r w:rsidRPr="007F2045">
        <w:rPr>
          <w:rFonts w:ascii="Times New Roman" w:hAnsi="Times New Roman"/>
          <w:szCs w:val="28"/>
          <w:vertAlign w:val="superscript"/>
          <w:lang w:val="es-CO"/>
        </w:rPr>
        <w:footnoteReference w:id="66"/>
      </w:r>
      <w:r w:rsidRPr="007F2045">
        <w:rPr>
          <w:rFonts w:ascii="Times New Roman" w:hAnsi="Times New Roman"/>
          <w:sz w:val="28"/>
          <w:szCs w:val="28"/>
          <w:lang w:val="es-CO"/>
        </w:rPr>
        <w:t xml:space="preserve">. </w:t>
      </w:r>
      <w:r w:rsidRPr="007F2045">
        <w:rPr>
          <w:rFonts w:ascii="Times New Roman" w:hAnsi="Times New Roman"/>
          <w:i/>
          <w:iCs/>
          <w:sz w:val="28"/>
          <w:szCs w:val="28"/>
          <w:lang w:val="es-CO"/>
        </w:rPr>
        <w:t>Tercera</w:t>
      </w:r>
      <w:r w:rsidRPr="007F2045">
        <w:rPr>
          <w:rFonts w:ascii="Times New Roman" w:hAnsi="Times New Roman"/>
          <w:color w:val="242424"/>
          <w:sz w:val="28"/>
          <w:szCs w:val="28"/>
          <w:lang w:val="es-CO"/>
        </w:rPr>
        <w:t xml:space="preserve">: </w:t>
      </w:r>
      <w:r w:rsidRPr="007F2045">
        <w:rPr>
          <w:rFonts w:ascii="Times New Roman" w:hAnsi="Times New Roman"/>
          <w:sz w:val="28"/>
          <w:szCs w:val="28"/>
          <w:lang w:val="es-CO"/>
        </w:rPr>
        <w:t xml:space="preserve">en </w:t>
      </w:r>
      <w:r w:rsidRPr="007F2045">
        <w:rPr>
          <w:rFonts w:ascii="Times New Roman" w:hAnsi="Times New Roman"/>
          <w:sz w:val="28"/>
          <w:szCs w:val="28"/>
          <w:lang w:val="es-CO"/>
        </w:rPr>
        <w:lastRenderedPageBreak/>
        <w:t>aquellos casos en los que puedan identificarse desacuerdos razonables sobre la acreditación o no de los referidos presupuestos, ello deberá ser resuelto definitivamente en la sentencia, sin que proceda la suspensión.</w:t>
      </w:r>
    </w:p>
    <w:p w14:paraId="20A84178" w14:textId="77777777" w:rsidR="000E1F51" w:rsidRPr="007F2045" w:rsidRDefault="000E1F51" w:rsidP="001B5728">
      <w:pPr>
        <w:pStyle w:val="Prrafodelista"/>
        <w:spacing w:after="0" w:line="240" w:lineRule="auto"/>
        <w:rPr>
          <w:rFonts w:ascii="Times New Roman" w:hAnsi="Times New Roman"/>
          <w:sz w:val="28"/>
          <w:szCs w:val="28"/>
          <w:lang w:val="es-CO"/>
        </w:rPr>
      </w:pPr>
    </w:p>
    <w:p w14:paraId="71E45B47"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En este sentido, cuando la Corte constate la ocurrencia de alguna de las hipótesis enunciadas, podrá afirmarse, al menos </w:t>
      </w:r>
      <w:r w:rsidRPr="007F2045">
        <w:rPr>
          <w:rFonts w:ascii="Times New Roman" w:hAnsi="Times New Roman"/>
          <w:i/>
          <w:iCs/>
          <w:sz w:val="28"/>
          <w:szCs w:val="28"/>
          <w:lang w:val="es-CO"/>
        </w:rPr>
        <w:t>prima facie</w:t>
      </w:r>
      <w:r w:rsidRPr="007F2045">
        <w:rPr>
          <w:rFonts w:ascii="Times New Roman" w:hAnsi="Times New Roman"/>
          <w:sz w:val="28"/>
          <w:szCs w:val="28"/>
          <w:lang w:val="es-CO"/>
        </w:rPr>
        <w:t>, la manifiesta inconstitucionalidad del decreto, debido a su discordancia con los artículos 1, 3, 113, 150 y 215 de la Constitución.</w:t>
      </w:r>
    </w:p>
    <w:p w14:paraId="608EA5F5" w14:textId="77777777" w:rsidR="000E1F51" w:rsidRPr="007F2045" w:rsidRDefault="000E1F51" w:rsidP="001B5728">
      <w:pPr>
        <w:pStyle w:val="Prrafodelista"/>
        <w:spacing w:after="0" w:line="240" w:lineRule="auto"/>
        <w:rPr>
          <w:rFonts w:ascii="Times New Roman" w:hAnsi="Times New Roman"/>
          <w:sz w:val="28"/>
          <w:szCs w:val="28"/>
          <w:lang w:val="es-CO"/>
        </w:rPr>
      </w:pPr>
    </w:p>
    <w:p w14:paraId="5B8188E3"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A partir de este estándar mínimo, </w:t>
      </w:r>
      <w:r w:rsidR="00493184" w:rsidRPr="007F2045">
        <w:rPr>
          <w:rFonts w:ascii="Times New Roman" w:hAnsi="Times New Roman"/>
          <w:sz w:val="28"/>
          <w:szCs w:val="28"/>
          <w:lang w:val="es-CO"/>
        </w:rPr>
        <w:t>que asegura la protección</w:t>
      </w:r>
      <w:r w:rsidRPr="007F2045">
        <w:rPr>
          <w:rFonts w:ascii="Times New Roman" w:hAnsi="Times New Roman"/>
          <w:sz w:val="28"/>
          <w:szCs w:val="28"/>
          <w:lang w:val="es-CO"/>
        </w:rPr>
        <w:t xml:space="preserve"> del Estado de Derecho, la separación de poderes y el principio democrático –ejes de la Carta Política–, la Corte valorará si las circunstancias a partir de las cuales el presidente de la República fundamentó la declaratoria del estado de emergencia económica y social en todo el territorio nacional, mediante el Decreto </w:t>
      </w:r>
      <w:r w:rsidR="00A616D6" w:rsidRPr="007F2045">
        <w:rPr>
          <w:rFonts w:ascii="Times New Roman" w:hAnsi="Times New Roman"/>
          <w:sz w:val="28"/>
          <w:szCs w:val="28"/>
          <w:lang w:val="es-CO"/>
        </w:rPr>
        <w:t>1</w:t>
      </w:r>
      <w:r w:rsidRPr="007F2045">
        <w:rPr>
          <w:rFonts w:ascii="Times New Roman" w:hAnsi="Times New Roman"/>
          <w:sz w:val="28"/>
          <w:szCs w:val="28"/>
          <w:lang w:val="es-CO"/>
        </w:rPr>
        <w:t>390 de 2025, se satisface.</w:t>
      </w:r>
    </w:p>
    <w:p w14:paraId="136D40FD" w14:textId="77777777" w:rsidR="000E1F51" w:rsidRPr="007F2045" w:rsidRDefault="000E1F51" w:rsidP="001B5728">
      <w:pPr>
        <w:pStyle w:val="Prrafodelista"/>
        <w:tabs>
          <w:tab w:val="left" w:pos="284"/>
          <w:tab w:val="left" w:pos="426"/>
        </w:tabs>
        <w:spacing w:after="0" w:line="240" w:lineRule="auto"/>
        <w:ind w:left="0"/>
        <w:rPr>
          <w:rFonts w:ascii="Times New Roman" w:hAnsi="Times New Roman"/>
          <w:sz w:val="28"/>
          <w:szCs w:val="28"/>
          <w:shd w:val="clear" w:color="auto" w:fill="FFFFFF"/>
          <w:lang w:val="es-CO"/>
        </w:rPr>
      </w:pPr>
    </w:p>
    <w:p w14:paraId="6162D930" w14:textId="77777777" w:rsidR="000E1F51" w:rsidRPr="007F2045" w:rsidRDefault="000E1F51" w:rsidP="001B5728">
      <w:pPr>
        <w:pStyle w:val="Ttulo2"/>
        <w:numPr>
          <w:ilvl w:val="0"/>
          <w:numId w:val="8"/>
        </w:numPr>
        <w:ind w:left="1134" w:hanging="425"/>
        <w:rPr>
          <w:b w:val="0"/>
          <w:szCs w:val="28"/>
          <w:lang w:val="es-CO"/>
        </w:rPr>
      </w:pPr>
      <w:r w:rsidRPr="007F2045">
        <w:rPr>
          <w:szCs w:val="28"/>
          <w:lang w:val="es-CO"/>
        </w:rPr>
        <w:t xml:space="preserve">El Decreto 1390 de 2025 es </w:t>
      </w:r>
      <w:r w:rsidRPr="007F2045">
        <w:rPr>
          <w:i/>
          <w:iCs/>
          <w:szCs w:val="28"/>
          <w:lang w:val="es-CO"/>
        </w:rPr>
        <w:t>prima facie</w:t>
      </w:r>
      <w:r w:rsidRPr="007F2045">
        <w:rPr>
          <w:szCs w:val="28"/>
          <w:lang w:val="es-CO"/>
        </w:rPr>
        <w:t xml:space="preserve">, abierta o manifiestamente inconstitucional, debido a que de </w:t>
      </w:r>
      <w:r w:rsidRPr="007F2045">
        <w:rPr>
          <w:kern w:val="0"/>
          <w:szCs w:val="28"/>
          <w:lang w:val="es-CO"/>
        </w:rPr>
        <w:t>las consideraciones del decreto y de los anexos remitidos por el Gobierno</w:t>
      </w:r>
      <w:r w:rsidR="00493184" w:rsidRPr="007F2045">
        <w:rPr>
          <w:kern w:val="0"/>
          <w:szCs w:val="28"/>
          <w:lang w:val="es-CO"/>
        </w:rPr>
        <w:t xml:space="preserve"> surgen ser</w:t>
      </w:r>
      <w:r w:rsidR="00AF3356" w:rsidRPr="007F2045">
        <w:rPr>
          <w:kern w:val="0"/>
          <w:szCs w:val="28"/>
          <w:lang w:val="es-CO"/>
        </w:rPr>
        <w:t>i</w:t>
      </w:r>
      <w:r w:rsidR="00493184" w:rsidRPr="007F2045">
        <w:rPr>
          <w:kern w:val="0"/>
          <w:szCs w:val="28"/>
          <w:lang w:val="es-CO"/>
        </w:rPr>
        <w:t>as dudas sobre el cumplimiento de los requisitos establecidos en el artículo 215 de la Constitución</w:t>
      </w:r>
    </w:p>
    <w:p w14:paraId="2832F7E1" w14:textId="77777777" w:rsidR="000E1F51" w:rsidRPr="007F2045" w:rsidRDefault="000E1F51" w:rsidP="001B5728">
      <w:pPr>
        <w:pStyle w:val="Prrafodelista"/>
        <w:tabs>
          <w:tab w:val="left" w:pos="284"/>
          <w:tab w:val="left" w:pos="426"/>
        </w:tabs>
        <w:spacing w:after="0" w:line="240" w:lineRule="auto"/>
        <w:ind w:left="0"/>
        <w:rPr>
          <w:rFonts w:ascii="Times New Roman" w:hAnsi="Times New Roman"/>
          <w:sz w:val="28"/>
          <w:szCs w:val="28"/>
          <w:lang w:val="es-CO"/>
        </w:rPr>
      </w:pPr>
    </w:p>
    <w:p w14:paraId="465C4CBA" w14:textId="77777777" w:rsidR="000E1F51" w:rsidRPr="007F2045" w:rsidRDefault="00B54A9F"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 </w:t>
      </w:r>
      <w:r w:rsidR="003F0B84" w:rsidRPr="007F2045">
        <w:rPr>
          <w:rFonts w:ascii="Times New Roman" w:hAnsi="Times New Roman"/>
          <w:sz w:val="28"/>
          <w:szCs w:val="28"/>
          <w:lang w:val="es-CO"/>
        </w:rPr>
        <w:t>L</w:t>
      </w:r>
      <w:r w:rsidRPr="007F2045">
        <w:rPr>
          <w:rFonts w:ascii="Times New Roman" w:hAnsi="Times New Roman"/>
          <w:sz w:val="28"/>
          <w:szCs w:val="28"/>
          <w:lang w:val="es-CO"/>
        </w:rPr>
        <w:t>a</w:t>
      </w:r>
      <w:r w:rsidR="000E1F51" w:rsidRPr="007F2045">
        <w:rPr>
          <w:rFonts w:ascii="Times New Roman" w:hAnsi="Times New Roman"/>
          <w:sz w:val="28"/>
          <w:szCs w:val="28"/>
          <w:lang w:val="es-CO"/>
        </w:rPr>
        <w:t xml:space="preserve"> Corte </w:t>
      </w:r>
      <w:r w:rsidR="003F0B84" w:rsidRPr="007F2045">
        <w:rPr>
          <w:rFonts w:ascii="Times New Roman" w:hAnsi="Times New Roman"/>
          <w:sz w:val="28"/>
          <w:szCs w:val="28"/>
          <w:lang w:val="es-CO"/>
        </w:rPr>
        <w:t xml:space="preserve">encuentra </w:t>
      </w:r>
      <w:r w:rsidRPr="007F2045">
        <w:rPr>
          <w:rFonts w:ascii="Times New Roman" w:hAnsi="Times New Roman"/>
          <w:sz w:val="28"/>
          <w:szCs w:val="28"/>
          <w:lang w:val="es-CO"/>
        </w:rPr>
        <w:t>que</w:t>
      </w:r>
      <w:r w:rsidR="00621088" w:rsidRPr="007F2045">
        <w:rPr>
          <w:rFonts w:ascii="Times New Roman" w:hAnsi="Times New Roman"/>
          <w:sz w:val="28"/>
          <w:szCs w:val="28"/>
          <w:lang w:val="es-CO"/>
        </w:rPr>
        <w:t>,</w:t>
      </w:r>
      <w:r w:rsidRPr="007F2045">
        <w:rPr>
          <w:rFonts w:ascii="Times New Roman" w:hAnsi="Times New Roman"/>
          <w:sz w:val="28"/>
          <w:szCs w:val="28"/>
          <w:lang w:val="es-CO"/>
        </w:rPr>
        <w:t xml:space="preserve"> </w:t>
      </w:r>
      <w:r w:rsidR="003F0B84" w:rsidRPr="007F2045">
        <w:rPr>
          <w:rFonts w:ascii="Times New Roman" w:hAnsi="Times New Roman"/>
          <w:sz w:val="28"/>
          <w:szCs w:val="28"/>
          <w:lang w:val="es-CO"/>
        </w:rPr>
        <w:t>a partir de</w:t>
      </w:r>
      <w:r w:rsidR="00AC6216" w:rsidRPr="007F2045">
        <w:rPr>
          <w:rFonts w:ascii="Times New Roman" w:hAnsi="Times New Roman"/>
          <w:sz w:val="28"/>
          <w:szCs w:val="28"/>
          <w:lang w:val="es-CO"/>
        </w:rPr>
        <w:t xml:space="preserve"> </w:t>
      </w:r>
      <w:r w:rsidRPr="007F2045">
        <w:rPr>
          <w:rFonts w:ascii="Times New Roman" w:hAnsi="Times New Roman"/>
          <w:sz w:val="28"/>
          <w:szCs w:val="28"/>
          <w:lang w:val="es-CO"/>
        </w:rPr>
        <w:t>la información disponible en el expediente</w:t>
      </w:r>
      <w:r w:rsidR="00621088" w:rsidRPr="007F2045">
        <w:rPr>
          <w:rFonts w:ascii="Times New Roman" w:hAnsi="Times New Roman"/>
          <w:sz w:val="28"/>
          <w:szCs w:val="28"/>
          <w:lang w:val="es-CO"/>
        </w:rPr>
        <w:t>,</w:t>
      </w:r>
      <w:r w:rsidRPr="007F2045">
        <w:rPr>
          <w:rFonts w:ascii="Times New Roman" w:hAnsi="Times New Roman"/>
          <w:sz w:val="28"/>
          <w:szCs w:val="28"/>
          <w:lang w:val="es-CO"/>
        </w:rPr>
        <w:t xml:space="preserve"> </w:t>
      </w:r>
      <w:r w:rsidR="00493184" w:rsidRPr="007F2045">
        <w:rPr>
          <w:rFonts w:ascii="Times New Roman" w:hAnsi="Times New Roman"/>
          <w:sz w:val="28"/>
          <w:szCs w:val="28"/>
          <w:lang w:val="es-CO"/>
        </w:rPr>
        <w:t xml:space="preserve">existen serias dudas </w:t>
      </w:r>
      <w:r w:rsidR="00DA5B64" w:rsidRPr="007F2045">
        <w:rPr>
          <w:rFonts w:ascii="Times New Roman" w:hAnsi="Times New Roman"/>
          <w:sz w:val="28"/>
          <w:szCs w:val="28"/>
          <w:lang w:val="es-CO"/>
        </w:rPr>
        <w:t xml:space="preserve">sobre </w:t>
      </w:r>
      <w:r w:rsidR="000E1F51" w:rsidRPr="007F2045">
        <w:rPr>
          <w:rFonts w:ascii="Times New Roman" w:hAnsi="Times New Roman"/>
          <w:sz w:val="28"/>
          <w:szCs w:val="28"/>
          <w:lang w:val="es-CO"/>
        </w:rPr>
        <w:t xml:space="preserve">el carácter extraordinario y sobreviniente de los hechos invocados en el Decreto 1390 de 2025. Igualmente, uno de tales hechos no </w:t>
      </w:r>
      <w:r w:rsidR="000E1F51" w:rsidRPr="007F2045">
        <w:rPr>
          <w:rFonts w:ascii="Times New Roman" w:hAnsi="Times New Roman"/>
          <w:sz w:val="28"/>
          <w:szCs w:val="28"/>
          <w:shd w:val="clear" w:color="auto" w:fill="FFFFFF"/>
          <w:lang w:val="es-CO"/>
        </w:rPr>
        <w:t>encuadra en el supuesto de excepción regulado por el artículo 215 de la Constitución.</w:t>
      </w:r>
    </w:p>
    <w:p w14:paraId="5DF85B2D" w14:textId="77777777" w:rsidR="000E1F51" w:rsidRPr="007F2045" w:rsidRDefault="000E1F51" w:rsidP="001B5728">
      <w:pPr>
        <w:pStyle w:val="Prrafodelista"/>
        <w:tabs>
          <w:tab w:val="left" w:pos="284"/>
          <w:tab w:val="left" w:pos="426"/>
          <w:tab w:val="left" w:pos="851"/>
        </w:tabs>
        <w:spacing w:after="0" w:line="240" w:lineRule="auto"/>
        <w:ind w:left="0"/>
        <w:rPr>
          <w:rFonts w:ascii="Times New Roman" w:hAnsi="Times New Roman"/>
          <w:sz w:val="28"/>
          <w:szCs w:val="28"/>
          <w:lang w:val="es-CO"/>
        </w:rPr>
      </w:pPr>
    </w:p>
    <w:p w14:paraId="1BCEC4DC"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Un primer grupo de consideraciones se asientan en la invocación de tres hechos </w:t>
      </w:r>
      <w:r w:rsidRPr="007F2045">
        <w:rPr>
          <w:rFonts w:ascii="Times New Roman" w:hAnsi="Times New Roman"/>
          <w:b/>
          <w:sz w:val="28"/>
          <w:szCs w:val="28"/>
          <w:lang w:val="es-CO"/>
        </w:rPr>
        <w:t>(tercero, séptimo y octavo)</w:t>
      </w:r>
      <w:r w:rsidRPr="007F2045">
        <w:rPr>
          <w:rFonts w:ascii="Times New Roman" w:hAnsi="Times New Roman"/>
          <w:sz w:val="28"/>
          <w:szCs w:val="28"/>
          <w:lang w:val="es-CO"/>
        </w:rPr>
        <w:t xml:space="preserve"> que se encuentran estrechamente relacionados. Ellos se refieren, con diferentes énfasis, a la existencia de dificultades fiscales excepcionales derivadas de la no aprobación de la ley de financiamiento por parte del Congreso de la República.   </w:t>
      </w:r>
    </w:p>
    <w:p w14:paraId="6662FAE5" w14:textId="77777777" w:rsidR="000E1F51" w:rsidRPr="007F2045" w:rsidRDefault="000E1F51" w:rsidP="001B5728">
      <w:pPr>
        <w:widowControl w:val="0"/>
        <w:spacing w:after="0" w:line="240" w:lineRule="auto"/>
        <w:contextualSpacing/>
        <w:rPr>
          <w:rFonts w:ascii="Times New Roman" w:eastAsia="Times New Roman" w:hAnsi="Times New Roman"/>
          <w:sz w:val="28"/>
          <w:szCs w:val="28"/>
          <w:lang w:val="es-CO"/>
        </w:rPr>
      </w:pPr>
      <w:r w:rsidRPr="007F2045">
        <w:rPr>
          <w:rFonts w:ascii="Times New Roman" w:hAnsi="Times New Roman"/>
          <w:bCs/>
          <w:sz w:val="28"/>
          <w:szCs w:val="28"/>
          <w:lang w:val="es-CO"/>
        </w:rPr>
        <w:t xml:space="preserve"> </w:t>
      </w:r>
    </w:p>
    <w:p w14:paraId="7E400E43"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Según el Decreto 1390 de 2025</w:t>
      </w:r>
      <w:r w:rsidR="00114A86" w:rsidRPr="007F2045">
        <w:rPr>
          <w:rFonts w:ascii="Times New Roman" w:hAnsi="Times New Roman"/>
          <w:sz w:val="28"/>
          <w:szCs w:val="28"/>
          <w:lang w:val="es-CO"/>
        </w:rPr>
        <w:t>,</w:t>
      </w:r>
      <w:r w:rsidRPr="007F2045">
        <w:rPr>
          <w:rFonts w:ascii="Times New Roman" w:hAnsi="Times New Roman"/>
          <w:sz w:val="28"/>
          <w:szCs w:val="28"/>
          <w:lang w:val="es-CO"/>
        </w:rPr>
        <w:t xml:space="preserve"> la declaratoria del estado de excepción se sustenta principalmente en la “coyuntura fiscal excepcional agudizada por hechos concurrentes y sensibles socialmente”. Con base en ello, indica que el Gobierno nacional</w:t>
      </w:r>
      <w:r w:rsidR="003C33E8" w:rsidRPr="007F2045">
        <w:rPr>
          <w:rFonts w:ascii="Times New Roman" w:hAnsi="Times New Roman"/>
          <w:sz w:val="28"/>
          <w:szCs w:val="28"/>
          <w:lang w:val="es-CO"/>
        </w:rPr>
        <w:t xml:space="preserve"> </w:t>
      </w:r>
      <w:r w:rsidRPr="007F2045">
        <w:rPr>
          <w:rFonts w:ascii="Times New Roman" w:hAnsi="Times New Roman"/>
          <w:sz w:val="28"/>
          <w:szCs w:val="28"/>
          <w:lang w:val="es-CO"/>
        </w:rPr>
        <w:t xml:space="preserve">presentó a consideración del Congreso de la República proyectos de ley que atendían a las necesidades de la Nación y al Marco Fiscal de Mediano Plazo del año 2025 y, sin embargo, dicha corporación los rechazó. </w:t>
      </w:r>
      <w:r w:rsidRPr="007F2045">
        <w:rPr>
          <w:rFonts w:ascii="Times New Roman" w:eastAsia="Times New Roman" w:hAnsi="Times New Roman"/>
          <w:sz w:val="28"/>
          <w:szCs w:val="28"/>
          <w:lang w:val="es-CO"/>
        </w:rPr>
        <w:t xml:space="preserve">De acuerdo con sus motivaciones, dos proyectos de financiamiento que el Gobierno </w:t>
      </w:r>
      <w:r w:rsidR="00094739" w:rsidRPr="007F2045">
        <w:rPr>
          <w:rFonts w:ascii="Times New Roman" w:eastAsia="Times New Roman" w:hAnsi="Times New Roman"/>
          <w:sz w:val="28"/>
          <w:szCs w:val="28"/>
          <w:lang w:val="es-CO"/>
        </w:rPr>
        <w:t>n</w:t>
      </w:r>
      <w:r w:rsidRPr="007F2045">
        <w:rPr>
          <w:rFonts w:ascii="Times New Roman" w:eastAsia="Times New Roman" w:hAnsi="Times New Roman"/>
          <w:sz w:val="28"/>
          <w:szCs w:val="28"/>
          <w:lang w:val="es-CO"/>
        </w:rPr>
        <w:t xml:space="preserve">acional habían propuesto al Congreso fueron archivados, “mientras que las obligaciones son exigibles de manera inmediata”. </w:t>
      </w:r>
    </w:p>
    <w:p w14:paraId="7A700FD4" w14:textId="77777777" w:rsidR="000E1F51" w:rsidRPr="007F2045" w:rsidRDefault="000E1F51" w:rsidP="001B5728">
      <w:pPr>
        <w:pStyle w:val="Prrafodelista"/>
        <w:spacing w:after="0" w:line="240" w:lineRule="auto"/>
        <w:rPr>
          <w:rFonts w:ascii="Times New Roman" w:eastAsia="Times New Roman" w:hAnsi="Times New Roman"/>
          <w:sz w:val="28"/>
          <w:szCs w:val="28"/>
          <w:lang w:val="es-CO"/>
        </w:rPr>
      </w:pPr>
    </w:p>
    <w:p w14:paraId="381C4302"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eastAsia="Times New Roman" w:hAnsi="Times New Roman"/>
          <w:sz w:val="28"/>
          <w:szCs w:val="28"/>
          <w:lang w:val="es-CO"/>
        </w:rPr>
        <w:t xml:space="preserve">Para la Sala, no existe evidencia </w:t>
      </w:r>
      <w:r w:rsidR="00493184" w:rsidRPr="007F2045">
        <w:rPr>
          <w:rFonts w:ascii="Times New Roman" w:eastAsia="Times New Roman" w:hAnsi="Times New Roman"/>
          <w:sz w:val="28"/>
          <w:szCs w:val="28"/>
          <w:lang w:val="es-CO"/>
        </w:rPr>
        <w:t xml:space="preserve">alguna </w:t>
      </w:r>
      <w:r w:rsidRPr="007F2045">
        <w:rPr>
          <w:rFonts w:ascii="Times New Roman" w:eastAsia="Times New Roman" w:hAnsi="Times New Roman"/>
          <w:sz w:val="28"/>
          <w:szCs w:val="28"/>
          <w:lang w:val="es-CO"/>
        </w:rPr>
        <w:t xml:space="preserve">que permita calificar como sobreviniente o extraordinaria </w:t>
      </w:r>
      <w:r w:rsidRPr="007F2045">
        <w:rPr>
          <w:rFonts w:ascii="Times New Roman" w:hAnsi="Times New Roman"/>
          <w:sz w:val="28"/>
          <w:szCs w:val="28"/>
          <w:lang w:val="es-CO" w:eastAsia="es-MX"/>
        </w:rPr>
        <w:t>la no aprobación (archivo) por parte del Congreso de la República de dos proyectos sucesivos de leyes de financiamiento para las vigencias fiscales 2025 ($12 billones) y 2026 ($16.3 billones).</w:t>
      </w:r>
      <w:r w:rsidRPr="007F2045">
        <w:rPr>
          <w:rFonts w:ascii="Times New Roman" w:hAnsi="Times New Roman"/>
          <w:sz w:val="28"/>
          <w:szCs w:val="28"/>
          <w:lang w:val="es-CO"/>
        </w:rPr>
        <w:t xml:space="preserve"> </w:t>
      </w:r>
      <w:r w:rsidRPr="007F2045">
        <w:rPr>
          <w:rFonts w:ascii="Times New Roman" w:eastAsia="Times New Roman" w:hAnsi="Times New Roman"/>
          <w:sz w:val="28"/>
          <w:szCs w:val="28"/>
          <w:lang w:val="es-CO"/>
        </w:rPr>
        <w:t xml:space="preserve">En efecto, no se ha presentado ningún argumento que permita afirmar que la actuación del Congreso, en ejercicio de sus atribuciones constitucionales, constituya un hecho sobreviniente o extraordinarios. La democracia representativa en el contexto de un sistema presidencialista reconoce la posibilidad de que las iniciativas gubernamentales de gasto y financiación no </w:t>
      </w:r>
      <w:r w:rsidRPr="007F2045">
        <w:rPr>
          <w:rFonts w:ascii="Times New Roman" w:eastAsia="Times New Roman" w:hAnsi="Times New Roman"/>
          <w:sz w:val="28"/>
          <w:szCs w:val="28"/>
          <w:lang w:val="es-CO"/>
        </w:rPr>
        <w:lastRenderedPageBreak/>
        <w:t xml:space="preserve">sean aprobadas en esa instancia de decisión. Se trata de las vicisitudes propias de una forma de gobierno como la establecida en la Constitución de 1991.  </w:t>
      </w:r>
    </w:p>
    <w:p w14:paraId="2F437B78" w14:textId="77777777" w:rsidR="000E1F51" w:rsidRPr="007F2045" w:rsidRDefault="000E1F51" w:rsidP="001B5728">
      <w:pPr>
        <w:pStyle w:val="Prrafodelista"/>
        <w:spacing w:after="0" w:line="240" w:lineRule="auto"/>
        <w:rPr>
          <w:rFonts w:ascii="Times New Roman" w:hAnsi="Times New Roman"/>
          <w:sz w:val="28"/>
          <w:szCs w:val="28"/>
          <w:lang w:val="es-CO"/>
        </w:rPr>
      </w:pPr>
    </w:p>
    <w:p w14:paraId="4AE478F8"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eastAsia="Times New Roman" w:hAnsi="Times New Roman"/>
          <w:sz w:val="28"/>
          <w:szCs w:val="28"/>
          <w:lang w:val="es-CO"/>
        </w:rPr>
        <w:t>El decreto también invoca que</w:t>
      </w:r>
      <w:r w:rsidRPr="007F2045">
        <w:rPr>
          <w:rFonts w:ascii="Times New Roman" w:hAnsi="Times New Roman"/>
          <w:sz w:val="28"/>
          <w:szCs w:val="28"/>
          <w:lang w:val="es-CO"/>
        </w:rPr>
        <w:t xml:space="preserve"> la agudización de la crisis proviene de las restricciones para </w:t>
      </w:r>
      <w:r w:rsidRPr="007F2045">
        <w:rPr>
          <w:rFonts w:ascii="Times New Roman" w:hAnsi="Times New Roman"/>
          <w:sz w:val="28"/>
          <w:szCs w:val="28"/>
          <w:lang w:val="es-CO" w:eastAsia="es-MX"/>
        </w:rPr>
        <w:t>asumir</w:t>
      </w:r>
      <w:r w:rsidRPr="007F2045">
        <w:rPr>
          <w:rFonts w:ascii="Times New Roman" w:hAnsi="Times New Roman"/>
          <w:sz w:val="28"/>
          <w:szCs w:val="28"/>
          <w:lang w:val="es-CO"/>
        </w:rPr>
        <w:t xml:space="preserve"> nueva deuda: </w:t>
      </w:r>
      <w:r w:rsidRPr="007F2045">
        <w:rPr>
          <w:rFonts w:ascii="Times New Roman" w:hAnsi="Times New Roman"/>
          <w:i/>
          <w:iCs/>
          <w:sz w:val="28"/>
          <w:szCs w:val="28"/>
          <w:lang w:val="es-CO"/>
        </w:rPr>
        <w:t>(i)</w:t>
      </w:r>
      <w:r w:rsidRPr="007F2045">
        <w:rPr>
          <w:rFonts w:ascii="Times New Roman" w:hAnsi="Times New Roman"/>
          <w:sz w:val="28"/>
          <w:szCs w:val="28"/>
          <w:lang w:val="es-CO"/>
        </w:rPr>
        <w:t xml:space="preserve"> la Regla Fiscal prevista en la Ley 1437 de 2011, que fija un límite y un ancla de endeudamiento ligados al Producto Interno Bruto (PIB) y establece unas restricciones asociadas al balance primario para lograr la sostenibilidad fiscal; </w:t>
      </w:r>
      <w:r w:rsidRPr="007F2045">
        <w:rPr>
          <w:rFonts w:ascii="Times New Roman" w:hAnsi="Times New Roman"/>
          <w:i/>
          <w:iCs/>
          <w:sz w:val="28"/>
          <w:szCs w:val="28"/>
          <w:lang w:val="es-CO"/>
        </w:rPr>
        <w:t>(</w:t>
      </w:r>
      <w:proofErr w:type="spellStart"/>
      <w:r w:rsidRPr="007F2045">
        <w:rPr>
          <w:rFonts w:ascii="Times New Roman" w:hAnsi="Times New Roman"/>
          <w:i/>
          <w:iCs/>
          <w:sz w:val="28"/>
          <w:szCs w:val="28"/>
          <w:lang w:val="es-CO"/>
        </w:rPr>
        <w:t>ii</w:t>
      </w:r>
      <w:proofErr w:type="spellEnd"/>
      <w:r w:rsidRPr="007F2045">
        <w:rPr>
          <w:rFonts w:ascii="Times New Roman" w:hAnsi="Times New Roman"/>
          <w:i/>
          <w:iCs/>
          <w:sz w:val="28"/>
          <w:szCs w:val="28"/>
          <w:lang w:val="es-CO"/>
        </w:rPr>
        <w:t>)</w:t>
      </w:r>
      <w:r w:rsidRPr="007F2045">
        <w:rPr>
          <w:rFonts w:ascii="Times New Roman" w:hAnsi="Times New Roman"/>
          <w:sz w:val="28"/>
          <w:szCs w:val="28"/>
          <w:lang w:val="es-CO"/>
        </w:rPr>
        <w:t xml:space="preserve"> la exigencia de cláusulas contractuales restrictivas adicionales con respecto al endeudamiento, propiciadas por las medidas unilaterales del gobierno de los Estados Unidos de América; y </w:t>
      </w:r>
      <w:r w:rsidRPr="007F2045">
        <w:rPr>
          <w:rFonts w:ascii="Times New Roman" w:hAnsi="Times New Roman"/>
          <w:i/>
          <w:iCs/>
          <w:sz w:val="28"/>
          <w:szCs w:val="28"/>
          <w:lang w:val="es-CO"/>
        </w:rPr>
        <w:t>(</w:t>
      </w:r>
      <w:proofErr w:type="spellStart"/>
      <w:r w:rsidRPr="007F2045">
        <w:rPr>
          <w:rFonts w:ascii="Times New Roman" w:hAnsi="Times New Roman"/>
          <w:i/>
          <w:iCs/>
          <w:sz w:val="28"/>
          <w:szCs w:val="28"/>
          <w:lang w:val="es-CO"/>
        </w:rPr>
        <w:t>iii</w:t>
      </w:r>
      <w:proofErr w:type="spellEnd"/>
      <w:r w:rsidRPr="007F2045">
        <w:rPr>
          <w:rFonts w:ascii="Times New Roman" w:hAnsi="Times New Roman"/>
          <w:i/>
          <w:iCs/>
          <w:sz w:val="28"/>
          <w:szCs w:val="28"/>
          <w:lang w:val="es-CO"/>
        </w:rPr>
        <w:t>)</w:t>
      </w:r>
      <w:r w:rsidRPr="007F2045">
        <w:rPr>
          <w:rFonts w:ascii="Times New Roman" w:hAnsi="Times New Roman"/>
          <w:sz w:val="28"/>
          <w:szCs w:val="28"/>
          <w:lang w:val="es-CO"/>
        </w:rPr>
        <w:t xml:space="preserve"> el techo presupuestal para el endeudamiento público establecido en la ley anual de presupuesto para la vigencia fiscal 2026, que tuvo en cuenta $16,3 billones de ingresos corrientes que se encontraban previstos en el proyecto de ley de financiamiento </w:t>
      </w:r>
      <w:r w:rsidRPr="007F2045">
        <w:rPr>
          <w:rFonts w:ascii="Times New Roman" w:eastAsia="Times New Roman" w:hAnsi="Times New Roman"/>
          <w:b/>
          <w:sz w:val="28"/>
          <w:szCs w:val="28"/>
          <w:lang w:val="es-CO"/>
        </w:rPr>
        <w:t>(hecho séptimo)</w:t>
      </w:r>
      <w:r w:rsidRPr="007F2045">
        <w:rPr>
          <w:rFonts w:ascii="Times New Roman" w:hAnsi="Times New Roman"/>
          <w:sz w:val="28"/>
          <w:szCs w:val="28"/>
          <w:lang w:val="es-CO"/>
        </w:rPr>
        <w:t>.</w:t>
      </w:r>
    </w:p>
    <w:p w14:paraId="3A019BC9" w14:textId="77777777" w:rsidR="000E1F51" w:rsidRPr="007F2045" w:rsidRDefault="000E1F51" w:rsidP="001B5728">
      <w:pPr>
        <w:pStyle w:val="Prrafodelista"/>
        <w:spacing w:after="0" w:line="240" w:lineRule="auto"/>
        <w:rPr>
          <w:rFonts w:ascii="Times New Roman" w:hAnsi="Times New Roman"/>
          <w:sz w:val="28"/>
          <w:szCs w:val="28"/>
          <w:lang w:val="es-CO"/>
        </w:rPr>
      </w:pPr>
    </w:p>
    <w:p w14:paraId="6AC231C1"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Ni en las motivaciones del decreto ni en los anexos aportados puede </w:t>
      </w:r>
      <w:r w:rsidRPr="007F2045">
        <w:rPr>
          <w:rFonts w:ascii="Times New Roman" w:hAnsi="Times New Roman"/>
          <w:sz w:val="28"/>
          <w:szCs w:val="28"/>
          <w:lang w:val="es-CO" w:eastAsia="es-MX"/>
        </w:rPr>
        <w:t>encontrarse</w:t>
      </w:r>
      <w:r w:rsidRPr="007F2045">
        <w:rPr>
          <w:rFonts w:ascii="Times New Roman" w:hAnsi="Times New Roman"/>
          <w:sz w:val="28"/>
          <w:szCs w:val="28"/>
          <w:lang w:val="es-CO"/>
        </w:rPr>
        <w:t xml:space="preserve"> evidencia que muestre que las condiciones que limitan los niveles de endeudamiento para garantizar la regla fiscal sean situaciones sobrevinientes, pues se encuentran previstas en el artículo 5 de la Ley 1473 de 2011</w:t>
      </w:r>
      <w:r w:rsidRPr="007F2045">
        <w:rPr>
          <w:rFonts w:ascii="Times New Roman" w:hAnsi="Times New Roman"/>
          <w:szCs w:val="28"/>
          <w:vertAlign w:val="superscript"/>
          <w:lang w:val="es-CO"/>
        </w:rPr>
        <w:footnoteReference w:id="67"/>
      </w:r>
      <w:r w:rsidRPr="007F2045">
        <w:rPr>
          <w:rFonts w:ascii="Times New Roman" w:hAnsi="Times New Roman"/>
          <w:sz w:val="28"/>
          <w:szCs w:val="28"/>
          <w:lang w:val="es-CO"/>
        </w:rPr>
        <w:t>, modificado por el artículo 60 de la Ley 2155 de 2021</w:t>
      </w:r>
      <w:r w:rsidRPr="007F2045">
        <w:rPr>
          <w:rFonts w:ascii="Times New Roman" w:hAnsi="Times New Roman"/>
          <w:szCs w:val="28"/>
          <w:vertAlign w:val="superscript"/>
          <w:lang w:val="es-CO"/>
        </w:rPr>
        <w:footnoteReference w:id="68"/>
      </w:r>
      <w:r w:rsidRPr="007F2045">
        <w:rPr>
          <w:rFonts w:ascii="Times New Roman" w:hAnsi="Times New Roman"/>
          <w:sz w:val="28"/>
          <w:szCs w:val="28"/>
          <w:lang w:val="es-CO"/>
        </w:rPr>
        <w:t>. Lo propio cabe señalar respecto de la volatilidad de las condiciones crediticias debido a coyunturas económicas y políticas, en tanto no existe elemento de juicio alguno que sugiera que ello sea inesperado para el Estado, si se tiene en cuenta no solo el contexto en el que tiene lugar  la financiación internacional, sino también  la existencia de un andamiaje institucional en la Dirección General de Crédito Público y Tesoro Nacional del Ministerio de Hacienda, justamente para evaluar el riesgo y diseñar políticas para su adecuado manejo</w:t>
      </w:r>
      <w:r w:rsidRPr="007F2045">
        <w:rPr>
          <w:rFonts w:ascii="Times New Roman" w:hAnsi="Times New Roman"/>
          <w:szCs w:val="28"/>
          <w:vertAlign w:val="superscript"/>
          <w:lang w:val="es-CO"/>
        </w:rPr>
        <w:footnoteReference w:id="69"/>
      </w:r>
      <w:r w:rsidRPr="007F2045">
        <w:rPr>
          <w:rFonts w:ascii="Times New Roman" w:hAnsi="Times New Roman"/>
          <w:sz w:val="28"/>
          <w:szCs w:val="28"/>
          <w:lang w:val="es-CO"/>
        </w:rPr>
        <w:t>.</w:t>
      </w:r>
    </w:p>
    <w:p w14:paraId="36FB9ABF" w14:textId="77777777" w:rsidR="000E1F51" w:rsidRPr="007F2045" w:rsidRDefault="000E1F51" w:rsidP="001B5728">
      <w:pPr>
        <w:pStyle w:val="Prrafodelista"/>
        <w:spacing w:after="0" w:line="240" w:lineRule="auto"/>
        <w:rPr>
          <w:rFonts w:ascii="Times New Roman" w:hAnsi="Times New Roman"/>
          <w:sz w:val="28"/>
          <w:szCs w:val="28"/>
          <w:lang w:val="es-CO"/>
        </w:rPr>
      </w:pPr>
    </w:p>
    <w:p w14:paraId="6D6C5EDC"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eastAsia="es-MX"/>
        </w:rPr>
        <w:t>Igualmente</w:t>
      </w:r>
      <w:r w:rsidRPr="007F2045">
        <w:rPr>
          <w:rFonts w:ascii="Times New Roman" w:hAnsi="Times New Roman"/>
          <w:sz w:val="28"/>
          <w:szCs w:val="28"/>
          <w:lang w:val="es-CO"/>
        </w:rPr>
        <w:t xml:space="preserve">, no se encuentra evidencia que sugiera que el techo de endeudamiento fijado en la Ley 2559 de 2025, que decretó el Presupuesto de Rentas y Recursos de Capital y la Ley de Apropiaciones para el año 2026, constituya, </w:t>
      </w:r>
      <w:r w:rsidRPr="007F2045">
        <w:rPr>
          <w:rFonts w:ascii="Times New Roman" w:hAnsi="Times New Roman"/>
          <w:i/>
          <w:iCs/>
          <w:sz w:val="28"/>
          <w:szCs w:val="28"/>
          <w:lang w:val="es-CO"/>
        </w:rPr>
        <w:t>prima facie</w:t>
      </w:r>
      <w:r w:rsidRPr="007F2045">
        <w:rPr>
          <w:rFonts w:ascii="Times New Roman" w:hAnsi="Times New Roman"/>
          <w:sz w:val="28"/>
          <w:szCs w:val="28"/>
          <w:lang w:val="es-CO"/>
        </w:rPr>
        <w:t>, un hecho sobreviniente. Ello es así si se considera que la iniciativa había sido aprobada por el Congreso de la República desde el 16 de octubre anterior</w:t>
      </w:r>
      <w:r w:rsidRPr="007F2045">
        <w:rPr>
          <w:rFonts w:ascii="Times New Roman" w:hAnsi="Times New Roman"/>
          <w:szCs w:val="28"/>
          <w:vertAlign w:val="superscript"/>
          <w:lang w:val="es-CO"/>
        </w:rPr>
        <w:footnoteReference w:id="70"/>
      </w:r>
      <w:r w:rsidRPr="007F2045">
        <w:rPr>
          <w:rFonts w:ascii="Times New Roman" w:hAnsi="Times New Roman"/>
          <w:sz w:val="28"/>
          <w:szCs w:val="28"/>
          <w:lang w:val="es-CO"/>
        </w:rPr>
        <w:t xml:space="preserve"> y se trataba de un proyecto de ley que es de iniciativa gubernamental</w:t>
      </w:r>
      <w:r w:rsidRPr="007F2045">
        <w:rPr>
          <w:rFonts w:ascii="Times New Roman" w:hAnsi="Times New Roman"/>
          <w:szCs w:val="28"/>
          <w:vertAlign w:val="superscript"/>
          <w:lang w:val="es-CO"/>
        </w:rPr>
        <w:footnoteReference w:id="71"/>
      </w:r>
      <w:r w:rsidRPr="007F2045">
        <w:rPr>
          <w:rFonts w:ascii="Times New Roman" w:hAnsi="Times New Roman"/>
          <w:sz w:val="28"/>
          <w:szCs w:val="28"/>
          <w:lang w:val="es-CO"/>
        </w:rPr>
        <w:t>, y en cuya elaboración y trámite participa activamente el Gobierno nacional</w:t>
      </w:r>
      <w:r w:rsidRPr="007F2045">
        <w:rPr>
          <w:rFonts w:ascii="Times New Roman" w:hAnsi="Times New Roman"/>
          <w:szCs w:val="28"/>
          <w:vertAlign w:val="superscript"/>
          <w:lang w:val="es-CO"/>
        </w:rPr>
        <w:footnoteReference w:id="72"/>
      </w:r>
      <w:r w:rsidRPr="007F2045">
        <w:rPr>
          <w:rFonts w:ascii="Times New Roman" w:hAnsi="Times New Roman"/>
          <w:sz w:val="28"/>
          <w:szCs w:val="28"/>
          <w:lang w:val="es-CO"/>
        </w:rPr>
        <w:t>.</w:t>
      </w:r>
    </w:p>
    <w:p w14:paraId="71801714" w14:textId="77777777" w:rsidR="000E1F51" w:rsidRPr="007F2045" w:rsidRDefault="000E1F51" w:rsidP="001B5728">
      <w:pPr>
        <w:pStyle w:val="Prrafodelista"/>
        <w:spacing w:after="0" w:line="240" w:lineRule="auto"/>
        <w:rPr>
          <w:rFonts w:ascii="Times New Roman" w:hAnsi="Times New Roman"/>
          <w:sz w:val="28"/>
          <w:szCs w:val="28"/>
          <w:lang w:val="es-CO"/>
        </w:rPr>
      </w:pPr>
    </w:p>
    <w:p w14:paraId="5A024F87"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Según señala el Decreto 1390, la no aprobación del proyecto de ley de financiamiento compromete la sostenibilidad fiscal y, además, incrementa el </w:t>
      </w:r>
      <w:r w:rsidRPr="007F2045">
        <w:rPr>
          <w:rFonts w:ascii="Times New Roman" w:hAnsi="Times New Roman"/>
          <w:sz w:val="28"/>
          <w:szCs w:val="28"/>
          <w:lang w:val="es-CO"/>
        </w:rPr>
        <w:lastRenderedPageBreak/>
        <w:t xml:space="preserve">déficit fiscal y las necesidades de endeudamiento. Advierte, además, que, si se acude a la deuda interna para solventar tales necesidades, ello podría generar un aumento de la tasa de interés real, elevando el costo del capital para el sector privado y generando un efecto de desplazamiento sobre la inversión privada en perjuicio de la sostenibilidad fiscal. Destaca, igualmente, que los déficits primarios generan un aumento sostenido de la razón deuda/PIB, lo que, a su vez, eleva futuras necesidades de financiamiento, disminuye el crecimiento económico, incrementa la vulnerabilidad fiscal y reduce el margen de maniobra de la política económica </w:t>
      </w:r>
      <w:r w:rsidRPr="007F2045">
        <w:rPr>
          <w:rFonts w:ascii="Times New Roman" w:hAnsi="Times New Roman"/>
          <w:b/>
          <w:sz w:val="28"/>
          <w:szCs w:val="28"/>
          <w:lang w:val="es-CO"/>
        </w:rPr>
        <w:t>(hecho octavo)</w:t>
      </w:r>
      <w:r w:rsidRPr="007F2045">
        <w:rPr>
          <w:rFonts w:ascii="Times New Roman" w:hAnsi="Times New Roman"/>
          <w:sz w:val="28"/>
          <w:szCs w:val="28"/>
          <w:lang w:val="es-CO"/>
        </w:rPr>
        <w:t>.</w:t>
      </w:r>
    </w:p>
    <w:p w14:paraId="25B1D239" w14:textId="77777777" w:rsidR="000E1F51" w:rsidRPr="007F2045" w:rsidRDefault="000E1F51" w:rsidP="001B5728">
      <w:pPr>
        <w:pStyle w:val="Prrafodelista"/>
        <w:spacing w:after="0" w:line="240" w:lineRule="auto"/>
        <w:rPr>
          <w:rFonts w:ascii="Times New Roman" w:hAnsi="Times New Roman"/>
          <w:sz w:val="28"/>
          <w:szCs w:val="28"/>
          <w:lang w:val="es-CO"/>
        </w:rPr>
      </w:pPr>
    </w:p>
    <w:p w14:paraId="31DAA8ED"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Para la Sala no existe tampoco evidencia</w:t>
      </w:r>
      <w:r w:rsidR="00493184" w:rsidRPr="007F2045">
        <w:rPr>
          <w:rFonts w:ascii="Times New Roman" w:hAnsi="Times New Roman"/>
          <w:sz w:val="28"/>
          <w:szCs w:val="28"/>
          <w:lang w:val="es-CO"/>
        </w:rPr>
        <w:t xml:space="preserve"> de ninguna naturaleza</w:t>
      </w:r>
      <w:r w:rsidRPr="007F2045">
        <w:rPr>
          <w:rFonts w:ascii="Times New Roman" w:hAnsi="Times New Roman"/>
          <w:sz w:val="28"/>
          <w:szCs w:val="28"/>
          <w:lang w:val="es-CO"/>
        </w:rPr>
        <w:t>, a partir del contenido del decreto y de los anexos aportados, que sugiera que las circunstancias alegadas sean sobrevinientes o extraordinarias. Si, como se vio al examinar el hecho tercero, el archivo de la iniciativa legislativa de financiamiento no es un hecho de tal naturaleza, tampoco lo son, al menos en principio, los posibles efectos que podrían derivarse de dicha situación.</w:t>
      </w:r>
    </w:p>
    <w:p w14:paraId="2C8F6C3B" w14:textId="77777777" w:rsidR="000E1F51" w:rsidRPr="007F2045" w:rsidRDefault="000E1F51" w:rsidP="001B5728">
      <w:pPr>
        <w:pStyle w:val="Prrafodelista"/>
        <w:spacing w:after="0" w:line="240" w:lineRule="auto"/>
        <w:rPr>
          <w:rFonts w:ascii="Times New Roman" w:hAnsi="Times New Roman"/>
          <w:sz w:val="28"/>
          <w:szCs w:val="28"/>
          <w:lang w:val="es-CO"/>
        </w:rPr>
      </w:pPr>
    </w:p>
    <w:p w14:paraId="1537EF00"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Otro grupo de consideraciones del Decreto 1390 de 2025 invocan como hechos sobrevinientes la existencia de obligaciones a cuya financiación se encuentra obligado el Estado </w:t>
      </w:r>
      <w:r w:rsidRPr="007F2045">
        <w:rPr>
          <w:rFonts w:ascii="Times New Roman" w:hAnsi="Times New Roman"/>
          <w:b/>
          <w:bCs/>
          <w:sz w:val="28"/>
          <w:szCs w:val="28"/>
          <w:lang w:val="es-CO"/>
        </w:rPr>
        <w:t>(hechos primero, cuarto, quinto y sexto)</w:t>
      </w:r>
      <w:r w:rsidRPr="007F2045">
        <w:rPr>
          <w:rFonts w:ascii="Times New Roman" w:hAnsi="Times New Roman"/>
          <w:sz w:val="28"/>
          <w:szCs w:val="28"/>
          <w:lang w:val="es-CO"/>
        </w:rPr>
        <w:t>. Para la Sala,</w:t>
      </w:r>
      <w:r w:rsidR="00493184" w:rsidRPr="007F2045">
        <w:rPr>
          <w:rFonts w:ascii="Times New Roman" w:hAnsi="Times New Roman"/>
          <w:sz w:val="28"/>
          <w:szCs w:val="28"/>
          <w:lang w:val="es-CO"/>
        </w:rPr>
        <w:t xml:space="preserve"> la lectura del decreto y de los anexos remitidos suscitan serias dudas </w:t>
      </w:r>
      <w:r w:rsidR="00635B30" w:rsidRPr="007F2045">
        <w:rPr>
          <w:rFonts w:ascii="Times New Roman" w:hAnsi="Times New Roman"/>
          <w:sz w:val="28"/>
          <w:szCs w:val="28"/>
          <w:lang w:val="es-CO"/>
        </w:rPr>
        <w:t>sobre</w:t>
      </w:r>
      <w:r w:rsidR="00737848" w:rsidRPr="007F2045">
        <w:rPr>
          <w:rFonts w:ascii="Times New Roman" w:hAnsi="Times New Roman"/>
          <w:sz w:val="28"/>
          <w:szCs w:val="28"/>
          <w:lang w:val="es-CO"/>
        </w:rPr>
        <w:t xml:space="preserve"> la </w:t>
      </w:r>
      <w:r w:rsidR="003F0B84" w:rsidRPr="007F2045">
        <w:rPr>
          <w:rFonts w:ascii="Times New Roman" w:hAnsi="Times New Roman"/>
          <w:sz w:val="28"/>
          <w:szCs w:val="28"/>
          <w:lang w:val="es-CO"/>
        </w:rPr>
        <w:t xml:space="preserve">posibilidad de </w:t>
      </w:r>
      <w:r w:rsidR="00737848" w:rsidRPr="007F2045">
        <w:rPr>
          <w:rFonts w:ascii="Times New Roman" w:hAnsi="Times New Roman"/>
          <w:sz w:val="28"/>
          <w:szCs w:val="28"/>
          <w:lang w:val="es-CO"/>
        </w:rPr>
        <w:t>califica</w:t>
      </w:r>
      <w:r w:rsidR="003F0B84" w:rsidRPr="007F2045">
        <w:rPr>
          <w:rFonts w:ascii="Times New Roman" w:hAnsi="Times New Roman"/>
          <w:sz w:val="28"/>
          <w:szCs w:val="28"/>
          <w:lang w:val="es-CO"/>
        </w:rPr>
        <w:t>r</w:t>
      </w:r>
      <w:r w:rsidR="00737848" w:rsidRPr="007F2045">
        <w:rPr>
          <w:rFonts w:ascii="Times New Roman" w:hAnsi="Times New Roman"/>
          <w:sz w:val="28"/>
          <w:szCs w:val="28"/>
          <w:lang w:val="es-CO"/>
        </w:rPr>
        <w:t xml:space="preserve"> como circunstancia sobreviniente</w:t>
      </w:r>
      <w:r w:rsidRPr="007F2045">
        <w:rPr>
          <w:rFonts w:ascii="Times New Roman" w:hAnsi="Times New Roman"/>
          <w:sz w:val="28"/>
          <w:szCs w:val="28"/>
          <w:lang w:val="es-CO"/>
        </w:rPr>
        <w:t xml:space="preserve"> </w:t>
      </w:r>
      <w:r w:rsidR="00737848" w:rsidRPr="007F2045">
        <w:rPr>
          <w:rFonts w:ascii="Times New Roman" w:hAnsi="Times New Roman"/>
          <w:sz w:val="28"/>
          <w:szCs w:val="28"/>
          <w:lang w:val="es-CO"/>
        </w:rPr>
        <w:t xml:space="preserve">el surgimiento o incremento </w:t>
      </w:r>
      <w:r w:rsidRPr="007F2045">
        <w:rPr>
          <w:rFonts w:ascii="Times New Roman" w:hAnsi="Times New Roman"/>
          <w:sz w:val="28"/>
          <w:szCs w:val="28"/>
          <w:lang w:val="es-CO"/>
        </w:rPr>
        <w:t xml:space="preserve">de tales obligaciones. Además, respecto de una de las circunstancias invocadas por ese decreto </w:t>
      </w:r>
      <w:r w:rsidRPr="007F2045">
        <w:rPr>
          <w:rFonts w:ascii="Times New Roman" w:hAnsi="Times New Roman"/>
          <w:b/>
          <w:bCs/>
          <w:sz w:val="28"/>
          <w:szCs w:val="28"/>
          <w:lang w:val="es-CO"/>
        </w:rPr>
        <w:t>(hecho segundo)</w:t>
      </w:r>
      <w:r w:rsidRPr="007F2045">
        <w:rPr>
          <w:rFonts w:ascii="Times New Roman" w:hAnsi="Times New Roman"/>
          <w:sz w:val="28"/>
          <w:szCs w:val="28"/>
          <w:lang w:val="es-CO"/>
        </w:rPr>
        <w:t xml:space="preserve"> no existe evidencia que permita encuadrarlo en el supuesto del estado de emergencia.</w:t>
      </w:r>
    </w:p>
    <w:p w14:paraId="1DD88521" w14:textId="77777777" w:rsidR="000E1F51" w:rsidRPr="007F2045" w:rsidRDefault="000E1F51" w:rsidP="001B5728">
      <w:pPr>
        <w:pStyle w:val="Prrafodelista"/>
        <w:spacing w:after="0" w:line="240" w:lineRule="auto"/>
        <w:rPr>
          <w:rFonts w:ascii="Times New Roman" w:hAnsi="Times New Roman"/>
          <w:sz w:val="28"/>
          <w:szCs w:val="28"/>
          <w:lang w:val="es-CO"/>
        </w:rPr>
      </w:pPr>
    </w:p>
    <w:p w14:paraId="16780A53"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bCs/>
          <w:sz w:val="28"/>
          <w:szCs w:val="28"/>
          <w:lang w:val="es-CO"/>
        </w:rPr>
        <w:t xml:space="preserve">El decreto indica, como uno de los hechos justificantes de la </w:t>
      </w:r>
      <w:r w:rsidRPr="007F2045">
        <w:rPr>
          <w:rFonts w:ascii="Times New Roman" w:eastAsia="Times New Roman" w:hAnsi="Times New Roman"/>
          <w:sz w:val="28"/>
          <w:szCs w:val="28"/>
          <w:lang w:val="es-CO"/>
        </w:rPr>
        <w:t xml:space="preserve">declaratoria de </w:t>
      </w:r>
      <w:r w:rsidRPr="007F2045">
        <w:rPr>
          <w:rFonts w:ascii="Times New Roman" w:hAnsi="Times New Roman"/>
          <w:sz w:val="28"/>
          <w:szCs w:val="28"/>
          <w:lang w:val="es-CO"/>
        </w:rPr>
        <w:t>emergencia</w:t>
      </w:r>
      <w:r w:rsidRPr="007F2045">
        <w:rPr>
          <w:rFonts w:ascii="Times New Roman" w:eastAsia="Times New Roman" w:hAnsi="Times New Roman"/>
          <w:sz w:val="28"/>
          <w:szCs w:val="28"/>
          <w:lang w:val="es-CO"/>
        </w:rPr>
        <w:t xml:space="preserve"> la equiparación de la prima pura de la unidad de pago por capitación del régimen subsidiado (UPC-S) al 95% de la prima pura de la unidad de pago por capitación del régimen contributivo (UPC-C), en cumplimiento de varias decisiones de la Corte Constitucional, lo que implicaría necesidades adicionales de financiamiento del orden de 3,3 billones de pesos </w:t>
      </w:r>
      <w:r w:rsidRPr="007F2045">
        <w:rPr>
          <w:rFonts w:ascii="Times New Roman" w:eastAsia="Times New Roman" w:hAnsi="Times New Roman"/>
          <w:b/>
          <w:bCs/>
          <w:sz w:val="28"/>
          <w:szCs w:val="28"/>
          <w:lang w:val="es-CO"/>
        </w:rPr>
        <w:t>(hecho primero)</w:t>
      </w:r>
      <w:r w:rsidRPr="007F2045">
        <w:rPr>
          <w:rFonts w:ascii="Times New Roman" w:eastAsia="Times New Roman" w:hAnsi="Times New Roman"/>
          <w:sz w:val="28"/>
          <w:szCs w:val="28"/>
          <w:lang w:val="es-CO"/>
        </w:rPr>
        <w:t xml:space="preserve">. </w:t>
      </w:r>
    </w:p>
    <w:p w14:paraId="1630C2A2" w14:textId="77777777" w:rsidR="000E1F51" w:rsidRPr="007F2045" w:rsidRDefault="000E1F51" w:rsidP="001B5728">
      <w:pPr>
        <w:pStyle w:val="Prrafodelista"/>
        <w:spacing w:after="0" w:line="240" w:lineRule="auto"/>
        <w:rPr>
          <w:rFonts w:ascii="Times New Roman" w:hAnsi="Times New Roman"/>
          <w:sz w:val="28"/>
          <w:szCs w:val="28"/>
          <w:lang w:val="es-CO"/>
        </w:rPr>
      </w:pPr>
    </w:p>
    <w:p w14:paraId="67A78855"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eastAsia="Times New Roman" w:hAnsi="Times New Roman"/>
          <w:sz w:val="28"/>
          <w:szCs w:val="28"/>
          <w:lang w:val="es-CO"/>
        </w:rPr>
        <w:t>No es posible derivar del decreto ni de los anexos remitidos por el Gobierno que esta circunstancia pueda considerarse sobreviniente. Tres razones justifican esta conclusión. La primera, que la obligación de equiparar la UPC-S al 95% de la UPC-C hace parte de una medida adoptada para remediar una situación de carácter crónico o estructural declarada por la Corte Constitucional en la sentencia T-760 de 2008. Es decir, se trata de un deber normativo de larga data, con un desarrollo legal y jurisprudencial orientado a garantizar su cumplimiento desde el año 2008. Este deber –el de equiparar la UPC de ambos regímenes– halló eco en la Ley 1438 de 2011, en la que se incluyeron disposiciones para establecer la unificación del plan de beneficios para todos los residentes en un marco de sostenibilidad financiera, como, más adelante, se precisó por la Sala de Seguimiento a dicha sentencia, en los autos 261 y 262 de 2012.</w:t>
      </w:r>
    </w:p>
    <w:p w14:paraId="212609A9" w14:textId="77777777" w:rsidR="000E1F51" w:rsidRPr="007F2045" w:rsidRDefault="000E1F51" w:rsidP="001B5728">
      <w:pPr>
        <w:pStyle w:val="Prrafodelista"/>
        <w:spacing w:after="0" w:line="240" w:lineRule="auto"/>
        <w:rPr>
          <w:rFonts w:ascii="Times New Roman" w:hAnsi="Times New Roman"/>
          <w:sz w:val="28"/>
          <w:szCs w:val="28"/>
          <w:lang w:val="es-CO"/>
        </w:rPr>
      </w:pPr>
    </w:p>
    <w:p w14:paraId="4B4D57A2"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eastAsia="Times New Roman" w:hAnsi="Times New Roman"/>
          <w:sz w:val="28"/>
          <w:szCs w:val="28"/>
          <w:lang w:val="es-CO"/>
        </w:rPr>
        <w:t xml:space="preserve">La segunda razón sugiere que la presunta causa de la crisis no es una circunstancia </w:t>
      </w:r>
      <w:r w:rsidRPr="007F2045">
        <w:rPr>
          <w:rFonts w:ascii="Times New Roman" w:eastAsia="Times New Roman" w:hAnsi="Times New Roman"/>
          <w:i/>
          <w:iCs/>
          <w:sz w:val="28"/>
          <w:szCs w:val="28"/>
          <w:lang w:val="es-CO"/>
        </w:rPr>
        <w:t xml:space="preserve">prima facie </w:t>
      </w:r>
      <w:r w:rsidRPr="007F2045">
        <w:rPr>
          <w:rFonts w:ascii="Times New Roman" w:eastAsia="Times New Roman" w:hAnsi="Times New Roman"/>
          <w:sz w:val="28"/>
          <w:szCs w:val="28"/>
          <w:lang w:val="es-CO"/>
        </w:rPr>
        <w:t xml:space="preserve">inesperada, ya que, si bien mediante los autos 261 y 262 de 2012 la Corte Constitucional ordenó “la igualación de la UPC de los regímenes contributivos y subsidiado, hasta tanto no sean allegados los estudios que soporten la distinción advertida en esta providencia y sea valorada su </w:t>
      </w:r>
      <w:r w:rsidRPr="007F2045">
        <w:rPr>
          <w:rFonts w:ascii="Times New Roman" w:eastAsia="Times New Roman" w:hAnsi="Times New Roman"/>
          <w:sz w:val="28"/>
          <w:szCs w:val="28"/>
          <w:lang w:val="es-CO"/>
        </w:rPr>
        <w:lastRenderedPageBreak/>
        <w:t>razonabilidad constitucional por la Corte”, esa  meta del 95% en la equiparación –como lo refiere el auto 411 de 2016–  provino del propio Gobierno. Es decir, el deber surgió de una acción de la autoridad obligada.</w:t>
      </w:r>
    </w:p>
    <w:p w14:paraId="7127C760" w14:textId="77777777" w:rsidR="000E1F51" w:rsidRPr="007F2045" w:rsidRDefault="000E1F51" w:rsidP="001B5728">
      <w:pPr>
        <w:pStyle w:val="Prrafodelista"/>
        <w:spacing w:after="0" w:line="240" w:lineRule="auto"/>
        <w:rPr>
          <w:rFonts w:ascii="Times New Roman" w:hAnsi="Times New Roman"/>
          <w:sz w:val="28"/>
          <w:szCs w:val="28"/>
          <w:lang w:val="es-CO"/>
        </w:rPr>
      </w:pPr>
    </w:p>
    <w:p w14:paraId="1E18B2CD"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eastAsia="Times New Roman" w:hAnsi="Times New Roman"/>
          <w:sz w:val="28"/>
          <w:szCs w:val="28"/>
          <w:lang w:val="es-CO"/>
        </w:rPr>
        <w:t>Finalmente, la situación de incumplimiento del componente de suficiencia de la UPC y la equiparación de la UPC-S al 95% de la UPC-C, que hace parte de las causas que dieron lugar a la crisis estructural del Sistema de Seguridad Social en Salud declarada en la sentencia T-760 de 2008, es una situación que ha persistido desde ese año, cuyo alcance y contenido fue desarrollado en el año 2012. La necesidad de equiparación no surgió, entonces, en los recientes autos de seguimiento expedidos por la Corte Constitucional, en particular, los autos 007 y 2049 de 2025, a los que hizo referencia el presidente de la República, sino que corresponde a una situación advertida desde dicha providencia.</w:t>
      </w:r>
    </w:p>
    <w:p w14:paraId="34901EF1" w14:textId="77777777" w:rsidR="000E1F51" w:rsidRPr="007F2045" w:rsidRDefault="000E1F51" w:rsidP="001B5728">
      <w:pPr>
        <w:widowControl w:val="0"/>
        <w:spacing w:after="0" w:line="240" w:lineRule="auto"/>
        <w:contextualSpacing/>
        <w:rPr>
          <w:rFonts w:ascii="Times New Roman" w:eastAsia="Times New Roman" w:hAnsi="Times New Roman"/>
          <w:sz w:val="28"/>
          <w:szCs w:val="28"/>
          <w:lang w:val="es-CO"/>
        </w:rPr>
      </w:pPr>
    </w:p>
    <w:p w14:paraId="17FFCD6F"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eastAsia="Times New Roman" w:hAnsi="Times New Roman"/>
          <w:sz w:val="28"/>
          <w:szCs w:val="28"/>
          <w:lang w:val="es-CO"/>
        </w:rPr>
      </w:pPr>
      <w:r w:rsidRPr="007F2045">
        <w:rPr>
          <w:rFonts w:ascii="Times New Roman" w:eastAsia="Times New Roman" w:hAnsi="Times New Roman"/>
          <w:sz w:val="28"/>
          <w:szCs w:val="28"/>
          <w:lang w:val="es-CO"/>
        </w:rPr>
        <w:t>El Decreto 1390 advierte, además, que la declaratoria del estado de emergencia encuentra fundamento en los “[d]</w:t>
      </w:r>
      <w:proofErr w:type="spellStart"/>
      <w:r w:rsidRPr="007F2045">
        <w:rPr>
          <w:rFonts w:ascii="Times New Roman" w:eastAsia="Times New Roman" w:hAnsi="Times New Roman"/>
          <w:sz w:val="28"/>
          <w:szCs w:val="28"/>
          <w:lang w:val="es-CO"/>
        </w:rPr>
        <w:t>esastres</w:t>
      </w:r>
      <w:proofErr w:type="spellEnd"/>
      <w:r w:rsidRPr="007F2045">
        <w:rPr>
          <w:rFonts w:ascii="Times New Roman" w:eastAsia="Times New Roman" w:hAnsi="Times New Roman"/>
          <w:sz w:val="28"/>
          <w:szCs w:val="28"/>
          <w:lang w:val="es-CO"/>
        </w:rPr>
        <w:t xml:space="preserve"> naturales causados por la actual ola invernal”. En concreto alude a </w:t>
      </w:r>
      <w:r w:rsidRPr="007F2045">
        <w:rPr>
          <w:rFonts w:ascii="Times New Roman" w:eastAsia="Times New Roman" w:hAnsi="Times New Roman"/>
          <w:i/>
          <w:sz w:val="28"/>
          <w:szCs w:val="28"/>
          <w:lang w:val="es-CO"/>
        </w:rPr>
        <w:t>(i)</w:t>
      </w:r>
      <w:r w:rsidRPr="007F2045">
        <w:rPr>
          <w:rFonts w:ascii="Times New Roman" w:eastAsia="Times New Roman" w:hAnsi="Times New Roman"/>
          <w:sz w:val="28"/>
          <w:szCs w:val="28"/>
          <w:lang w:val="es-CO"/>
        </w:rPr>
        <w:t xml:space="preserve"> la declaratoria de la situación de desastre nacional efectuada mediante el Decreto 1372 del 13 de noviembre de 2024 y </w:t>
      </w:r>
      <w:r w:rsidRPr="007F2045">
        <w:rPr>
          <w:rFonts w:ascii="Times New Roman" w:eastAsia="Times New Roman" w:hAnsi="Times New Roman"/>
          <w:i/>
          <w:sz w:val="28"/>
          <w:szCs w:val="28"/>
          <w:lang w:val="es-CO"/>
        </w:rPr>
        <w:t>(</w:t>
      </w:r>
      <w:proofErr w:type="spellStart"/>
      <w:r w:rsidRPr="007F2045">
        <w:rPr>
          <w:rFonts w:ascii="Times New Roman" w:eastAsia="Times New Roman" w:hAnsi="Times New Roman"/>
          <w:i/>
          <w:sz w:val="28"/>
          <w:szCs w:val="28"/>
          <w:lang w:val="es-CO"/>
        </w:rPr>
        <w:t>ii</w:t>
      </w:r>
      <w:proofErr w:type="spellEnd"/>
      <w:r w:rsidRPr="007F2045">
        <w:rPr>
          <w:rFonts w:ascii="Times New Roman" w:eastAsia="Times New Roman" w:hAnsi="Times New Roman"/>
          <w:i/>
          <w:sz w:val="28"/>
          <w:szCs w:val="28"/>
          <w:lang w:val="es-CO"/>
        </w:rPr>
        <w:t>)</w:t>
      </w:r>
      <w:r w:rsidRPr="007F2045">
        <w:rPr>
          <w:rFonts w:ascii="Times New Roman" w:eastAsia="Times New Roman" w:hAnsi="Times New Roman"/>
          <w:sz w:val="28"/>
          <w:szCs w:val="28"/>
          <w:lang w:val="es-CO"/>
        </w:rPr>
        <w:t xml:space="preserve"> la “actual ola invernal” y el terremoto de Paratebueno, en el departamento de Cundinamarca. Sobre la primera, afirmó que el déficit fiscal y la no aprobación del proyecto de ley de financiamiento para la vigencia fiscal 2025 por 12 billones de pesos, impidieron asignar los recursos económicos solicitados para atender la situación de desastre. Sobre los segundos, indicó que, para atender tales fenómenos naturales, era necesario asignar “$0,5 billones” a la Unidad Nacional para la Gestión del Riesgo de Desastres </w:t>
      </w:r>
      <w:r w:rsidRPr="007F2045">
        <w:rPr>
          <w:rFonts w:ascii="Times New Roman" w:eastAsia="Times New Roman" w:hAnsi="Times New Roman"/>
          <w:b/>
          <w:bCs/>
          <w:sz w:val="28"/>
          <w:szCs w:val="28"/>
          <w:lang w:val="es-CO"/>
        </w:rPr>
        <w:t>(hecho cuarto)</w:t>
      </w:r>
      <w:r w:rsidRPr="007F2045">
        <w:rPr>
          <w:rFonts w:ascii="Times New Roman" w:eastAsia="Times New Roman" w:hAnsi="Times New Roman"/>
          <w:sz w:val="28"/>
          <w:szCs w:val="28"/>
          <w:lang w:val="es-CO"/>
        </w:rPr>
        <w:t>.</w:t>
      </w:r>
    </w:p>
    <w:p w14:paraId="4B78D28C" w14:textId="77777777" w:rsidR="000E1F51" w:rsidRPr="007F2045" w:rsidRDefault="000E1F51" w:rsidP="001B5728">
      <w:pPr>
        <w:pStyle w:val="Prrafodelista"/>
        <w:spacing w:after="0" w:line="240" w:lineRule="auto"/>
        <w:rPr>
          <w:rFonts w:ascii="Times New Roman" w:eastAsia="Times New Roman" w:hAnsi="Times New Roman"/>
          <w:sz w:val="28"/>
          <w:szCs w:val="28"/>
          <w:lang w:val="es-CO"/>
        </w:rPr>
      </w:pPr>
    </w:p>
    <w:p w14:paraId="753219AD"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eastAsia="Times New Roman" w:hAnsi="Times New Roman"/>
          <w:sz w:val="28"/>
          <w:szCs w:val="28"/>
          <w:lang w:val="es-CO"/>
        </w:rPr>
      </w:pPr>
      <w:r w:rsidRPr="007F2045">
        <w:rPr>
          <w:rFonts w:ascii="Times New Roman" w:eastAsia="Times New Roman" w:hAnsi="Times New Roman"/>
          <w:sz w:val="28"/>
          <w:szCs w:val="28"/>
          <w:lang w:val="es-CO"/>
        </w:rPr>
        <w:t xml:space="preserve">Ni la motivación del decreto ni los anexos aportados por el Gobierno nacional permiten identificar </w:t>
      </w:r>
      <w:r w:rsidR="00737848" w:rsidRPr="007F2045">
        <w:rPr>
          <w:rFonts w:ascii="Times New Roman" w:eastAsia="Times New Roman" w:hAnsi="Times New Roman"/>
          <w:sz w:val="28"/>
          <w:szCs w:val="28"/>
          <w:lang w:val="es-CO"/>
        </w:rPr>
        <w:t xml:space="preserve">evidencia alguna </w:t>
      </w:r>
      <w:r w:rsidRPr="007F2045">
        <w:rPr>
          <w:rFonts w:ascii="Times New Roman" w:eastAsia="Times New Roman" w:hAnsi="Times New Roman"/>
          <w:sz w:val="28"/>
          <w:szCs w:val="28"/>
          <w:lang w:val="es-CO"/>
        </w:rPr>
        <w:t>acerca de que las circunstancias alegadas sean sobrevinientes</w:t>
      </w:r>
      <w:r w:rsidRPr="007F2045">
        <w:rPr>
          <w:rFonts w:ascii="Times New Roman" w:eastAsia="Times New Roman" w:hAnsi="Times New Roman"/>
          <w:iCs/>
          <w:sz w:val="28"/>
          <w:szCs w:val="28"/>
          <w:lang w:val="es-CO"/>
        </w:rPr>
        <w:t xml:space="preserve">. </w:t>
      </w:r>
      <w:r w:rsidRPr="007F2045">
        <w:rPr>
          <w:rFonts w:ascii="Times New Roman" w:eastAsia="Times New Roman" w:hAnsi="Times New Roman"/>
          <w:sz w:val="28"/>
          <w:szCs w:val="28"/>
          <w:lang w:val="es-CO"/>
        </w:rPr>
        <w:t xml:space="preserve">En efecto, la variabilidad climática que dio lugar a la declaratoria de la situación de desastre nacional era un fenómeno natural que, según se desprende de las fuentes invocadas en el decreto, fue identificado y valorado por el propio presidente de la República un año antes de la expedición del decreto bajo examen. De hecho, la situación de desastre nacional declarada en el Decreto 1372 de 2024 fue prorrogada por </w:t>
      </w:r>
      <w:r w:rsidR="00737848" w:rsidRPr="007F2045">
        <w:rPr>
          <w:rFonts w:ascii="Times New Roman" w:eastAsia="Times New Roman" w:hAnsi="Times New Roman"/>
          <w:sz w:val="28"/>
          <w:szCs w:val="28"/>
          <w:lang w:val="es-CO"/>
        </w:rPr>
        <w:t xml:space="preserve">doce </w:t>
      </w:r>
      <w:r w:rsidRPr="007F2045">
        <w:rPr>
          <w:rFonts w:ascii="Times New Roman" w:eastAsia="Times New Roman" w:hAnsi="Times New Roman"/>
          <w:sz w:val="28"/>
          <w:szCs w:val="28"/>
          <w:lang w:val="es-CO"/>
        </w:rPr>
        <w:t>meses más, mediante el Decreto 1193 de 2025, debido a que “</w:t>
      </w:r>
      <w:proofErr w:type="spellStart"/>
      <w:r w:rsidRPr="007F2045">
        <w:rPr>
          <w:rFonts w:ascii="Times New Roman" w:eastAsia="Times New Roman" w:hAnsi="Times New Roman"/>
          <w:sz w:val="28"/>
          <w:szCs w:val="28"/>
          <w:lang w:val="es-CO"/>
        </w:rPr>
        <w:t>persist</w:t>
      </w:r>
      <w:proofErr w:type="spellEnd"/>
      <w:r w:rsidRPr="007F2045">
        <w:rPr>
          <w:rFonts w:ascii="Times New Roman" w:eastAsia="Times New Roman" w:hAnsi="Times New Roman"/>
          <w:sz w:val="28"/>
          <w:szCs w:val="28"/>
          <w:lang w:val="es-CO"/>
        </w:rPr>
        <w:t>[</w:t>
      </w:r>
      <w:proofErr w:type="spellStart"/>
      <w:r w:rsidRPr="007F2045">
        <w:rPr>
          <w:rFonts w:ascii="Times New Roman" w:eastAsia="Times New Roman" w:hAnsi="Times New Roman"/>
          <w:sz w:val="28"/>
          <w:szCs w:val="28"/>
          <w:lang w:val="es-CO"/>
        </w:rPr>
        <w:t>ían</w:t>
      </w:r>
      <w:proofErr w:type="spellEnd"/>
      <w:r w:rsidRPr="007F2045">
        <w:rPr>
          <w:rFonts w:ascii="Times New Roman" w:eastAsia="Times New Roman" w:hAnsi="Times New Roman"/>
          <w:sz w:val="28"/>
          <w:szCs w:val="28"/>
          <w:lang w:val="es-CO"/>
        </w:rPr>
        <w:t>]en las condiciones que originaron la declaratoria de desastres realizada por medio del Decreto número 1372 de 13 de noviembre de 2024”.</w:t>
      </w:r>
    </w:p>
    <w:p w14:paraId="1E0FF35E" w14:textId="77777777" w:rsidR="000E1F51" w:rsidRPr="007F2045" w:rsidRDefault="000E1F51" w:rsidP="001B5728">
      <w:pPr>
        <w:pStyle w:val="Prrafodelista"/>
        <w:spacing w:after="0" w:line="240" w:lineRule="auto"/>
        <w:rPr>
          <w:rFonts w:ascii="Times New Roman" w:eastAsia="Times New Roman" w:hAnsi="Times New Roman"/>
          <w:sz w:val="28"/>
          <w:szCs w:val="28"/>
          <w:lang w:val="es-CO"/>
        </w:rPr>
      </w:pPr>
    </w:p>
    <w:p w14:paraId="64F817D1"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eastAsia="Times New Roman" w:hAnsi="Times New Roman"/>
          <w:sz w:val="28"/>
          <w:szCs w:val="28"/>
          <w:lang w:val="es-CO"/>
        </w:rPr>
      </w:pPr>
      <w:r w:rsidRPr="007F2045">
        <w:rPr>
          <w:rFonts w:ascii="Times New Roman" w:eastAsia="Times New Roman" w:hAnsi="Times New Roman"/>
          <w:sz w:val="28"/>
          <w:szCs w:val="28"/>
          <w:lang w:val="es-CO"/>
        </w:rPr>
        <w:t xml:space="preserve">Es importante destacar que las medidas adoptadas en el marco de esa declaratoria incluían garantizar que “en todo momento el Fondo Nacional de Gestión del Riesgo de Desastres cuente con recursos suficientes que permitan asegurar el apoyo a las entidades nacionales y territoriales en sus esfuerzos encaminados a realizar las actividades contempladas en la fase de respuesta y las actividades contempladas en el Plan de Acción Específico para la Recuperación de las zonas afectadas”. Conforme a ello, la necesidad de proveer recursos para responder a la situación de desastre era un asunto previsto y claramente identificado por el Gobierno nacional. </w:t>
      </w:r>
    </w:p>
    <w:p w14:paraId="1CB68F62" w14:textId="77777777" w:rsidR="000E1F51" w:rsidRPr="007F2045" w:rsidRDefault="000E1F51" w:rsidP="001B5728">
      <w:pPr>
        <w:pStyle w:val="Prrafodelista"/>
        <w:spacing w:after="0" w:line="240" w:lineRule="auto"/>
        <w:rPr>
          <w:rFonts w:ascii="Times New Roman" w:eastAsia="Times New Roman" w:hAnsi="Times New Roman"/>
          <w:sz w:val="28"/>
          <w:szCs w:val="28"/>
          <w:lang w:val="es-CO"/>
        </w:rPr>
      </w:pPr>
    </w:p>
    <w:p w14:paraId="22A77001"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eastAsia="Times New Roman" w:hAnsi="Times New Roman"/>
          <w:sz w:val="28"/>
          <w:szCs w:val="28"/>
          <w:lang w:val="es-CO"/>
        </w:rPr>
      </w:pPr>
      <w:r w:rsidRPr="007F2045">
        <w:rPr>
          <w:rFonts w:ascii="Times New Roman" w:eastAsia="Times New Roman" w:hAnsi="Times New Roman"/>
          <w:sz w:val="28"/>
          <w:szCs w:val="28"/>
          <w:lang w:val="es-CO"/>
        </w:rPr>
        <w:t xml:space="preserve">En similar sentido, de lo dispuesto en el decreto se desprende que el terremoto que tuvo como epicentro el municipio de Paratebueno, Cundinamarca, no sobrevino para la época en la que se declaró el estado de emergencia. Debe afirmarse, en adición a lo expuesto, que el proyecto de ley de </w:t>
      </w:r>
      <w:r w:rsidRPr="007F2045">
        <w:rPr>
          <w:rFonts w:ascii="Times New Roman" w:eastAsia="Times New Roman" w:hAnsi="Times New Roman"/>
          <w:sz w:val="28"/>
          <w:szCs w:val="28"/>
          <w:lang w:val="es-CO"/>
        </w:rPr>
        <w:lastRenderedPageBreak/>
        <w:t>financiamiento mediante el cual se pretendía la obtención de recursos para la mitigación y adaptación de los riesgos climáticos fue archivado el 10 de diciembre de 2024, es decir, un año antes de la declaratoria de emergencia económica</w:t>
      </w:r>
      <w:r w:rsidR="007D6BCF" w:rsidRPr="007F2045">
        <w:rPr>
          <w:rFonts w:ascii="Times New Roman" w:eastAsia="Times New Roman" w:hAnsi="Times New Roman"/>
          <w:sz w:val="28"/>
          <w:szCs w:val="28"/>
          <w:lang w:val="es-CO"/>
        </w:rPr>
        <w:t xml:space="preserve"> y social</w:t>
      </w:r>
      <w:r w:rsidRPr="007F2045">
        <w:rPr>
          <w:rFonts w:ascii="Times New Roman" w:eastAsia="Times New Roman" w:hAnsi="Times New Roman"/>
          <w:szCs w:val="28"/>
          <w:vertAlign w:val="superscript"/>
          <w:lang w:val="es-CO"/>
        </w:rPr>
        <w:footnoteReference w:id="73"/>
      </w:r>
      <w:r w:rsidRPr="007F2045">
        <w:rPr>
          <w:rFonts w:ascii="Times New Roman" w:eastAsia="Times New Roman" w:hAnsi="Times New Roman"/>
          <w:sz w:val="28"/>
          <w:szCs w:val="28"/>
          <w:lang w:val="es-CO"/>
        </w:rPr>
        <w:t>. De manera que, al menos en principio, no existen elementos que permitan calificar tal circunstancia como imprevisible, repentina o inesperada.</w:t>
      </w:r>
    </w:p>
    <w:p w14:paraId="0C80A232" w14:textId="77777777" w:rsidR="000E1F51" w:rsidRPr="007F2045" w:rsidRDefault="000E1F51" w:rsidP="001B5728">
      <w:pPr>
        <w:pStyle w:val="Prrafodelista"/>
        <w:tabs>
          <w:tab w:val="left" w:pos="284"/>
          <w:tab w:val="left" w:pos="426"/>
          <w:tab w:val="left" w:pos="1134"/>
          <w:tab w:val="left" w:pos="1418"/>
        </w:tabs>
        <w:spacing w:after="0" w:line="240" w:lineRule="auto"/>
        <w:ind w:left="0"/>
        <w:rPr>
          <w:rFonts w:ascii="Times New Roman" w:eastAsia="Times New Roman" w:hAnsi="Times New Roman"/>
          <w:sz w:val="28"/>
          <w:szCs w:val="28"/>
          <w:lang w:val="es-CO"/>
        </w:rPr>
      </w:pPr>
    </w:p>
    <w:p w14:paraId="3DDB04BF"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eastAsia="Times New Roman" w:hAnsi="Times New Roman"/>
          <w:sz w:val="28"/>
          <w:szCs w:val="28"/>
          <w:lang w:val="es-CO"/>
        </w:rPr>
        <w:t>Al referirse a la existencia de</w:t>
      </w:r>
      <w:r w:rsidRPr="007F2045">
        <w:rPr>
          <w:rFonts w:ascii="Times New Roman" w:hAnsi="Times New Roman"/>
          <w:sz w:val="28"/>
          <w:szCs w:val="28"/>
          <w:lang w:val="es-CO"/>
        </w:rPr>
        <w:t xml:space="preserve"> las sentencias judiciales ejecutoriadas pendientes de pago, </w:t>
      </w:r>
      <w:r w:rsidRPr="007F2045">
        <w:rPr>
          <w:rFonts w:ascii="Times New Roman" w:eastAsia="Times New Roman" w:hAnsi="Times New Roman"/>
          <w:sz w:val="28"/>
          <w:szCs w:val="28"/>
          <w:lang w:val="es-CO"/>
        </w:rPr>
        <w:t>el Gobierno nacional afirmó que “se han emitido múltiples sentencias judiciales contra entidades integrantes del Presupuesto General de la Nación, las cuales están pendientes de pago, y que fueron proferidas con el objeto de restablecer derechos de personas afectadas por la violencia (población civil y militares), por desastres de origen natural, salud, protección de minorías étnicas, entre otros, cuyo monto asciende a $9.9 billones”. Destacó</w:t>
      </w:r>
      <w:r w:rsidR="00991F00" w:rsidRPr="007F2045">
        <w:rPr>
          <w:rFonts w:ascii="Times New Roman" w:eastAsia="Times New Roman" w:hAnsi="Times New Roman"/>
          <w:sz w:val="28"/>
          <w:szCs w:val="28"/>
          <w:lang w:val="es-CO"/>
        </w:rPr>
        <w:t>,</w:t>
      </w:r>
      <w:r w:rsidRPr="007F2045">
        <w:rPr>
          <w:rFonts w:ascii="Times New Roman" w:eastAsia="Times New Roman" w:hAnsi="Times New Roman"/>
          <w:sz w:val="28"/>
          <w:szCs w:val="28"/>
          <w:lang w:val="es-CO"/>
        </w:rPr>
        <w:t xml:space="preserve"> además</w:t>
      </w:r>
      <w:r w:rsidR="00991F00" w:rsidRPr="007F2045">
        <w:rPr>
          <w:rFonts w:ascii="Times New Roman" w:eastAsia="Times New Roman" w:hAnsi="Times New Roman"/>
          <w:sz w:val="28"/>
          <w:szCs w:val="28"/>
          <w:lang w:val="es-CO"/>
        </w:rPr>
        <w:t>,</w:t>
      </w:r>
      <w:r w:rsidRPr="007F2045">
        <w:rPr>
          <w:rFonts w:ascii="Times New Roman" w:eastAsia="Times New Roman" w:hAnsi="Times New Roman"/>
          <w:sz w:val="28"/>
          <w:szCs w:val="28"/>
          <w:lang w:val="es-CO"/>
        </w:rPr>
        <w:t xml:space="preserve"> que “la atención de las obligaciones derivadas del cumplimiento de fallos judiciales no puede ser reducido ni desatendido, toda vez que constituye una obligación constitucional y legal ineludible, derivada del principio de supremacía de la Constitución, del principio de legalidad y del respeto por las decisiones emitidas por los jueces de la República” </w:t>
      </w:r>
      <w:r w:rsidRPr="007F2045">
        <w:rPr>
          <w:rFonts w:ascii="Times New Roman" w:eastAsia="Times New Roman" w:hAnsi="Times New Roman"/>
          <w:b/>
          <w:bCs/>
          <w:sz w:val="28"/>
          <w:szCs w:val="28"/>
          <w:lang w:val="es-CO"/>
        </w:rPr>
        <w:t>(hecho quinto)</w:t>
      </w:r>
      <w:r w:rsidRPr="007F2045">
        <w:rPr>
          <w:rFonts w:ascii="Times New Roman" w:eastAsia="Times New Roman" w:hAnsi="Times New Roman"/>
          <w:sz w:val="28"/>
          <w:szCs w:val="28"/>
          <w:lang w:val="es-CO"/>
        </w:rPr>
        <w:t>.</w:t>
      </w:r>
      <w:r w:rsidRPr="007F2045">
        <w:rPr>
          <w:rFonts w:ascii="Times New Roman" w:eastAsia="Times New Roman" w:hAnsi="Times New Roman"/>
          <w:lang w:val="es-CO"/>
        </w:rPr>
        <w:t xml:space="preserve"> </w:t>
      </w:r>
    </w:p>
    <w:p w14:paraId="1651F027" w14:textId="77777777" w:rsidR="000E1F51" w:rsidRPr="007F2045" w:rsidRDefault="000E1F51" w:rsidP="001B5728">
      <w:pPr>
        <w:pStyle w:val="Prrafodelista"/>
        <w:tabs>
          <w:tab w:val="left" w:pos="284"/>
          <w:tab w:val="left" w:pos="426"/>
          <w:tab w:val="left" w:pos="1134"/>
          <w:tab w:val="left" w:pos="1418"/>
        </w:tabs>
        <w:spacing w:after="0" w:line="240" w:lineRule="auto"/>
        <w:ind w:left="0"/>
        <w:rPr>
          <w:rFonts w:ascii="Times New Roman" w:hAnsi="Times New Roman"/>
          <w:sz w:val="28"/>
          <w:szCs w:val="28"/>
          <w:lang w:val="es-CO"/>
        </w:rPr>
      </w:pPr>
    </w:p>
    <w:p w14:paraId="6076B6B2"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Una vez más, la Corte encuentra que</w:t>
      </w:r>
      <w:r w:rsidR="008746E5" w:rsidRPr="007F2045">
        <w:rPr>
          <w:rFonts w:ascii="Times New Roman" w:hAnsi="Times New Roman"/>
          <w:sz w:val="28"/>
          <w:szCs w:val="28"/>
          <w:lang w:val="es-CO"/>
        </w:rPr>
        <w:t xml:space="preserve"> </w:t>
      </w:r>
      <w:r w:rsidR="00C55F57" w:rsidRPr="007F2045">
        <w:rPr>
          <w:rFonts w:ascii="Times New Roman" w:hAnsi="Times New Roman"/>
          <w:sz w:val="28"/>
          <w:szCs w:val="28"/>
          <w:lang w:val="es-CO"/>
        </w:rPr>
        <w:t xml:space="preserve">actualmente </w:t>
      </w:r>
      <w:r w:rsidR="008746E5" w:rsidRPr="007F2045">
        <w:rPr>
          <w:rFonts w:ascii="Times New Roman" w:hAnsi="Times New Roman"/>
          <w:sz w:val="28"/>
          <w:szCs w:val="28"/>
          <w:lang w:val="es-CO"/>
        </w:rPr>
        <w:t>existen dudas significativas</w:t>
      </w:r>
      <w:r w:rsidRPr="007F2045">
        <w:rPr>
          <w:rFonts w:ascii="Times New Roman" w:hAnsi="Times New Roman"/>
          <w:sz w:val="28"/>
          <w:szCs w:val="28"/>
          <w:lang w:val="es-CO"/>
        </w:rPr>
        <w:t xml:space="preserve"> </w:t>
      </w:r>
      <w:r w:rsidR="00C43C8C" w:rsidRPr="007F2045">
        <w:rPr>
          <w:rFonts w:ascii="Times New Roman" w:hAnsi="Times New Roman"/>
          <w:sz w:val="28"/>
          <w:szCs w:val="28"/>
          <w:lang w:val="es-CO"/>
        </w:rPr>
        <w:t>sobre</w:t>
      </w:r>
      <w:r w:rsidR="008746E5" w:rsidRPr="007F2045">
        <w:rPr>
          <w:rFonts w:ascii="Times New Roman" w:hAnsi="Times New Roman"/>
          <w:sz w:val="28"/>
          <w:szCs w:val="28"/>
          <w:lang w:val="es-CO"/>
        </w:rPr>
        <w:t xml:space="preserve"> que </w:t>
      </w:r>
      <w:r w:rsidRPr="007F2045">
        <w:rPr>
          <w:rFonts w:ascii="Times New Roman" w:eastAsia="Times New Roman" w:hAnsi="Times New Roman"/>
          <w:sz w:val="28"/>
          <w:szCs w:val="28"/>
          <w:lang w:val="es-CO"/>
        </w:rPr>
        <w:t>la</w:t>
      </w:r>
      <w:r w:rsidRPr="007F2045">
        <w:rPr>
          <w:rFonts w:ascii="Times New Roman" w:hAnsi="Times New Roman"/>
          <w:sz w:val="28"/>
          <w:szCs w:val="28"/>
          <w:lang w:val="es-CO"/>
        </w:rPr>
        <w:t xml:space="preserve"> situación alegada constituya un hecho sobreviniente. </w:t>
      </w:r>
      <w:r w:rsidRPr="007F2045">
        <w:rPr>
          <w:rFonts w:ascii="Times New Roman" w:eastAsia="Times New Roman" w:hAnsi="Times New Roman"/>
          <w:sz w:val="28"/>
          <w:szCs w:val="28"/>
          <w:lang w:val="es-CO"/>
        </w:rPr>
        <w:t>En efecto no se presenta ninguna razón que sugiera que las obligaciones adquiridas sean el resultado de eventos repentinos o inesperados. De hecho, las consideraciones del decreto sugieren, que se trata de obligaciones adquiridas anteriormente cuyo pago debe planearse dentro del rubro de deuda pública en el presupuesto general de la Nación. En efecto, existen disposiciones legales y reglamentarias que obligan a las entidades públicas a incluir en sus proyectos de presupuesto apropiaciones para ello</w:t>
      </w:r>
      <w:r w:rsidRPr="007F2045">
        <w:rPr>
          <w:rFonts w:ascii="Times New Roman" w:eastAsia="Times New Roman" w:hAnsi="Times New Roman"/>
          <w:szCs w:val="28"/>
          <w:vertAlign w:val="superscript"/>
          <w:lang w:val="es-CO"/>
        </w:rPr>
        <w:footnoteReference w:id="74"/>
      </w:r>
      <w:r w:rsidRPr="007F2045">
        <w:rPr>
          <w:rFonts w:ascii="Times New Roman" w:eastAsia="Times New Roman" w:hAnsi="Times New Roman"/>
          <w:sz w:val="28"/>
          <w:szCs w:val="28"/>
          <w:lang w:val="es-CO"/>
        </w:rPr>
        <w:t>. Incluso, en lo que parece ser un reconocimiento sobre el carácter no sobreviniente del hecho invocado, el propio decreto afirma que “</w:t>
      </w:r>
      <w:r w:rsidRPr="007F2045">
        <w:rPr>
          <w:rFonts w:ascii="Times New Roman" w:hAnsi="Times New Roman"/>
          <w:color w:val="000000"/>
          <w:sz w:val="28"/>
          <w:szCs w:val="28"/>
          <w:lang w:val="es-CO"/>
        </w:rPr>
        <w:t>el monto de las condenas viene impactando fiscalmente y de manera sostenida el Presupuesto General de la Nación”. </w:t>
      </w:r>
    </w:p>
    <w:p w14:paraId="454BC326" w14:textId="77777777" w:rsidR="000E1F51" w:rsidRPr="007F2045" w:rsidRDefault="000E1F51" w:rsidP="001B5728">
      <w:pPr>
        <w:pStyle w:val="Prrafodelista"/>
        <w:spacing w:after="0" w:line="240" w:lineRule="auto"/>
        <w:rPr>
          <w:rFonts w:ascii="Times New Roman" w:hAnsi="Times New Roman"/>
          <w:sz w:val="28"/>
          <w:szCs w:val="28"/>
          <w:lang w:val="es-CO"/>
        </w:rPr>
      </w:pPr>
    </w:p>
    <w:p w14:paraId="068A65A5"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El Decreto 1390 de 2025 invoca además la existencia de obligaciones de origen legal y contractual pendientes de pago. Indica que “para la vigencia del 2025, quedaron pendientes por pagar $5,1 billones por concepto de subsidios, de los cuales $4.18 billones corresponden a subsidios de energía eléctrica y $935 mil millones a subsidios de gas”. Además, de acuerdo con el decreto analizado, según un informe de septiembre de 2025 del Administrador del Sistema de Intercambios Comerciales y Liquidador de Cuentas, si se acumula el saldo de subsidios de energía para 2025 y 2026, “entre el 39,1% y el 40,7% de la demanda del país [podría verse] afecta</w:t>
      </w:r>
      <w:r w:rsidR="003F0B84" w:rsidRPr="007F2045">
        <w:rPr>
          <w:rFonts w:ascii="Times New Roman" w:hAnsi="Times New Roman"/>
          <w:sz w:val="28"/>
          <w:szCs w:val="28"/>
          <w:lang w:val="es-CO"/>
        </w:rPr>
        <w:t>da</w:t>
      </w:r>
      <w:r w:rsidRPr="007F2045">
        <w:rPr>
          <w:rFonts w:ascii="Times New Roman" w:hAnsi="Times New Roman"/>
          <w:sz w:val="28"/>
          <w:szCs w:val="28"/>
          <w:lang w:val="es-CO"/>
        </w:rPr>
        <w:t xml:space="preserve">”, lo cual “representa un riesgo financiero de alto impacto para el Mercado”. Precisa también que para la región caribe no atender la situación generaría cancelación de contratos, alzas tarifarias, mayor deuda, deterioro de la red, más pérdidas, menor recaudo y una crisis </w:t>
      </w:r>
      <w:r w:rsidRPr="007F2045">
        <w:rPr>
          <w:rFonts w:ascii="Times New Roman" w:eastAsia="Times New Roman" w:hAnsi="Times New Roman"/>
          <w:sz w:val="28"/>
          <w:szCs w:val="28"/>
          <w:lang w:val="es-CO"/>
        </w:rPr>
        <w:t>social</w:t>
      </w:r>
      <w:r w:rsidRPr="007F2045">
        <w:rPr>
          <w:rFonts w:ascii="Times New Roman" w:hAnsi="Times New Roman"/>
          <w:sz w:val="28"/>
          <w:szCs w:val="28"/>
          <w:lang w:val="es-CO"/>
        </w:rPr>
        <w:t xml:space="preserve"> que afectaría a 1,38 millones de usuarios del servicio público de energía. Finalmente, en materia de víctimas, </w:t>
      </w:r>
      <w:r w:rsidR="00136D6B" w:rsidRPr="007F2045">
        <w:rPr>
          <w:rFonts w:ascii="Times New Roman" w:hAnsi="Times New Roman"/>
          <w:sz w:val="28"/>
          <w:szCs w:val="28"/>
          <w:lang w:val="es-CO"/>
        </w:rPr>
        <w:t>señala</w:t>
      </w:r>
      <w:r w:rsidR="00136D6B" w:rsidRPr="007F2045" w:rsidDel="00136D6B">
        <w:rPr>
          <w:rFonts w:ascii="Times New Roman" w:hAnsi="Times New Roman"/>
          <w:sz w:val="28"/>
          <w:szCs w:val="28"/>
          <w:lang w:val="es-CO"/>
        </w:rPr>
        <w:t xml:space="preserve"> </w:t>
      </w:r>
      <w:r w:rsidRPr="007F2045">
        <w:rPr>
          <w:rFonts w:ascii="Times New Roman" w:hAnsi="Times New Roman"/>
          <w:sz w:val="28"/>
          <w:szCs w:val="28"/>
          <w:lang w:val="es-CO"/>
        </w:rPr>
        <w:t xml:space="preserve">que se requiere de </w:t>
      </w:r>
      <w:r w:rsidRPr="007F2045">
        <w:rPr>
          <w:rFonts w:ascii="Times New Roman" w:hAnsi="Times New Roman"/>
          <w:sz w:val="28"/>
          <w:szCs w:val="28"/>
          <w:lang w:val="es-CO"/>
        </w:rPr>
        <w:lastRenderedPageBreak/>
        <w:t xml:space="preserve">inmediato una asignación de $1,6 billones de pesos destinada a indemnizaciones administrativas a las familias víctimas de desplazamiento forzado, el Fondo para la Reparación de las Víctimas y otros gastos de inversión estatal </w:t>
      </w:r>
      <w:r w:rsidRPr="007F2045">
        <w:rPr>
          <w:rFonts w:ascii="Times New Roman" w:hAnsi="Times New Roman"/>
          <w:b/>
          <w:sz w:val="28"/>
          <w:szCs w:val="28"/>
          <w:lang w:val="es-CO"/>
        </w:rPr>
        <w:t>(hecho sexto)</w:t>
      </w:r>
      <w:r w:rsidRPr="007F2045">
        <w:rPr>
          <w:rFonts w:ascii="Times New Roman" w:hAnsi="Times New Roman"/>
          <w:sz w:val="28"/>
          <w:szCs w:val="28"/>
          <w:lang w:val="es-CO"/>
        </w:rPr>
        <w:t>.</w:t>
      </w:r>
    </w:p>
    <w:p w14:paraId="066A2072" w14:textId="77777777" w:rsidR="000E1F51" w:rsidRPr="007F2045" w:rsidRDefault="000E1F51" w:rsidP="001B5728">
      <w:pPr>
        <w:pStyle w:val="Prrafodelista"/>
        <w:tabs>
          <w:tab w:val="left" w:pos="284"/>
          <w:tab w:val="left" w:pos="426"/>
          <w:tab w:val="left" w:pos="1134"/>
          <w:tab w:val="left" w:pos="1418"/>
        </w:tabs>
        <w:spacing w:after="0" w:line="240" w:lineRule="auto"/>
        <w:ind w:left="0"/>
        <w:rPr>
          <w:rFonts w:ascii="Times New Roman" w:hAnsi="Times New Roman"/>
          <w:sz w:val="28"/>
          <w:szCs w:val="28"/>
          <w:lang w:val="es-CO"/>
        </w:rPr>
      </w:pPr>
    </w:p>
    <w:p w14:paraId="306B5D0D"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w:t>
      </w:r>
      <w:r w:rsidRPr="007F2045">
        <w:rPr>
          <w:rFonts w:ascii="Times New Roman" w:eastAsia="Times New Roman" w:hAnsi="Times New Roman"/>
          <w:color w:val="000000"/>
          <w:kern w:val="0"/>
          <w:sz w:val="28"/>
          <w:szCs w:val="28"/>
          <w:lang w:val="es-CO"/>
        </w:rPr>
        <w:t>Para la Corte, no existe evidencia</w:t>
      </w:r>
      <w:r w:rsidR="008746E5" w:rsidRPr="007F2045">
        <w:rPr>
          <w:rFonts w:ascii="Times New Roman" w:eastAsia="Times New Roman" w:hAnsi="Times New Roman"/>
          <w:color w:val="000000"/>
          <w:kern w:val="0"/>
          <w:sz w:val="28"/>
          <w:szCs w:val="28"/>
          <w:lang w:val="es-CO"/>
        </w:rPr>
        <w:t xml:space="preserve"> mínima</w:t>
      </w:r>
      <w:r w:rsidRPr="007F2045">
        <w:rPr>
          <w:rFonts w:ascii="Times New Roman" w:eastAsia="Times New Roman" w:hAnsi="Times New Roman"/>
          <w:color w:val="000000"/>
          <w:kern w:val="0"/>
          <w:sz w:val="28"/>
          <w:szCs w:val="28"/>
          <w:lang w:val="es-CO"/>
        </w:rPr>
        <w:t xml:space="preserve"> que permita calificar como sobreviniente </w:t>
      </w:r>
      <w:r w:rsidRPr="007F2045">
        <w:rPr>
          <w:rFonts w:ascii="Times New Roman" w:hAnsi="Times New Roman"/>
          <w:sz w:val="28"/>
          <w:szCs w:val="28"/>
          <w:lang w:val="es-CO"/>
        </w:rPr>
        <w:t>la</w:t>
      </w:r>
      <w:r w:rsidRPr="007F2045">
        <w:rPr>
          <w:rFonts w:ascii="Times New Roman" w:eastAsia="Times New Roman" w:hAnsi="Times New Roman"/>
          <w:color w:val="000000"/>
          <w:kern w:val="0"/>
          <w:sz w:val="28"/>
          <w:szCs w:val="28"/>
          <w:lang w:val="es-CO"/>
        </w:rPr>
        <w:t xml:space="preserve"> existencia o exigibilidad de obligaciones en mora y las vigencias futuras destinadas al pago de subsidios de los servicios de energía y gas, así como aquellas relativas a la atención de víctimas y a los gastos de inversión social. De una parte, el decreto se refiere a obligaciones contractuales y a obligaciones constitucionales y legales preexistentes y dispuestas en el ordenamiento jurídico que, por lo tanto, pueden considerarse previsibles. En particular, el pago de los subsidios a los que alude el Gobierno nacional tiene sustento en lo señalado en el artículo 368 del Texto Superior. También se deriva de lo dispuesto en las Leyes 142 y 143 de 1994, que regulan un esquema de subsidios para los estratos 1 a 3</w:t>
      </w:r>
      <w:r w:rsidRPr="007F2045">
        <w:rPr>
          <w:rFonts w:ascii="Times New Roman" w:eastAsia="Times New Roman" w:hAnsi="Times New Roman"/>
          <w:b/>
          <w:color w:val="000000"/>
          <w:kern w:val="0"/>
          <w:szCs w:val="28"/>
          <w:vertAlign w:val="superscript"/>
          <w:lang w:val="es-CO"/>
        </w:rPr>
        <w:footnoteReference w:id="75"/>
      </w:r>
      <w:r w:rsidRPr="007F2045">
        <w:rPr>
          <w:rFonts w:ascii="Times New Roman" w:eastAsia="Times New Roman" w:hAnsi="Times New Roman"/>
          <w:color w:val="000000"/>
          <w:kern w:val="0"/>
          <w:sz w:val="28"/>
          <w:szCs w:val="28"/>
          <w:lang w:val="es-CO"/>
        </w:rPr>
        <w:t>, fundado en los principios de solidaridad y redistribución del ingreso</w:t>
      </w:r>
      <w:r w:rsidRPr="007F2045">
        <w:rPr>
          <w:rFonts w:ascii="Times New Roman" w:eastAsia="Times New Roman" w:hAnsi="Times New Roman"/>
          <w:b/>
          <w:color w:val="000000"/>
          <w:kern w:val="0"/>
          <w:szCs w:val="28"/>
          <w:vertAlign w:val="superscript"/>
          <w:lang w:val="es-CO"/>
        </w:rPr>
        <w:footnoteReference w:id="76"/>
      </w:r>
      <w:r w:rsidRPr="007F2045">
        <w:rPr>
          <w:rFonts w:ascii="Times New Roman" w:eastAsia="Times New Roman" w:hAnsi="Times New Roman"/>
          <w:color w:val="000000"/>
          <w:kern w:val="0"/>
          <w:sz w:val="28"/>
          <w:szCs w:val="28"/>
          <w:lang w:val="es-CO"/>
        </w:rPr>
        <w:t>, financiado con aportes de usuarios de mayores ingresos y no residenciales, y cuyo faltante debe ser asumido por el Gobierno nacional</w:t>
      </w:r>
      <w:r w:rsidRPr="007F2045">
        <w:rPr>
          <w:rFonts w:ascii="Times New Roman" w:eastAsia="Times New Roman" w:hAnsi="Times New Roman"/>
          <w:b/>
          <w:color w:val="000000"/>
          <w:kern w:val="0"/>
          <w:szCs w:val="28"/>
          <w:vertAlign w:val="superscript"/>
          <w:lang w:val="es-CO"/>
        </w:rPr>
        <w:footnoteReference w:id="77"/>
      </w:r>
      <w:r w:rsidRPr="007F2045">
        <w:rPr>
          <w:rFonts w:ascii="Times New Roman" w:eastAsia="Times New Roman" w:hAnsi="Times New Roman"/>
          <w:color w:val="000000"/>
          <w:kern w:val="0"/>
          <w:sz w:val="28"/>
          <w:szCs w:val="28"/>
          <w:lang w:val="es-CO"/>
        </w:rPr>
        <w:t>.</w:t>
      </w:r>
      <w:r w:rsidRPr="007F2045">
        <w:rPr>
          <w:rFonts w:eastAsia="Times New Roman"/>
          <w:color w:val="000000"/>
          <w:kern w:val="0"/>
          <w:lang w:val="es-CO"/>
        </w:rPr>
        <w:t xml:space="preserve"> </w:t>
      </w:r>
    </w:p>
    <w:p w14:paraId="21DD98F0" w14:textId="77777777" w:rsidR="000E1F51" w:rsidRPr="007F2045" w:rsidRDefault="000E1F51" w:rsidP="001B5728">
      <w:pPr>
        <w:pStyle w:val="Prrafodelista"/>
        <w:spacing w:after="0" w:line="240" w:lineRule="auto"/>
        <w:rPr>
          <w:rFonts w:ascii="Times New Roman" w:hAnsi="Times New Roman"/>
          <w:sz w:val="28"/>
          <w:szCs w:val="28"/>
          <w:lang w:val="es-CO"/>
        </w:rPr>
      </w:pPr>
    </w:p>
    <w:p w14:paraId="4D40E12A"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En igual dirección a lo indicado no existe evidencia que muestre en qué sentido las obligaciones de reparación a las víctimas del conflicto armado son hechos sobrevinientes a pesar de que su fundamento se encuentra en la Ley 975 de 2005, que creó el denominado Fondo para la Reparación de las víctimas; y en la Ley 1448 de 2011, modificada por la Ley 2421 de 2024, que integró dicho fondo al sistema de reparación integral y que regula la indemnización por vía administrativa.  </w:t>
      </w:r>
    </w:p>
    <w:p w14:paraId="4D0AE804" w14:textId="77777777" w:rsidR="000E1F51" w:rsidRPr="007F2045" w:rsidRDefault="000E1F51" w:rsidP="001B5728">
      <w:pPr>
        <w:pStyle w:val="Prrafodelista"/>
        <w:spacing w:after="0" w:line="240" w:lineRule="auto"/>
        <w:rPr>
          <w:rFonts w:ascii="Times New Roman" w:hAnsi="Times New Roman"/>
          <w:sz w:val="28"/>
          <w:szCs w:val="28"/>
          <w:lang w:val="es-CO"/>
        </w:rPr>
      </w:pPr>
    </w:p>
    <w:p w14:paraId="3673C08A"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Y a similar conclusión se arriba frente a las obligaciones relacionadas con los subsidios de energía y gas. No existe elemento de juicio alguno que</w:t>
      </w:r>
      <w:r w:rsidR="008746E5" w:rsidRPr="007F2045">
        <w:rPr>
          <w:rFonts w:ascii="Times New Roman" w:hAnsi="Times New Roman"/>
          <w:sz w:val="28"/>
          <w:szCs w:val="28"/>
          <w:lang w:val="es-CO"/>
        </w:rPr>
        <w:t xml:space="preserve"> muestre</w:t>
      </w:r>
      <w:r w:rsidRPr="007F2045">
        <w:rPr>
          <w:rFonts w:ascii="Times New Roman" w:hAnsi="Times New Roman"/>
          <w:sz w:val="28"/>
          <w:szCs w:val="28"/>
          <w:lang w:val="es-CO"/>
        </w:rPr>
        <w:t xml:space="preserve"> que el déficit alegado sea repentino </w:t>
      </w:r>
      <w:r w:rsidR="008746E5" w:rsidRPr="007F2045">
        <w:rPr>
          <w:rFonts w:ascii="Times New Roman" w:hAnsi="Times New Roman"/>
          <w:sz w:val="28"/>
          <w:szCs w:val="28"/>
          <w:lang w:val="es-CO"/>
        </w:rPr>
        <w:t>o</w:t>
      </w:r>
      <w:r w:rsidRPr="007F2045">
        <w:rPr>
          <w:rFonts w:ascii="Times New Roman" w:hAnsi="Times New Roman"/>
          <w:sz w:val="28"/>
          <w:szCs w:val="28"/>
          <w:lang w:val="es-CO"/>
        </w:rPr>
        <w:t xml:space="preserve"> inesperado. Por el contrario, según los anexos remitidos por el Gobierno se remonta a la vigencia del 2024, de forma que el Ministerio de Minas y Energía solicitó una apropiación de recursos adicionales el 9 de julio de 2025. Así, de acuerdo con ese ministerio, en el 2024, se produjo un hueco presupuestal de cerca de $2,1 billones de pesos, distribuidos de la siguiente manera: $1,6 billones para energía y $541 mil millones para gas. Por causa de esa situación, a juicio de dicho ministerio, los recursos asignados para la vigencia del 2025, los cuales ascendieron a $3,9 billones, solo alcanzaron para cubrir el primer trimestre de ese año</w:t>
      </w:r>
      <w:r w:rsidRPr="007F2045">
        <w:rPr>
          <w:rFonts w:ascii="Times New Roman" w:hAnsi="Times New Roman"/>
          <w:szCs w:val="28"/>
          <w:vertAlign w:val="superscript"/>
          <w:lang w:val="es-CO"/>
        </w:rPr>
        <w:footnoteReference w:id="78"/>
      </w:r>
      <w:r w:rsidRPr="007F2045">
        <w:rPr>
          <w:rFonts w:ascii="Times New Roman" w:hAnsi="Times New Roman"/>
          <w:sz w:val="28"/>
          <w:szCs w:val="28"/>
          <w:lang w:val="es-CO"/>
        </w:rPr>
        <w:t>.  </w:t>
      </w:r>
    </w:p>
    <w:p w14:paraId="11AE34DE" w14:textId="77777777" w:rsidR="000E1F51" w:rsidRPr="007F2045" w:rsidRDefault="000E1F51" w:rsidP="001B5728">
      <w:pPr>
        <w:pStyle w:val="Prrafodelista"/>
        <w:spacing w:after="0" w:line="240" w:lineRule="auto"/>
        <w:rPr>
          <w:rFonts w:ascii="Times New Roman" w:hAnsi="Times New Roman"/>
          <w:sz w:val="28"/>
          <w:szCs w:val="28"/>
          <w:lang w:val="es-CO"/>
        </w:rPr>
      </w:pPr>
    </w:p>
    <w:p w14:paraId="632EEE1B"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Finalmente</w:t>
      </w:r>
      <w:r w:rsidR="00572DAF" w:rsidRPr="007F2045">
        <w:rPr>
          <w:rFonts w:ascii="Times New Roman" w:hAnsi="Times New Roman"/>
          <w:sz w:val="28"/>
          <w:szCs w:val="28"/>
          <w:lang w:val="es-CO"/>
        </w:rPr>
        <w:t>,</w:t>
      </w:r>
      <w:r w:rsidRPr="007F2045">
        <w:rPr>
          <w:rFonts w:ascii="Times New Roman" w:hAnsi="Times New Roman"/>
          <w:sz w:val="28"/>
          <w:szCs w:val="28"/>
          <w:lang w:val="es-CO"/>
        </w:rPr>
        <w:t xml:space="preserve"> en el Decreto 1390 de 2025, el Gobierno sostuvo </w:t>
      </w:r>
      <w:r w:rsidRPr="007F2045">
        <w:rPr>
          <w:rFonts w:ascii="Times New Roman" w:hAnsi="Times New Roman"/>
          <w:i/>
          <w:sz w:val="28"/>
          <w:szCs w:val="28"/>
          <w:lang w:val="es-CO"/>
        </w:rPr>
        <w:t>(i)</w:t>
      </w:r>
      <w:r w:rsidRPr="007F2045">
        <w:rPr>
          <w:rFonts w:ascii="Times New Roman" w:hAnsi="Times New Roman"/>
          <w:sz w:val="28"/>
          <w:szCs w:val="28"/>
          <w:lang w:val="es-CO"/>
        </w:rPr>
        <w:t xml:space="preserve"> que la violencia durante el año 2025 ha escalado en determinadas zonas del país (Cauca, el Cesar y Norte de Santander); </w:t>
      </w:r>
      <w:r w:rsidRPr="007F2045">
        <w:rPr>
          <w:rFonts w:ascii="Times New Roman" w:hAnsi="Times New Roman"/>
          <w:i/>
          <w:sz w:val="28"/>
          <w:szCs w:val="28"/>
          <w:lang w:val="es-CO"/>
        </w:rPr>
        <w:t>(</w:t>
      </w:r>
      <w:proofErr w:type="spellStart"/>
      <w:r w:rsidRPr="007F2045">
        <w:rPr>
          <w:rFonts w:ascii="Times New Roman" w:hAnsi="Times New Roman"/>
          <w:i/>
          <w:sz w:val="28"/>
          <w:szCs w:val="28"/>
          <w:lang w:val="es-CO"/>
        </w:rPr>
        <w:t>ii</w:t>
      </w:r>
      <w:proofErr w:type="spellEnd"/>
      <w:r w:rsidRPr="007F2045">
        <w:rPr>
          <w:rFonts w:ascii="Times New Roman" w:hAnsi="Times New Roman"/>
          <w:i/>
          <w:sz w:val="28"/>
          <w:szCs w:val="28"/>
          <w:lang w:val="es-CO"/>
        </w:rPr>
        <w:t>)</w:t>
      </w:r>
      <w:r w:rsidRPr="007F2045">
        <w:rPr>
          <w:rFonts w:ascii="Times New Roman" w:hAnsi="Times New Roman"/>
          <w:sz w:val="28"/>
          <w:szCs w:val="28"/>
          <w:lang w:val="es-CO"/>
        </w:rPr>
        <w:t xml:space="preserve"> que ese recrudecimiento del conflicto ha traído, como consecuencia, que las víctimas hayan aumentado en </w:t>
      </w:r>
      <w:r w:rsidRPr="007F2045">
        <w:rPr>
          <w:rFonts w:ascii="Times New Roman" w:hAnsi="Times New Roman"/>
          <w:sz w:val="28"/>
          <w:szCs w:val="28"/>
          <w:lang w:val="es-CO"/>
        </w:rPr>
        <w:lastRenderedPageBreak/>
        <w:t xml:space="preserve">potencia; </w:t>
      </w:r>
      <w:r w:rsidRPr="007F2045">
        <w:rPr>
          <w:rFonts w:ascii="Times New Roman" w:hAnsi="Times New Roman"/>
          <w:i/>
          <w:sz w:val="28"/>
          <w:szCs w:val="28"/>
          <w:lang w:val="es-CO"/>
        </w:rPr>
        <w:t>(</w:t>
      </w:r>
      <w:proofErr w:type="spellStart"/>
      <w:r w:rsidRPr="007F2045">
        <w:rPr>
          <w:rFonts w:ascii="Times New Roman" w:hAnsi="Times New Roman"/>
          <w:i/>
          <w:sz w:val="28"/>
          <w:szCs w:val="28"/>
          <w:lang w:val="es-CO"/>
        </w:rPr>
        <w:t>iii</w:t>
      </w:r>
      <w:proofErr w:type="spellEnd"/>
      <w:r w:rsidRPr="007F2045">
        <w:rPr>
          <w:rFonts w:ascii="Times New Roman" w:hAnsi="Times New Roman"/>
          <w:i/>
          <w:sz w:val="28"/>
          <w:szCs w:val="28"/>
          <w:lang w:val="es-CO"/>
        </w:rPr>
        <w:t>)</w:t>
      </w:r>
      <w:r w:rsidRPr="007F2045">
        <w:rPr>
          <w:rFonts w:ascii="Times New Roman" w:hAnsi="Times New Roman"/>
          <w:sz w:val="28"/>
          <w:szCs w:val="28"/>
          <w:lang w:val="es-CO"/>
        </w:rPr>
        <w:t xml:space="preserve"> que para hacer frente a este escenario de violencia inusitado, la Fuerza Pública necesita contar con nuevas tecnologías, al tiempo que la Unidad Nacional de Protección requiere contar con mayor capacidad para proteger a los candidatos a las próximas elecciones; y </w:t>
      </w:r>
      <w:r w:rsidRPr="007F2045">
        <w:rPr>
          <w:rFonts w:ascii="Times New Roman" w:hAnsi="Times New Roman"/>
          <w:i/>
          <w:sz w:val="28"/>
          <w:szCs w:val="28"/>
          <w:lang w:val="es-CO"/>
        </w:rPr>
        <w:t>(</w:t>
      </w:r>
      <w:proofErr w:type="spellStart"/>
      <w:r w:rsidRPr="007F2045">
        <w:rPr>
          <w:rFonts w:ascii="Times New Roman" w:hAnsi="Times New Roman"/>
          <w:i/>
          <w:sz w:val="28"/>
          <w:szCs w:val="28"/>
          <w:lang w:val="es-CO"/>
        </w:rPr>
        <w:t>iv</w:t>
      </w:r>
      <w:proofErr w:type="spellEnd"/>
      <w:r w:rsidRPr="007F2045">
        <w:rPr>
          <w:rFonts w:ascii="Times New Roman" w:hAnsi="Times New Roman"/>
          <w:i/>
          <w:sz w:val="28"/>
          <w:szCs w:val="28"/>
          <w:lang w:val="es-CO"/>
        </w:rPr>
        <w:t>)</w:t>
      </w:r>
      <w:r w:rsidRPr="007F2045">
        <w:rPr>
          <w:rFonts w:ascii="Times New Roman" w:hAnsi="Times New Roman"/>
          <w:sz w:val="28"/>
          <w:szCs w:val="28"/>
          <w:lang w:val="es-CO"/>
        </w:rPr>
        <w:t xml:space="preserve"> que, para lograr estos propósitos, se requiere de una importante inyección de recursos con los que, en la actualidad, no se cuenta</w:t>
      </w:r>
      <w:r w:rsidR="00463DA8" w:rsidRPr="007F2045">
        <w:rPr>
          <w:rFonts w:ascii="Times New Roman" w:hAnsi="Times New Roman"/>
          <w:sz w:val="28"/>
          <w:szCs w:val="28"/>
          <w:lang w:val="es-CO"/>
        </w:rPr>
        <w:t xml:space="preserve"> </w:t>
      </w:r>
      <w:r w:rsidR="00463DA8" w:rsidRPr="007F2045">
        <w:rPr>
          <w:rFonts w:ascii="Times New Roman" w:hAnsi="Times New Roman"/>
          <w:b/>
          <w:bCs/>
          <w:sz w:val="28"/>
          <w:szCs w:val="28"/>
          <w:lang w:val="es-CO"/>
        </w:rPr>
        <w:t>(hecho segundo)</w:t>
      </w:r>
      <w:r w:rsidRPr="007F2045">
        <w:rPr>
          <w:rFonts w:ascii="Times New Roman" w:hAnsi="Times New Roman"/>
          <w:sz w:val="28"/>
          <w:szCs w:val="28"/>
          <w:lang w:val="es-CO"/>
        </w:rPr>
        <w:t>.</w:t>
      </w:r>
    </w:p>
    <w:p w14:paraId="1A716A43" w14:textId="77777777" w:rsidR="000E1F51" w:rsidRPr="007F2045" w:rsidRDefault="000E1F51" w:rsidP="001B5728">
      <w:pPr>
        <w:pStyle w:val="Prrafodelista"/>
        <w:spacing w:after="0" w:line="240" w:lineRule="auto"/>
        <w:rPr>
          <w:rFonts w:ascii="Times New Roman" w:hAnsi="Times New Roman"/>
          <w:sz w:val="28"/>
          <w:szCs w:val="28"/>
          <w:lang w:val="es-CO"/>
        </w:rPr>
      </w:pPr>
    </w:p>
    <w:p w14:paraId="0C0647C3"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shd w:val="clear" w:color="auto" w:fill="FFFFFF"/>
          <w:lang w:val="es-CO"/>
        </w:rPr>
        <w:t>Según lo prevé el artículo 215 de la Constitución</w:t>
      </w:r>
      <w:r w:rsidR="004219DB" w:rsidRPr="007F2045">
        <w:rPr>
          <w:rFonts w:ascii="Times New Roman" w:hAnsi="Times New Roman"/>
          <w:sz w:val="28"/>
          <w:szCs w:val="28"/>
          <w:shd w:val="clear" w:color="auto" w:fill="FFFFFF"/>
          <w:lang w:val="es-CO"/>
        </w:rPr>
        <w:t>,</w:t>
      </w:r>
      <w:r w:rsidRPr="007F2045">
        <w:rPr>
          <w:rFonts w:ascii="Times New Roman" w:hAnsi="Times New Roman"/>
          <w:sz w:val="28"/>
          <w:szCs w:val="28"/>
          <w:shd w:val="clear" w:color="auto" w:fill="FFFFFF"/>
          <w:lang w:val="es-CO"/>
        </w:rPr>
        <w:t xml:space="preserve"> el estado de emergencia económica solo puede declararse cuando se fundamenta en hechos distintos a aquellos </w:t>
      </w:r>
      <w:r w:rsidRPr="007F2045">
        <w:rPr>
          <w:rFonts w:ascii="Times New Roman" w:hAnsi="Times New Roman"/>
          <w:sz w:val="28"/>
          <w:szCs w:val="28"/>
          <w:lang w:val="es-CO"/>
        </w:rPr>
        <w:t>que</w:t>
      </w:r>
      <w:r w:rsidRPr="007F2045">
        <w:rPr>
          <w:rFonts w:ascii="Times New Roman" w:hAnsi="Times New Roman"/>
          <w:sz w:val="28"/>
          <w:szCs w:val="28"/>
          <w:shd w:val="clear" w:color="auto" w:fill="FFFFFF"/>
          <w:lang w:val="es-CO"/>
        </w:rPr>
        <w:t xml:space="preserve"> pueden servir de causa para la declaratoria de un estado de guerra o uno de conmoción interior. A su vez, de conformidad con el artículo 213 de la Carta</w:t>
      </w:r>
      <w:r w:rsidR="002C417A" w:rsidRPr="007F2045">
        <w:rPr>
          <w:rFonts w:ascii="Times New Roman" w:hAnsi="Times New Roman"/>
          <w:sz w:val="28"/>
          <w:szCs w:val="28"/>
          <w:shd w:val="clear" w:color="auto" w:fill="FFFFFF"/>
          <w:lang w:val="es-CO"/>
        </w:rPr>
        <w:t>,</w:t>
      </w:r>
      <w:r w:rsidRPr="007F2045">
        <w:rPr>
          <w:rFonts w:ascii="Times New Roman" w:hAnsi="Times New Roman"/>
          <w:sz w:val="28"/>
          <w:szCs w:val="28"/>
          <w:shd w:val="clear" w:color="auto" w:fill="FFFFFF"/>
          <w:lang w:val="es-CO"/>
        </w:rPr>
        <w:t xml:space="preserve"> </w:t>
      </w:r>
      <w:r w:rsidRPr="007F2045">
        <w:rPr>
          <w:rFonts w:ascii="Times New Roman" w:hAnsi="Times New Roman"/>
          <w:sz w:val="28"/>
          <w:szCs w:val="28"/>
          <w:lang w:val="es-CO"/>
        </w:rPr>
        <w:t xml:space="preserve">el </w:t>
      </w:r>
      <w:r w:rsidRPr="007F2045">
        <w:rPr>
          <w:rFonts w:ascii="Times New Roman" w:hAnsi="Times New Roman"/>
          <w:i/>
          <w:iCs/>
          <w:sz w:val="28"/>
          <w:szCs w:val="28"/>
          <w:lang w:val="es-CO"/>
        </w:rPr>
        <w:t>estado de conmoción interior</w:t>
      </w:r>
      <w:r w:rsidRPr="007F2045">
        <w:rPr>
          <w:rFonts w:ascii="Times New Roman" w:hAnsi="Times New Roman"/>
          <w:sz w:val="28"/>
          <w:szCs w:val="28"/>
          <w:lang w:val="es-CO"/>
        </w:rPr>
        <w:t xml:space="preserve"> se declara cuando se presenta una grave turbación del orden público, a la que no se puede hacer frente con las herramientas ordinarias de que dispone el Estado</w:t>
      </w:r>
      <w:r w:rsidRPr="007F2045">
        <w:rPr>
          <w:rFonts w:ascii="Times New Roman" w:hAnsi="Times New Roman"/>
          <w:szCs w:val="28"/>
          <w:shd w:val="clear" w:color="auto" w:fill="FFFFFF"/>
          <w:vertAlign w:val="superscript"/>
          <w:lang w:val="es-CO"/>
        </w:rPr>
        <w:footnoteReference w:id="79"/>
      </w:r>
      <w:r w:rsidRPr="007F2045">
        <w:rPr>
          <w:rFonts w:ascii="Times New Roman" w:hAnsi="Times New Roman"/>
          <w:sz w:val="28"/>
          <w:szCs w:val="28"/>
          <w:lang w:val="es-CO"/>
        </w:rPr>
        <w:t>.</w:t>
      </w:r>
    </w:p>
    <w:p w14:paraId="67FBB8E3" w14:textId="77777777" w:rsidR="000E1F51" w:rsidRPr="007F2045" w:rsidRDefault="000E1F51" w:rsidP="001B5728">
      <w:pPr>
        <w:pStyle w:val="Prrafodelista"/>
        <w:spacing w:after="0" w:line="240" w:lineRule="auto"/>
        <w:rPr>
          <w:rFonts w:ascii="Times New Roman" w:hAnsi="Times New Roman"/>
          <w:sz w:val="28"/>
          <w:szCs w:val="28"/>
          <w:lang w:val="es-CO"/>
        </w:rPr>
      </w:pPr>
    </w:p>
    <w:p w14:paraId="3EF0CD62"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En este caso, el decreto no permite identificar razón alguna encaminada a descartar si, en atención a la necesidad de atender con urgencia una situación de orden público, lo que procedía era la declaración del estado de conmoción interior y no el de emergencia económica</w:t>
      </w:r>
      <w:r w:rsidRPr="007F2045">
        <w:rPr>
          <w:rFonts w:ascii="Times New Roman" w:hAnsi="Times New Roman"/>
          <w:szCs w:val="28"/>
          <w:vertAlign w:val="superscript"/>
          <w:lang w:val="es-CO"/>
        </w:rPr>
        <w:footnoteReference w:id="80"/>
      </w:r>
      <w:r w:rsidRPr="007F2045">
        <w:rPr>
          <w:rFonts w:ascii="Times New Roman" w:hAnsi="Times New Roman"/>
          <w:sz w:val="28"/>
          <w:szCs w:val="28"/>
          <w:lang w:val="es-CO"/>
        </w:rPr>
        <w:t xml:space="preserve">. </w:t>
      </w:r>
      <w:r w:rsidRPr="007F2045">
        <w:rPr>
          <w:rFonts w:ascii="Times New Roman" w:hAnsi="Times New Roman"/>
          <w:sz w:val="28"/>
          <w:szCs w:val="28"/>
          <w:shd w:val="clear" w:color="auto" w:fill="FFFFFF"/>
          <w:lang w:val="es-CO"/>
        </w:rPr>
        <w:t>Si bien el objetivo inmediato consistía en contar con recursos para financiar nuevas tecnologías que serán usadas por las Fuerzas Militares, o para fortalecer a la UNP, no existe explicación o valoración alguna encaminada a justificar las razones para expedir el decreto 1390 de 2025, invocando lo establecido en el artículo 215 de la Constitución.</w:t>
      </w:r>
    </w:p>
    <w:p w14:paraId="3703F82D" w14:textId="77777777" w:rsidR="000E1F51" w:rsidRPr="007F2045" w:rsidRDefault="000E1F51" w:rsidP="001B5728">
      <w:pPr>
        <w:pStyle w:val="Prrafodelista"/>
        <w:spacing w:after="0" w:line="240" w:lineRule="auto"/>
        <w:rPr>
          <w:rFonts w:ascii="Times New Roman" w:hAnsi="Times New Roman"/>
          <w:sz w:val="28"/>
          <w:szCs w:val="28"/>
          <w:lang w:val="es-CO"/>
        </w:rPr>
      </w:pPr>
    </w:p>
    <w:p w14:paraId="2E54AC71"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En síntesis, para la sala Plena</w:t>
      </w:r>
      <w:r w:rsidR="008746E5" w:rsidRPr="007F2045">
        <w:rPr>
          <w:rFonts w:ascii="Times New Roman" w:hAnsi="Times New Roman"/>
          <w:sz w:val="28"/>
          <w:szCs w:val="28"/>
          <w:lang w:val="es-CO"/>
        </w:rPr>
        <w:t xml:space="preserve"> existen serias dudas acerca de</w:t>
      </w:r>
      <w:r w:rsidRPr="007F2045">
        <w:rPr>
          <w:rFonts w:ascii="Times New Roman" w:hAnsi="Times New Roman"/>
          <w:sz w:val="28"/>
          <w:szCs w:val="28"/>
          <w:lang w:val="es-CO"/>
        </w:rPr>
        <w:t xml:space="preserve"> que los hechos invocados como fundamento del estado de emergencia declarado en el Decreto 1390 de 2025 puedan considerarse sobrevinientes y extraordinarios. La motivación del decreto, a partir de un examen inicial y conexo en sus manifestaciones, no apunta en esa dirección, ni ofrece elemento alguno que permita concluir lo contrario. A lo dicho, se suma que al menos uno de estos hechos –segundo–</w:t>
      </w:r>
      <w:r w:rsidR="00463DA8" w:rsidRPr="007F2045">
        <w:rPr>
          <w:rFonts w:ascii="Times New Roman" w:hAnsi="Times New Roman"/>
          <w:sz w:val="28"/>
          <w:szCs w:val="28"/>
          <w:lang w:val="es-CO"/>
        </w:rPr>
        <w:t xml:space="preserve"> </w:t>
      </w:r>
      <w:r w:rsidRPr="007F2045">
        <w:rPr>
          <w:rFonts w:ascii="Times New Roman" w:hAnsi="Times New Roman"/>
          <w:sz w:val="28"/>
          <w:szCs w:val="28"/>
          <w:lang w:val="es-CO"/>
        </w:rPr>
        <w:t>no se enmarca en ninguno de los supuestos constitucionales para declarar un estado de emergencia económica, social o ecológica.</w:t>
      </w:r>
    </w:p>
    <w:p w14:paraId="01683994" w14:textId="77777777" w:rsidR="000E1F51" w:rsidRPr="007F2045" w:rsidRDefault="000E1F51" w:rsidP="001B5728">
      <w:pPr>
        <w:pStyle w:val="Prrafodelista"/>
        <w:widowControl w:val="0"/>
        <w:tabs>
          <w:tab w:val="left" w:pos="567"/>
        </w:tabs>
        <w:spacing w:after="0" w:line="240" w:lineRule="auto"/>
        <w:ind w:left="0"/>
        <w:rPr>
          <w:rFonts w:ascii="Times New Roman" w:hAnsi="Times New Roman"/>
          <w:sz w:val="28"/>
          <w:szCs w:val="28"/>
          <w:lang w:val="es-CO"/>
        </w:rPr>
      </w:pPr>
    </w:p>
    <w:p w14:paraId="1675A408"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Esta constatación preliminar permite entonces concluir que, según el estándar fijado en el auto 272 de 2023, el decreto declaratorio es, al menos </w:t>
      </w:r>
      <w:r w:rsidRPr="007F2045">
        <w:rPr>
          <w:rFonts w:ascii="Times New Roman" w:hAnsi="Times New Roman"/>
          <w:i/>
          <w:iCs/>
          <w:sz w:val="28"/>
          <w:szCs w:val="28"/>
          <w:lang w:val="es-CO"/>
        </w:rPr>
        <w:t>prima facie</w:t>
      </w:r>
      <w:r w:rsidRPr="007F2045">
        <w:rPr>
          <w:rFonts w:ascii="Times New Roman" w:hAnsi="Times New Roman"/>
          <w:sz w:val="28"/>
          <w:szCs w:val="28"/>
          <w:lang w:val="es-CO"/>
        </w:rPr>
        <w:t>, manifiestamente inconstitucional. La declaración de emergencia, en las condiciones indicadas, supone que el presidente de la República habría asumido funciones legislativas de excepción de forma contraria a lo dispuesto en el artículo 215 de la Constitución. Tal resultado tiene consecuencias directas en la preservación del Estado de Derecho, el principio democrático y la separación de poderes.</w:t>
      </w:r>
    </w:p>
    <w:p w14:paraId="3A228267" w14:textId="77777777" w:rsidR="000E1F51" w:rsidRPr="007F2045" w:rsidRDefault="000E1F51" w:rsidP="001B5728">
      <w:pPr>
        <w:pStyle w:val="Prrafodelista"/>
        <w:tabs>
          <w:tab w:val="left" w:pos="284"/>
          <w:tab w:val="left" w:pos="426"/>
        </w:tabs>
        <w:spacing w:after="0" w:line="240" w:lineRule="auto"/>
        <w:ind w:left="0"/>
        <w:rPr>
          <w:rFonts w:ascii="Times New Roman" w:hAnsi="Times New Roman"/>
          <w:b/>
          <w:sz w:val="28"/>
          <w:szCs w:val="28"/>
          <w:lang w:val="es-CO"/>
        </w:rPr>
      </w:pPr>
    </w:p>
    <w:p w14:paraId="58F170F0" w14:textId="77777777" w:rsidR="000E1F51" w:rsidRPr="007F2045" w:rsidRDefault="003350CC" w:rsidP="001B5728">
      <w:pPr>
        <w:pStyle w:val="Ttulo2"/>
        <w:numPr>
          <w:ilvl w:val="0"/>
          <w:numId w:val="0"/>
        </w:numPr>
        <w:tabs>
          <w:tab w:val="left" w:pos="1418"/>
        </w:tabs>
        <w:ind w:left="1418" w:hanging="709"/>
        <w:rPr>
          <w:lang w:val="es-CO"/>
        </w:rPr>
      </w:pPr>
      <w:r w:rsidRPr="007F2045">
        <w:rPr>
          <w:lang w:val="es-CO"/>
        </w:rPr>
        <w:t>5.2.</w:t>
      </w:r>
      <w:r w:rsidRPr="007F2045">
        <w:rPr>
          <w:lang w:val="es-CO"/>
        </w:rPr>
        <w:tab/>
      </w:r>
      <w:r w:rsidR="000E1F51" w:rsidRPr="007F2045">
        <w:rPr>
          <w:lang w:val="es-CO"/>
        </w:rPr>
        <w:t xml:space="preserve">El Decreto 1390 de 2025 produce un efecto constitucional irremediable </w:t>
      </w:r>
    </w:p>
    <w:p w14:paraId="41867C4E" w14:textId="77777777" w:rsidR="000E1F51" w:rsidRPr="007F2045" w:rsidRDefault="000E1F51" w:rsidP="001B5728">
      <w:pPr>
        <w:pStyle w:val="Prrafodelista"/>
        <w:tabs>
          <w:tab w:val="left" w:pos="284"/>
          <w:tab w:val="left" w:pos="426"/>
        </w:tabs>
        <w:spacing w:after="0" w:line="240" w:lineRule="auto"/>
        <w:ind w:left="0"/>
        <w:rPr>
          <w:rFonts w:ascii="Times New Roman" w:hAnsi="Times New Roman"/>
          <w:sz w:val="28"/>
          <w:szCs w:val="28"/>
          <w:lang w:val="es-CO"/>
        </w:rPr>
      </w:pPr>
    </w:p>
    <w:p w14:paraId="5F5BA35C" w14:textId="77777777" w:rsidR="000E1F51" w:rsidRPr="007F2045" w:rsidRDefault="000E1F51" w:rsidP="001B5728">
      <w:pPr>
        <w:pStyle w:val="Ttulo2"/>
        <w:numPr>
          <w:ilvl w:val="0"/>
          <w:numId w:val="17"/>
        </w:numPr>
        <w:ind w:left="1418" w:hanging="567"/>
        <w:rPr>
          <w:lang w:val="es-CO"/>
        </w:rPr>
      </w:pPr>
      <w:r w:rsidRPr="007F2045">
        <w:rPr>
          <w:lang w:val="es-CO"/>
        </w:rPr>
        <w:t>Criterios de evaluación del efecto irremediable o la elusión del control de constitucionalidad del decreto que declara el estado de emergencia económica</w:t>
      </w:r>
      <w:r w:rsidR="00814B27" w:rsidRPr="007F2045">
        <w:rPr>
          <w:lang w:val="es-CO"/>
        </w:rPr>
        <w:t xml:space="preserve"> o</w:t>
      </w:r>
      <w:r w:rsidRPr="007F2045">
        <w:rPr>
          <w:lang w:val="es-CO"/>
        </w:rPr>
        <w:t xml:space="preserve"> social</w:t>
      </w:r>
    </w:p>
    <w:p w14:paraId="5996F742" w14:textId="77777777" w:rsidR="000E1F51" w:rsidRPr="007F2045" w:rsidRDefault="000E1F51" w:rsidP="001B5728">
      <w:pPr>
        <w:pStyle w:val="Prrafodelista"/>
        <w:spacing w:after="0" w:line="240" w:lineRule="auto"/>
        <w:ind w:left="0"/>
        <w:rPr>
          <w:rFonts w:ascii="Times New Roman" w:hAnsi="Times New Roman"/>
          <w:sz w:val="28"/>
          <w:szCs w:val="28"/>
          <w:lang w:val="es-CO"/>
        </w:rPr>
      </w:pPr>
    </w:p>
    <w:p w14:paraId="0F987BF7"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lastRenderedPageBreak/>
        <w:t>En el auto 272 de 2023, al referirse a la exigencia de establecer el efecto irremediable o la elusión del control de constitucionalidad, la Corte señaló que la suspensión provisional debe comprenderse como una medida excepcional, “que se aplica como última opción para la defensa de la guarda de la integridad y la supremacía constitucional y en escenarios en los que, ante la inexistencia de una medida de ese carácter, indudablemente se generaría un caso de elusión del control de constitucionalidad y la correlativa inmunidad a ese control”.</w:t>
      </w:r>
      <w:r w:rsidRPr="007F2045">
        <w:rPr>
          <w:rFonts w:ascii="Times New Roman" w:hAnsi="Times New Roman"/>
          <w:b/>
          <w:bCs/>
          <w:sz w:val="28"/>
          <w:szCs w:val="28"/>
          <w:lang w:val="es-CO"/>
        </w:rPr>
        <w:t xml:space="preserve"> </w:t>
      </w:r>
    </w:p>
    <w:p w14:paraId="67D8762A" w14:textId="77777777" w:rsidR="000E1F51" w:rsidRPr="007F2045" w:rsidRDefault="000E1F51" w:rsidP="001B5728">
      <w:pPr>
        <w:pStyle w:val="Prrafodelista"/>
        <w:tabs>
          <w:tab w:val="left" w:pos="284"/>
          <w:tab w:val="left" w:pos="426"/>
        </w:tabs>
        <w:spacing w:after="0" w:line="240" w:lineRule="auto"/>
        <w:ind w:left="0"/>
        <w:rPr>
          <w:rFonts w:ascii="Times New Roman" w:hAnsi="Times New Roman"/>
          <w:sz w:val="28"/>
          <w:szCs w:val="28"/>
          <w:lang w:val="es-CO"/>
        </w:rPr>
      </w:pPr>
    </w:p>
    <w:p w14:paraId="763A1560"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De acuerdo con ello, el auto señaló que los efectos de una ley manifiestamente contraria a la Constitución resultan problemáticos y afectan la supremacía constitucional, particularmente porque “</w:t>
      </w:r>
      <w:r w:rsidRPr="007F2045">
        <w:rPr>
          <w:rFonts w:ascii="Times New Roman" w:eastAsia="MS Mincho" w:hAnsi="Times New Roman"/>
          <w:sz w:val="28"/>
          <w:szCs w:val="28"/>
          <w:lang w:val="es-CO" w:eastAsia="es-MX"/>
        </w:rPr>
        <w:t>(i) rige una norma que </w:t>
      </w:r>
      <w:r w:rsidRPr="007F2045">
        <w:rPr>
          <w:rFonts w:ascii="Times New Roman" w:eastAsia="MS Mincho" w:hAnsi="Times New Roman"/>
          <w:i/>
          <w:iCs/>
          <w:sz w:val="28"/>
          <w:szCs w:val="28"/>
          <w:lang w:val="es-CO" w:eastAsia="es-MX"/>
        </w:rPr>
        <w:t>prima facie</w:t>
      </w:r>
      <w:r w:rsidRPr="007F2045">
        <w:rPr>
          <w:rFonts w:ascii="Times New Roman" w:eastAsia="MS Mincho" w:hAnsi="Times New Roman"/>
          <w:sz w:val="28"/>
          <w:szCs w:val="28"/>
          <w:lang w:val="es-CO" w:eastAsia="es-MX"/>
        </w:rPr>
        <w:t xml:space="preserve"> le es contraria y que pone en grave e irremediable riesgo el régimen democrático y los derechos fundamentales, (…)  </w:t>
      </w:r>
      <w:r w:rsidR="004514AD" w:rsidRPr="007F2045">
        <w:rPr>
          <w:rFonts w:ascii="Times New Roman" w:eastAsia="MS Mincho" w:hAnsi="Times New Roman"/>
          <w:sz w:val="28"/>
          <w:szCs w:val="28"/>
          <w:lang w:val="es-CO" w:eastAsia="es-MX"/>
        </w:rPr>
        <w:t>[</w:t>
      </w:r>
      <w:proofErr w:type="spellStart"/>
      <w:r w:rsidR="004514AD" w:rsidRPr="007F2045">
        <w:rPr>
          <w:rFonts w:ascii="Times New Roman" w:eastAsia="MS Mincho" w:hAnsi="Times New Roman"/>
          <w:sz w:val="28"/>
          <w:szCs w:val="28"/>
          <w:lang w:val="es-CO" w:eastAsia="es-MX"/>
        </w:rPr>
        <w:t>ii</w:t>
      </w:r>
      <w:proofErr w:type="spellEnd"/>
      <w:r w:rsidR="004514AD" w:rsidRPr="007F2045">
        <w:rPr>
          <w:rFonts w:ascii="Times New Roman" w:eastAsia="MS Mincho" w:hAnsi="Times New Roman"/>
          <w:sz w:val="28"/>
          <w:szCs w:val="28"/>
          <w:lang w:val="es-CO" w:eastAsia="es-MX"/>
        </w:rPr>
        <w:t>]</w:t>
      </w:r>
      <w:r w:rsidRPr="007F2045">
        <w:rPr>
          <w:rFonts w:ascii="Times New Roman" w:eastAsia="MS Mincho" w:hAnsi="Times New Roman"/>
          <w:sz w:val="28"/>
          <w:szCs w:val="28"/>
          <w:lang w:val="es-CO" w:eastAsia="es-MX"/>
        </w:rPr>
        <w:t> su ocurrencia se puede dar en eventos que incluyan elusión al control constitucional (como cuando se tramite una ley por procedimiento y con categoría inadecuada), </w:t>
      </w:r>
      <w:r w:rsidR="004514AD" w:rsidRPr="007F2045">
        <w:rPr>
          <w:rFonts w:ascii="Times New Roman" w:eastAsia="MS Mincho" w:hAnsi="Times New Roman"/>
          <w:sz w:val="28"/>
          <w:szCs w:val="28"/>
          <w:lang w:val="es-CO" w:eastAsia="es-MX"/>
        </w:rPr>
        <w:t>[</w:t>
      </w:r>
      <w:proofErr w:type="spellStart"/>
      <w:r w:rsidR="004514AD" w:rsidRPr="007F2045">
        <w:rPr>
          <w:rFonts w:ascii="Times New Roman" w:eastAsia="MS Mincho" w:hAnsi="Times New Roman"/>
          <w:sz w:val="28"/>
          <w:szCs w:val="28"/>
          <w:lang w:val="es-CO" w:eastAsia="es-MX"/>
        </w:rPr>
        <w:t>iii</w:t>
      </w:r>
      <w:proofErr w:type="spellEnd"/>
      <w:r w:rsidR="004514AD" w:rsidRPr="007F2045">
        <w:rPr>
          <w:rFonts w:ascii="Times New Roman" w:eastAsia="MS Mincho" w:hAnsi="Times New Roman"/>
          <w:sz w:val="28"/>
          <w:szCs w:val="28"/>
          <w:lang w:val="es-CO" w:eastAsia="es-MX"/>
        </w:rPr>
        <w:t>]</w:t>
      </w:r>
      <w:r w:rsidRPr="007F2045">
        <w:rPr>
          <w:rFonts w:ascii="Times New Roman" w:eastAsia="MS Mincho" w:hAnsi="Times New Roman"/>
          <w:sz w:val="28"/>
          <w:szCs w:val="28"/>
          <w:lang w:val="es-CO" w:eastAsia="es-MX"/>
        </w:rPr>
        <w:t> lo que defrauda la confianza pública y puede poner en riesgo la institucionalidad constitucional, frente a quebrantos graves de sus mandatos, con vulneración inmediata de los derechos fundamentales”.</w:t>
      </w:r>
    </w:p>
    <w:p w14:paraId="2D530833" w14:textId="77777777" w:rsidR="000E1F51" w:rsidRPr="007F2045" w:rsidRDefault="000E1F51" w:rsidP="001B5728">
      <w:pPr>
        <w:pStyle w:val="Prrafodelista"/>
        <w:tabs>
          <w:tab w:val="left" w:pos="284"/>
          <w:tab w:val="left" w:pos="426"/>
        </w:tabs>
        <w:spacing w:after="0" w:line="240" w:lineRule="auto"/>
        <w:ind w:left="0"/>
        <w:rPr>
          <w:rFonts w:ascii="Times New Roman" w:hAnsi="Times New Roman"/>
          <w:b/>
          <w:bCs/>
          <w:sz w:val="28"/>
          <w:szCs w:val="28"/>
          <w:lang w:val="es-CO"/>
        </w:rPr>
      </w:pPr>
    </w:p>
    <w:p w14:paraId="656E5DF9"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Es importante precisar que, en el caso del decreto declaratorio del estado de excepción, la evaluación de esta exigencia debe considerar la especial naturaleza de esa norma, así como su función de conferir al presidente de la República poderes para expedir legislación de excepción. En estos casos no es suficiente con preguntarse si en la sentencia con la que concluye el proceso, la Corte puede adoptar una decisión con efectos retroactivos con la capacidad de eliminar cualquier consecuencia o impacto del decreto declaratorio. </w:t>
      </w:r>
    </w:p>
    <w:p w14:paraId="5618044E" w14:textId="77777777" w:rsidR="000E1F51" w:rsidRPr="007F2045" w:rsidRDefault="000E1F51" w:rsidP="001B5728">
      <w:pPr>
        <w:pStyle w:val="Prrafodelista"/>
        <w:spacing w:after="0" w:line="240" w:lineRule="auto"/>
        <w:rPr>
          <w:rFonts w:ascii="Times New Roman" w:hAnsi="Times New Roman"/>
          <w:sz w:val="28"/>
          <w:szCs w:val="28"/>
          <w:lang w:val="es-CO"/>
        </w:rPr>
      </w:pPr>
    </w:p>
    <w:p w14:paraId="7269FEEC"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Ello no puede ser así por dos razones. De una parte, la Corte no puede juzgar el carácter más o menos irremediable del efecto de este decreto, en función de las medidas legislativas de desarrollo expedidas a su amparo dado que, aunque relacionados, su escrutinio debe realizarse de forma relativamente independiente. De otra, y esto es central, el control del decreto declaratorio tiene por objeto juzgar el impacto de dicha norma en elementos centrales del modelo constitucional, vinculados </w:t>
      </w:r>
      <w:r w:rsidR="00D1333A" w:rsidRPr="007F2045">
        <w:rPr>
          <w:rFonts w:ascii="Times New Roman" w:hAnsi="Times New Roman"/>
          <w:sz w:val="28"/>
          <w:szCs w:val="28"/>
          <w:lang w:val="es-CO"/>
        </w:rPr>
        <w:t xml:space="preserve">con el </w:t>
      </w:r>
      <w:r w:rsidRPr="007F2045">
        <w:rPr>
          <w:rFonts w:ascii="Times New Roman" w:hAnsi="Times New Roman"/>
          <w:sz w:val="28"/>
          <w:szCs w:val="28"/>
          <w:lang w:val="es-CO"/>
        </w:rPr>
        <w:t>Estado de Derecho, la democracia y la separación de poderes. De esta forma, las consecuencias irremediables que en el ordenamiento constitucional tiene la expedición de un decreto declaratorio exige tomar nota de las réplicas que el ejercicio del poder presidencial de excepción tiene en aquello que es central para la Constitución</w:t>
      </w:r>
      <w:r w:rsidRPr="007F2045">
        <w:rPr>
          <w:rFonts w:ascii="Times New Roman" w:hAnsi="Times New Roman"/>
          <w:szCs w:val="28"/>
          <w:vertAlign w:val="superscript"/>
          <w:lang w:val="es-CO"/>
        </w:rPr>
        <w:footnoteReference w:id="81"/>
      </w:r>
      <w:r w:rsidRPr="007F2045">
        <w:rPr>
          <w:rFonts w:ascii="Times New Roman" w:hAnsi="Times New Roman"/>
          <w:sz w:val="28"/>
          <w:szCs w:val="28"/>
          <w:lang w:val="es-CO"/>
        </w:rPr>
        <w:t xml:space="preserve">.  </w:t>
      </w:r>
    </w:p>
    <w:p w14:paraId="676594B9" w14:textId="77777777" w:rsidR="000E1F51" w:rsidRPr="007F2045" w:rsidRDefault="000E1F51" w:rsidP="001B5728">
      <w:pPr>
        <w:pStyle w:val="Prrafodelista"/>
        <w:spacing w:after="0" w:line="240" w:lineRule="auto"/>
        <w:rPr>
          <w:rFonts w:ascii="Times New Roman" w:hAnsi="Times New Roman"/>
          <w:sz w:val="28"/>
          <w:szCs w:val="28"/>
          <w:lang w:val="es-CO"/>
        </w:rPr>
      </w:pPr>
    </w:p>
    <w:p w14:paraId="3F077A1D" w14:textId="77777777" w:rsidR="004C4104" w:rsidRPr="007F2045" w:rsidRDefault="004C4104" w:rsidP="001B5728">
      <w:pPr>
        <w:pStyle w:val="Prrafodelista"/>
        <w:numPr>
          <w:ilvl w:val="0"/>
          <w:numId w:val="2"/>
        </w:numPr>
        <w:tabs>
          <w:tab w:val="left" w:pos="284"/>
          <w:tab w:val="left" w:pos="426"/>
        </w:tabs>
        <w:spacing w:after="0" w:line="240" w:lineRule="auto"/>
        <w:ind w:left="0" w:firstLine="0"/>
        <w:rPr>
          <w:rFonts w:ascii="Times New Roman" w:eastAsia="MS Mincho" w:hAnsi="Times New Roman"/>
          <w:sz w:val="28"/>
          <w:szCs w:val="28"/>
          <w:lang w:val="es-CO" w:eastAsia="es-MX"/>
        </w:rPr>
      </w:pPr>
      <w:r w:rsidRPr="007F2045">
        <w:rPr>
          <w:rFonts w:ascii="Times New Roman" w:eastAsia="MS Mincho" w:hAnsi="Times New Roman"/>
          <w:sz w:val="28"/>
          <w:szCs w:val="28"/>
          <w:lang w:eastAsia="es-MX"/>
        </w:rPr>
        <w:t xml:space="preserve">En el caso de los decretos declaratorios de estados de excepción, los </w:t>
      </w:r>
      <w:r w:rsidRPr="007F2045">
        <w:rPr>
          <w:rFonts w:ascii="Times New Roman" w:hAnsi="Times New Roman"/>
          <w:sz w:val="28"/>
          <w:szCs w:val="28"/>
        </w:rPr>
        <w:t>efectos</w:t>
      </w:r>
      <w:r w:rsidRPr="007F2045">
        <w:rPr>
          <w:rFonts w:ascii="Times New Roman" w:eastAsia="MS Mincho" w:hAnsi="Times New Roman"/>
          <w:sz w:val="28"/>
          <w:szCs w:val="28"/>
          <w:lang w:eastAsia="es-MX"/>
        </w:rPr>
        <w:t xml:space="preserve"> pueden ser irreversibles o irremediables cuando se adoptan medidas que cercenan ejes de la Constitución Política, como lo son </w:t>
      </w:r>
      <w:r w:rsidRPr="007F2045">
        <w:rPr>
          <w:rFonts w:ascii="Times New Roman" w:eastAsia="MS Mincho" w:hAnsi="Times New Roman"/>
          <w:i/>
          <w:iCs/>
          <w:sz w:val="28"/>
          <w:szCs w:val="28"/>
          <w:lang w:eastAsia="es-MX"/>
        </w:rPr>
        <w:t>(i)</w:t>
      </w:r>
      <w:r w:rsidRPr="007F2045">
        <w:rPr>
          <w:rFonts w:ascii="Times New Roman" w:eastAsia="MS Mincho" w:hAnsi="Times New Roman"/>
          <w:sz w:val="28"/>
          <w:szCs w:val="28"/>
          <w:lang w:eastAsia="es-MX"/>
        </w:rPr>
        <w:t xml:space="preserve"> el principio de separación de las ramas del poder público (arts. 113 y 215) y </w:t>
      </w:r>
      <w:r w:rsidRPr="007F2045">
        <w:rPr>
          <w:rFonts w:ascii="Times New Roman" w:eastAsia="MS Mincho" w:hAnsi="Times New Roman"/>
          <w:i/>
          <w:iCs/>
          <w:sz w:val="28"/>
          <w:szCs w:val="28"/>
          <w:lang w:eastAsia="es-MX"/>
        </w:rPr>
        <w:t>(</w:t>
      </w:r>
      <w:proofErr w:type="spellStart"/>
      <w:r w:rsidRPr="007F2045">
        <w:rPr>
          <w:rFonts w:ascii="Times New Roman" w:eastAsia="MS Mincho" w:hAnsi="Times New Roman"/>
          <w:i/>
          <w:iCs/>
          <w:sz w:val="28"/>
          <w:szCs w:val="28"/>
          <w:lang w:eastAsia="es-MX"/>
        </w:rPr>
        <w:t>ii</w:t>
      </w:r>
      <w:proofErr w:type="spellEnd"/>
      <w:r w:rsidRPr="007F2045">
        <w:rPr>
          <w:rFonts w:ascii="Times New Roman" w:eastAsia="MS Mincho" w:hAnsi="Times New Roman"/>
          <w:i/>
          <w:iCs/>
          <w:sz w:val="28"/>
          <w:szCs w:val="28"/>
          <w:lang w:eastAsia="es-MX"/>
        </w:rPr>
        <w:t>)</w:t>
      </w:r>
      <w:r w:rsidRPr="007F2045">
        <w:rPr>
          <w:rFonts w:ascii="Times New Roman" w:eastAsia="MS Mincho" w:hAnsi="Times New Roman"/>
          <w:sz w:val="28"/>
          <w:szCs w:val="28"/>
          <w:lang w:eastAsia="es-MX"/>
        </w:rPr>
        <w:t xml:space="preserve"> el principio democrático (arts. 3 y 150). Declarar un estado de emergencia económica y social que desplaza de forma deliberada, al menos </w:t>
      </w:r>
      <w:r w:rsidRPr="007F2045">
        <w:rPr>
          <w:rFonts w:ascii="Times New Roman" w:eastAsia="MS Mincho" w:hAnsi="Times New Roman"/>
          <w:i/>
          <w:iCs/>
          <w:sz w:val="28"/>
          <w:szCs w:val="28"/>
          <w:lang w:eastAsia="es-MX"/>
        </w:rPr>
        <w:t>prima facie</w:t>
      </w:r>
      <w:r w:rsidRPr="007F2045">
        <w:rPr>
          <w:rFonts w:ascii="Times New Roman" w:eastAsia="MS Mincho" w:hAnsi="Times New Roman"/>
          <w:sz w:val="28"/>
          <w:szCs w:val="28"/>
          <w:lang w:eastAsia="es-MX"/>
        </w:rPr>
        <w:t>, el ejercicio de las competencias constitucionales de otros órganos</w:t>
      </w:r>
      <w:r w:rsidR="007F2045" w:rsidRPr="007F2045">
        <w:rPr>
          <w:rFonts w:ascii="Times New Roman" w:eastAsia="MS Mincho" w:hAnsi="Times New Roman"/>
          <w:sz w:val="28"/>
          <w:szCs w:val="28"/>
          <w:lang w:eastAsia="es-MX"/>
        </w:rPr>
        <w:t>,</w:t>
      </w:r>
      <w:r w:rsidRPr="007F2045">
        <w:rPr>
          <w:rFonts w:ascii="Times New Roman" w:eastAsia="MS Mincho" w:hAnsi="Times New Roman"/>
          <w:sz w:val="28"/>
          <w:szCs w:val="28"/>
          <w:lang w:eastAsia="es-MX"/>
        </w:rPr>
        <w:t xml:space="preserve"> con el fin de enfrentar </w:t>
      </w:r>
      <w:r w:rsidRPr="007F2045">
        <w:rPr>
          <w:rFonts w:ascii="Times New Roman" w:eastAsia="MS Mincho" w:hAnsi="Times New Roman"/>
          <w:sz w:val="28"/>
          <w:szCs w:val="28"/>
          <w:lang w:eastAsia="es-MX"/>
        </w:rPr>
        <w:lastRenderedPageBreak/>
        <w:t>situaciones no sobrevinientes</w:t>
      </w:r>
      <w:r w:rsidR="00463DA8" w:rsidRPr="007F2045">
        <w:rPr>
          <w:rFonts w:ascii="Times New Roman" w:eastAsia="MS Mincho" w:hAnsi="Times New Roman"/>
          <w:sz w:val="28"/>
          <w:szCs w:val="28"/>
          <w:lang w:eastAsia="es-MX"/>
        </w:rPr>
        <w:t>,</w:t>
      </w:r>
      <w:r w:rsidRPr="007F2045">
        <w:rPr>
          <w:rFonts w:ascii="Times New Roman" w:eastAsia="MS Mincho" w:hAnsi="Times New Roman"/>
          <w:sz w:val="28"/>
          <w:szCs w:val="28"/>
          <w:lang w:eastAsia="es-MX"/>
        </w:rPr>
        <w:t xml:space="preserve"> genera un efecto grave e irremediable para la confianza pública, el sometimiento de los ciudadanos a la ley formal y, adicionalmente, pone en riesgo la institucionalidad constitucional. </w:t>
      </w:r>
    </w:p>
    <w:p w14:paraId="1CE47C82" w14:textId="77777777" w:rsidR="004C4104" w:rsidRPr="007F2045" w:rsidRDefault="004C4104" w:rsidP="001B5728">
      <w:pPr>
        <w:pStyle w:val="Prrafodelista"/>
        <w:tabs>
          <w:tab w:val="left" w:pos="284"/>
          <w:tab w:val="left" w:pos="426"/>
        </w:tabs>
        <w:spacing w:after="0" w:line="240" w:lineRule="auto"/>
        <w:ind w:left="320"/>
        <w:rPr>
          <w:rFonts w:ascii="Times New Roman" w:eastAsia="MS Mincho" w:hAnsi="Times New Roman"/>
          <w:sz w:val="28"/>
          <w:szCs w:val="28"/>
          <w:lang w:eastAsia="es-MX"/>
        </w:rPr>
      </w:pPr>
    </w:p>
    <w:p w14:paraId="04895621" w14:textId="77777777" w:rsidR="004C4104" w:rsidRPr="007F2045" w:rsidRDefault="004C4104" w:rsidP="001B5728">
      <w:pPr>
        <w:pStyle w:val="Prrafodelista"/>
        <w:numPr>
          <w:ilvl w:val="0"/>
          <w:numId w:val="2"/>
        </w:numPr>
        <w:tabs>
          <w:tab w:val="left" w:pos="284"/>
          <w:tab w:val="left" w:pos="426"/>
        </w:tabs>
        <w:spacing w:after="0" w:line="240" w:lineRule="auto"/>
        <w:ind w:left="0" w:firstLine="0"/>
        <w:rPr>
          <w:rFonts w:ascii="Times New Roman" w:eastAsia="MS Mincho" w:hAnsi="Times New Roman"/>
          <w:sz w:val="28"/>
          <w:szCs w:val="28"/>
          <w:lang w:eastAsia="es-MX"/>
        </w:rPr>
      </w:pPr>
      <w:r w:rsidRPr="007F2045">
        <w:rPr>
          <w:rFonts w:ascii="Times New Roman" w:eastAsia="MS Mincho" w:hAnsi="Times New Roman"/>
          <w:sz w:val="28"/>
          <w:szCs w:val="28"/>
          <w:lang w:eastAsia="es-MX"/>
        </w:rPr>
        <w:t>En esta línea, la Corte ha señalado que una situación grave de déficit fiscal puede ser un problema estructural que no debe ser atendido por las vías excepcionales. Precisamente</w:t>
      </w:r>
      <w:r w:rsidR="0051317E" w:rsidRPr="007F2045">
        <w:rPr>
          <w:rFonts w:ascii="Times New Roman" w:eastAsia="MS Mincho" w:hAnsi="Times New Roman"/>
          <w:sz w:val="28"/>
          <w:szCs w:val="28"/>
          <w:lang w:eastAsia="es-MX"/>
        </w:rPr>
        <w:t>,</w:t>
      </w:r>
      <w:r w:rsidRPr="007F2045">
        <w:rPr>
          <w:rFonts w:ascii="Times New Roman" w:eastAsia="MS Mincho" w:hAnsi="Times New Roman"/>
          <w:sz w:val="28"/>
          <w:szCs w:val="28"/>
          <w:lang w:eastAsia="es-MX"/>
        </w:rPr>
        <w:t xml:space="preserve"> en la sentencia C-122 de 1997</w:t>
      </w:r>
      <w:r w:rsidR="0051317E" w:rsidRPr="007F2045">
        <w:rPr>
          <w:rFonts w:ascii="Times New Roman" w:eastAsia="MS Mincho" w:hAnsi="Times New Roman"/>
          <w:sz w:val="28"/>
          <w:szCs w:val="28"/>
          <w:lang w:eastAsia="es-MX"/>
        </w:rPr>
        <w:t>,</w:t>
      </w:r>
      <w:r w:rsidRPr="007F2045">
        <w:rPr>
          <w:rFonts w:ascii="Times New Roman" w:eastAsia="MS Mincho" w:hAnsi="Times New Roman"/>
          <w:sz w:val="28"/>
          <w:szCs w:val="28"/>
          <w:lang w:eastAsia="es-MX"/>
        </w:rPr>
        <w:t xml:space="preserve"> en la cual la Corte revisó el Decreto 080 del 13 de enero de 1997</w:t>
      </w:r>
      <w:r w:rsidR="0051317E" w:rsidRPr="007F2045">
        <w:rPr>
          <w:rFonts w:ascii="Times New Roman" w:eastAsia="MS Mincho" w:hAnsi="Times New Roman"/>
          <w:sz w:val="28"/>
          <w:szCs w:val="28"/>
          <w:lang w:eastAsia="es-MX"/>
        </w:rPr>
        <w:t>,</w:t>
      </w:r>
      <w:r w:rsidRPr="007F2045">
        <w:rPr>
          <w:rFonts w:ascii="Times New Roman" w:eastAsia="MS Mincho" w:hAnsi="Times New Roman"/>
          <w:sz w:val="28"/>
          <w:szCs w:val="28"/>
          <w:lang w:eastAsia="es-MX"/>
        </w:rPr>
        <w:t xml:space="preserve"> “Por el cual se declara el estado de emergencia económica y social”, la Sala Plena llamó la atención sobre el uso </w:t>
      </w:r>
      <w:r w:rsidR="0066409B" w:rsidRPr="007F2045">
        <w:rPr>
          <w:rFonts w:ascii="Times New Roman" w:eastAsia="MS Mincho" w:hAnsi="Times New Roman"/>
          <w:sz w:val="28"/>
          <w:szCs w:val="28"/>
          <w:lang w:eastAsia="es-MX"/>
        </w:rPr>
        <w:t xml:space="preserve">de dicho </w:t>
      </w:r>
      <w:r w:rsidRPr="007F2045">
        <w:rPr>
          <w:rFonts w:ascii="Times New Roman" w:eastAsia="MS Mincho" w:hAnsi="Times New Roman"/>
          <w:sz w:val="28"/>
          <w:szCs w:val="28"/>
          <w:lang w:eastAsia="es-MX"/>
        </w:rPr>
        <w:t xml:space="preserve">estado en situaciones en las que se invocan situaciones presupuestales graves. En esa oportunidad, el </w:t>
      </w:r>
      <w:r w:rsidR="0066409B" w:rsidRPr="007F2045">
        <w:rPr>
          <w:rFonts w:ascii="Times New Roman" w:eastAsia="MS Mincho" w:hAnsi="Times New Roman"/>
          <w:sz w:val="28"/>
          <w:szCs w:val="28"/>
          <w:lang w:eastAsia="es-MX"/>
        </w:rPr>
        <w:t xml:space="preserve">Gobierno </w:t>
      </w:r>
      <w:r w:rsidRPr="007F2045">
        <w:rPr>
          <w:rFonts w:ascii="Times New Roman" w:eastAsia="MS Mincho" w:hAnsi="Times New Roman"/>
          <w:sz w:val="28"/>
          <w:szCs w:val="28"/>
          <w:lang w:eastAsia="es-MX"/>
        </w:rPr>
        <w:t xml:space="preserve">nacional invocó hechos como la desaceleración de la economía, la insuficiencia del recaudo tributario, la sostenida y creciente revaluación del peso frente al dólar, y con ello señaló que existían circunstancias de deterioro de la situación fiscal, cambiaria y de empleo que agravaban de forma ostensible la perturbación del orden económico y social. </w:t>
      </w:r>
    </w:p>
    <w:p w14:paraId="23B9EDBB" w14:textId="77777777" w:rsidR="004C4104" w:rsidRPr="007F2045" w:rsidRDefault="004C4104" w:rsidP="001B5728">
      <w:pPr>
        <w:pStyle w:val="Prrafodelista"/>
        <w:spacing w:after="0" w:line="240" w:lineRule="auto"/>
        <w:rPr>
          <w:rFonts w:ascii="Times New Roman" w:eastAsia="MS Mincho" w:hAnsi="Times New Roman"/>
          <w:sz w:val="28"/>
          <w:szCs w:val="28"/>
          <w:lang w:eastAsia="es-MX"/>
        </w:rPr>
      </w:pPr>
    </w:p>
    <w:p w14:paraId="2EE1EC30" w14:textId="77777777" w:rsidR="004C4104" w:rsidRPr="007F2045" w:rsidRDefault="004C4104" w:rsidP="001B5728">
      <w:pPr>
        <w:pStyle w:val="Prrafodelista"/>
        <w:numPr>
          <w:ilvl w:val="0"/>
          <w:numId w:val="2"/>
        </w:numPr>
        <w:tabs>
          <w:tab w:val="left" w:pos="284"/>
          <w:tab w:val="left" w:pos="426"/>
        </w:tabs>
        <w:spacing w:after="0" w:line="240" w:lineRule="auto"/>
        <w:ind w:left="0" w:firstLine="0"/>
        <w:rPr>
          <w:rFonts w:ascii="Times New Roman" w:eastAsia="MS Mincho" w:hAnsi="Times New Roman"/>
          <w:sz w:val="28"/>
          <w:szCs w:val="28"/>
          <w:lang w:eastAsia="es-MX"/>
        </w:rPr>
      </w:pPr>
      <w:r w:rsidRPr="007F2045">
        <w:rPr>
          <w:rFonts w:ascii="Times New Roman" w:eastAsia="MS Mincho" w:hAnsi="Times New Roman"/>
          <w:sz w:val="28"/>
          <w:szCs w:val="28"/>
          <w:lang w:eastAsia="es-MX"/>
        </w:rPr>
        <w:t>La Sala Plena resolvió declarar la inconstitucionalidad de la declaratoria del estado de excepción de emergencia económica</w:t>
      </w:r>
      <w:r w:rsidR="00490A02" w:rsidRPr="007F2045">
        <w:rPr>
          <w:rFonts w:ascii="Times New Roman" w:eastAsia="MS Mincho" w:hAnsi="Times New Roman"/>
          <w:sz w:val="28"/>
          <w:szCs w:val="28"/>
          <w:lang w:eastAsia="es-MX"/>
        </w:rPr>
        <w:t xml:space="preserve"> y social</w:t>
      </w:r>
      <w:r w:rsidRPr="007F2045">
        <w:rPr>
          <w:rFonts w:ascii="Times New Roman" w:eastAsia="MS Mincho" w:hAnsi="Times New Roman"/>
          <w:sz w:val="28"/>
          <w:szCs w:val="28"/>
          <w:lang w:eastAsia="es-MX"/>
        </w:rPr>
        <w:t xml:space="preserve">. Para llegar a esta conclusión, la Corte resaltó que la invocación de problemas estructurales no puede ser suficiente para interrumpir los mecanismos democráticos: </w:t>
      </w:r>
    </w:p>
    <w:p w14:paraId="2C2EAB54" w14:textId="77777777" w:rsidR="004C4104" w:rsidRPr="007F2045" w:rsidRDefault="004C4104" w:rsidP="001B5728">
      <w:pPr>
        <w:pStyle w:val="Prrafodelista"/>
        <w:spacing w:after="0" w:line="240" w:lineRule="auto"/>
        <w:ind w:left="320"/>
        <w:rPr>
          <w:rFonts w:ascii="Times New Roman" w:eastAsia="MS Mincho" w:hAnsi="Times New Roman"/>
          <w:lang w:eastAsia="es-MX"/>
        </w:rPr>
      </w:pPr>
    </w:p>
    <w:p w14:paraId="156F90B5" w14:textId="77777777" w:rsidR="004C4104" w:rsidRPr="007F2045" w:rsidRDefault="004C4104" w:rsidP="001B5728">
      <w:pPr>
        <w:pStyle w:val="Prrafodelista"/>
        <w:tabs>
          <w:tab w:val="left" w:pos="284"/>
          <w:tab w:val="left" w:pos="426"/>
        </w:tabs>
        <w:spacing w:after="0" w:line="240" w:lineRule="auto"/>
        <w:ind w:left="320" w:right="474"/>
        <w:rPr>
          <w:rFonts w:ascii="Times New Roman" w:hAnsi="Times New Roman"/>
          <w:sz w:val="28"/>
          <w:szCs w:val="28"/>
        </w:rPr>
      </w:pPr>
      <w:r w:rsidRPr="007F2045">
        <w:rPr>
          <w:rFonts w:ascii="Times New Roman" w:eastAsia="MS Mincho" w:hAnsi="Times New Roman"/>
          <w:lang w:eastAsia="es-MX"/>
        </w:rPr>
        <w:t>“La abundancia y gravedad de los problemas estructurales que gravitan sobre la sociedad colombiana es tal que, con razón, se ha denominado la actual situación, que es la misma del pasado reciente, "anormalidad-normal". No obstante</w:t>
      </w:r>
      <w:r w:rsidR="00DF4756" w:rsidRPr="007F2045">
        <w:rPr>
          <w:rFonts w:ascii="Times New Roman" w:eastAsia="MS Mincho" w:hAnsi="Times New Roman"/>
          <w:lang w:eastAsia="es-MX"/>
        </w:rPr>
        <w:t>,</w:t>
      </w:r>
      <w:r w:rsidRPr="007F2045">
        <w:rPr>
          <w:rFonts w:ascii="Times New Roman" w:eastAsia="MS Mincho" w:hAnsi="Times New Roman"/>
          <w:lang w:eastAsia="es-MX"/>
        </w:rPr>
        <w:t xml:space="preserve"> esa calificación, la mera invocación de un problema estructural, no autoriza la declaración de un estado de excepción, ni que el país entre a ser gobernado de manera ininterrumpida a través de decretos legislativos. Este sería el fin de la democracia. En esta hora, por el contrario, el sentido de la democracia no es otro distinto que el de resolver en su seno los problemas que de tiempo atrás agobian al país y que, por diversos motivos, han adquirido el signo de crónicos y estructurales, no porque lo sean de manera irredimible, sino por falta de una voluntad y una solidaridad mínima para emprender decididamente la senda que lleve a ponerles término”.</w:t>
      </w:r>
    </w:p>
    <w:p w14:paraId="740F2566" w14:textId="77777777" w:rsidR="004C4104" w:rsidRPr="007F2045" w:rsidRDefault="004C4104" w:rsidP="001B5728">
      <w:pPr>
        <w:pStyle w:val="Prrafodelista"/>
        <w:tabs>
          <w:tab w:val="left" w:pos="426"/>
        </w:tabs>
        <w:spacing w:after="0" w:line="240" w:lineRule="auto"/>
        <w:ind w:left="320"/>
        <w:rPr>
          <w:rFonts w:ascii="Times New Roman" w:eastAsia="MS Mincho" w:hAnsi="Times New Roman"/>
          <w:sz w:val="28"/>
          <w:szCs w:val="28"/>
          <w:lang w:eastAsia="es-MX"/>
        </w:rPr>
      </w:pPr>
    </w:p>
    <w:p w14:paraId="041ABC5C" w14:textId="77777777" w:rsidR="004C4104" w:rsidRPr="007F2045" w:rsidRDefault="004C4104" w:rsidP="001B5728">
      <w:pPr>
        <w:pStyle w:val="Prrafodelista"/>
        <w:numPr>
          <w:ilvl w:val="0"/>
          <w:numId w:val="2"/>
        </w:numPr>
        <w:tabs>
          <w:tab w:val="left" w:pos="284"/>
          <w:tab w:val="left" w:pos="426"/>
        </w:tabs>
        <w:spacing w:after="0" w:line="240" w:lineRule="auto"/>
        <w:ind w:left="0" w:firstLine="0"/>
        <w:rPr>
          <w:rFonts w:ascii="Times New Roman" w:eastAsia="MS Mincho" w:hAnsi="Times New Roman"/>
          <w:sz w:val="28"/>
          <w:szCs w:val="28"/>
          <w:lang w:eastAsia="es-MX"/>
        </w:rPr>
      </w:pPr>
      <w:r w:rsidRPr="007F2045">
        <w:rPr>
          <w:rFonts w:ascii="Times New Roman" w:eastAsia="MS Mincho" w:hAnsi="Times New Roman"/>
          <w:sz w:val="28"/>
          <w:szCs w:val="28"/>
          <w:lang w:eastAsia="es-MX"/>
        </w:rPr>
        <w:t xml:space="preserve">Con esta afirmación la Sala Plena reiteró “la doctrina que prohíbe la utilización expansiva de los poderes excepcionales de la emergencia para resolver problemas crónicos o estructurales”. </w:t>
      </w:r>
    </w:p>
    <w:p w14:paraId="10B8C41B" w14:textId="77777777" w:rsidR="000E1F51" w:rsidRPr="007F2045" w:rsidRDefault="000E1F51" w:rsidP="001B5728">
      <w:pPr>
        <w:pStyle w:val="Prrafodelista"/>
        <w:tabs>
          <w:tab w:val="left" w:pos="426"/>
        </w:tabs>
        <w:spacing w:after="0" w:line="240" w:lineRule="auto"/>
        <w:ind w:left="0"/>
        <w:rPr>
          <w:rFonts w:ascii="Times New Roman" w:eastAsia="MS Mincho" w:hAnsi="Times New Roman"/>
          <w:sz w:val="28"/>
          <w:szCs w:val="28"/>
          <w:lang w:val="es-CO" w:eastAsia="es-MX"/>
        </w:rPr>
      </w:pPr>
    </w:p>
    <w:p w14:paraId="1B47F982"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eastAsia="MS Mincho" w:hAnsi="Times New Roman"/>
          <w:sz w:val="28"/>
          <w:szCs w:val="28"/>
          <w:lang w:val="es-CO" w:eastAsia="es-MX"/>
        </w:rPr>
      </w:pPr>
      <w:r w:rsidRPr="007F2045">
        <w:rPr>
          <w:rFonts w:ascii="Times New Roman" w:eastAsia="MS Mincho" w:hAnsi="Times New Roman"/>
          <w:sz w:val="28"/>
          <w:szCs w:val="28"/>
          <w:lang w:val="es-CO" w:eastAsia="es-MX"/>
        </w:rPr>
        <w:t xml:space="preserve">El carácter grave e irremediable del efecto debe analizarse, en síntesis, valorando si </w:t>
      </w:r>
      <w:r w:rsidRPr="007F2045">
        <w:rPr>
          <w:rFonts w:ascii="Times New Roman" w:hAnsi="Times New Roman"/>
          <w:sz w:val="28"/>
          <w:szCs w:val="28"/>
          <w:lang w:val="es-CO"/>
        </w:rPr>
        <w:t>existen</w:t>
      </w:r>
      <w:r w:rsidRPr="007F2045">
        <w:rPr>
          <w:rFonts w:ascii="Times New Roman" w:eastAsia="MS Mincho" w:hAnsi="Times New Roman"/>
          <w:sz w:val="28"/>
          <w:szCs w:val="28"/>
          <w:lang w:val="es-CO" w:eastAsia="es-MX"/>
        </w:rPr>
        <w:t xml:space="preserve"> razones para considerar que el presidente de la República declaró el estado de excepción a pesar de no existir, al menos </w:t>
      </w:r>
      <w:r w:rsidRPr="007F2045">
        <w:rPr>
          <w:rFonts w:ascii="Times New Roman" w:eastAsia="MS Mincho" w:hAnsi="Times New Roman"/>
          <w:i/>
          <w:sz w:val="28"/>
          <w:szCs w:val="28"/>
          <w:lang w:val="es-CO" w:eastAsia="es-MX"/>
        </w:rPr>
        <w:t>prima facie</w:t>
      </w:r>
      <w:r w:rsidRPr="007F2045">
        <w:rPr>
          <w:rFonts w:ascii="Times New Roman" w:eastAsia="MS Mincho" w:hAnsi="Times New Roman"/>
          <w:sz w:val="28"/>
          <w:szCs w:val="28"/>
          <w:lang w:val="es-CO" w:eastAsia="es-MX"/>
        </w:rPr>
        <w:t xml:space="preserve">, evidencia clara </w:t>
      </w:r>
      <w:r w:rsidR="00B06BDF" w:rsidRPr="007F2045">
        <w:rPr>
          <w:rFonts w:ascii="Times New Roman" w:eastAsia="MS Mincho" w:hAnsi="Times New Roman"/>
          <w:sz w:val="28"/>
          <w:szCs w:val="28"/>
          <w:lang w:val="es-CO" w:eastAsia="es-MX"/>
        </w:rPr>
        <w:t xml:space="preserve">sobre </w:t>
      </w:r>
      <w:r w:rsidRPr="007F2045">
        <w:rPr>
          <w:rFonts w:ascii="Times New Roman" w:eastAsia="MS Mincho" w:hAnsi="Times New Roman"/>
          <w:sz w:val="28"/>
          <w:szCs w:val="28"/>
          <w:lang w:val="es-CO" w:eastAsia="es-MX"/>
        </w:rPr>
        <w:t xml:space="preserve">el cumplimiento de los presupuestos para activar esa competencia. Si es esto lo que ocurre, es posible afirmar el impacto lesivo sobre los ejes constitucionales mencionados y en el funcionamiento del sistema democrático, fundado en el respeto a la Constitución y </w:t>
      </w:r>
      <w:r w:rsidR="00B06BDF" w:rsidRPr="007F2045">
        <w:rPr>
          <w:rFonts w:ascii="Times New Roman" w:eastAsia="MS Mincho" w:hAnsi="Times New Roman"/>
          <w:sz w:val="28"/>
          <w:szCs w:val="28"/>
          <w:lang w:val="es-CO" w:eastAsia="es-MX"/>
        </w:rPr>
        <w:t xml:space="preserve">en </w:t>
      </w:r>
      <w:r w:rsidRPr="007F2045">
        <w:rPr>
          <w:rFonts w:ascii="Times New Roman" w:eastAsia="MS Mincho" w:hAnsi="Times New Roman"/>
          <w:sz w:val="28"/>
          <w:szCs w:val="28"/>
          <w:lang w:val="es-CO" w:eastAsia="es-MX"/>
        </w:rPr>
        <w:t xml:space="preserve">la separación de las </w:t>
      </w:r>
      <w:r w:rsidR="00B06BDF" w:rsidRPr="007F2045">
        <w:rPr>
          <w:rFonts w:ascii="Times New Roman" w:eastAsia="MS Mincho" w:hAnsi="Times New Roman"/>
          <w:sz w:val="28"/>
          <w:szCs w:val="28"/>
          <w:lang w:val="es-CO" w:eastAsia="es-MX"/>
        </w:rPr>
        <w:t xml:space="preserve">funciones de las </w:t>
      </w:r>
      <w:r w:rsidRPr="007F2045">
        <w:rPr>
          <w:rFonts w:ascii="Times New Roman" w:eastAsia="MS Mincho" w:hAnsi="Times New Roman"/>
          <w:sz w:val="28"/>
          <w:szCs w:val="28"/>
          <w:lang w:val="es-CO" w:eastAsia="es-MX"/>
        </w:rPr>
        <w:t>Ramas del poder. Precisamente, la Corte ha señalado que “[l]a mera consideración de un hecho como extraordinario, desconociendo el entramado institucional que puede de manera directa y expedita contribuir sustancialmente a resolver la situación de crisis, revela una estrategia de expansión del poder que no se compadece con el principio democrático”</w:t>
      </w:r>
      <w:r w:rsidRPr="007F2045">
        <w:rPr>
          <w:rFonts w:ascii="Times New Roman" w:eastAsia="MS Mincho" w:hAnsi="Times New Roman"/>
          <w:szCs w:val="28"/>
          <w:vertAlign w:val="superscript"/>
          <w:lang w:val="es-CO" w:eastAsia="es-MX"/>
        </w:rPr>
        <w:footnoteReference w:id="82"/>
      </w:r>
      <w:r w:rsidRPr="007F2045">
        <w:rPr>
          <w:rFonts w:ascii="Times New Roman" w:eastAsia="MS Mincho" w:hAnsi="Times New Roman"/>
          <w:sz w:val="28"/>
          <w:szCs w:val="28"/>
          <w:lang w:val="es-CO" w:eastAsia="es-MX"/>
        </w:rPr>
        <w:t xml:space="preserve">. </w:t>
      </w:r>
    </w:p>
    <w:p w14:paraId="333B9E75" w14:textId="77777777" w:rsidR="000E1F51" w:rsidRPr="007F2045" w:rsidRDefault="000E1F51" w:rsidP="001B5728">
      <w:pPr>
        <w:pStyle w:val="Prrafodelista"/>
        <w:tabs>
          <w:tab w:val="left" w:pos="284"/>
          <w:tab w:val="left" w:pos="426"/>
        </w:tabs>
        <w:spacing w:after="0" w:line="240" w:lineRule="auto"/>
        <w:ind w:left="0"/>
        <w:rPr>
          <w:rFonts w:ascii="Times New Roman" w:hAnsi="Times New Roman"/>
          <w:sz w:val="28"/>
          <w:szCs w:val="28"/>
          <w:lang w:val="es-CO"/>
        </w:rPr>
      </w:pPr>
    </w:p>
    <w:p w14:paraId="113ACB1E" w14:textId="77777777" w:rsidR="000E1F51" w:rsidRPr="007F2045" w:rsidRDefault="000E1F51" w:rsidP="001B5728">
      <w:pPr>
        <w:pStyle w:val="Ttulo2"/>
        <w:numPr>
          <w:ilvl w:val="0"/>
          <w:numId w:val="17"/>
        </w:numPr>
        <w:ind w:left="1276" w:hanging="567"/>
        <w:rPr>
          <w:lang w:val="es-CO"/>
        </w:rPr>
      </w:pPr>
      <w:r w:rsidRPr="007F2045">
        <w:rPr>
          <w:lang w:val="es-CO"/>
        </w:rPr>
        <w:lastRenderedPageBreak/>
        <w:t>El Decreto 1390 de 2025 produce efectos irremediables en el principio democrático y la separación de poderes</w:t>
      </w:r>
    </w:p>
    <w:p w14:paraId="178F04DC" w14:textId="77777777" w:rsidR="000E1F51" w:rsidRPr="007F2045" w:rsidRDefault="000E1F51" w:rsidP="001B5728">
      <w:pPr>
        <w:pStyle w:val="Prrafodelista"/>
        <w:spacing w:after="0" w:line="240" w:lineRule="auto"/>
        <w:rPr>
          <w:rFonts w:ascii="Times New Roman" w:hAnsi="Times New Roman"/>
          <w:sz w:val="28"/>
          <w:szCs w:val="28"/>
          <w:lang w:val="es-CO"/>
        </w:rPr>
      </w:pPr>
    </w:p>
    <w:p w14:paraId="64BA1FEC"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Identificada</w:t>
      </w:r>
      <w:r w:rsidRPr="007F2045">
        <w:rPr>
          <w:rFonts w:ascii="Times New Roman" w:eastAsia="MS Mincho" w:hAnsi="Times New Roman"/>
          <w:sz w:val="28"/>
          <w:szCs w:val="28"/>
          <w:shd w:val="clear" w:color="auto" w:fill="FFFFFF"/>
          <w:lang w:val="es-CO" w:eastAsia="es-MX"/>
        </w:rPr>
        <w:t xml:space="preserve"> la </w:t>
      </w:r>
      <w:r w:rsidRPr="007F2045">
        <w:rPr>
          <w:rFonts w:ascii="Times New Roman" w:eastAsia="MS Mincho" w:hAnsi="Times New Roman"/>
          <w:i/>
          <w:sz w:val="28"/>
          <w:szCs w:val="28"/>
          <w:shd w:val="clear" w:color="auto" w:fill="FFFFFF"/>
          <w:lang w:val="es-CO" w:eastAsia="es-MX"/>
        </w:rPr>
        <w:t>prima facie</w:t>
      </w:r>
      <w:r w:rsidRPr="007F2045">
        <w:rPr>
          <w:rFonts w:ascii="Times New Roman" w:eastAsia="MS Mincho" w:hAnsi="Times New Roman"/>
          <w:sz w:val="28"/>
          <w:szCs w:val="28"/>
          <w:shd w:val="clear" w:color="auto" w:fill="FFFFFF"/>
          <w:lang w:val="es-CO" w:eastAsia="es-MX"/>
        </w:rPr>
        <w:t xml:space="preserve"> manifiesta inconstitucionalidad del Decreto 1390, en los términos de</w:t>
      </w:r>
      <w:r w:rsidR="007577B2" w:rsidRPr="007F2045">
        <w:rPr>
          <w:rFonts w:ascii="Times New Roman" w:eastAsia="MS Mincho" w:hAnsi="Times New Roman"/>
          <w:sz w:val="28"/>
          <w:szCs w:val="28"/>
          <w:shd w:val="clear" w:color="auto" w:fill="FFFFFF"/>
          <w:lang w:val="es-CO" w:eastAsia="es-MX"/>
        </w:rPr>
        <w:t xml:space="preserve"> </w:t>
      </w:r>
      <w:r w:rsidRPr="007F2045">
        <w:rPr>
          <w:rFonts w:ascii="Times New Roman" w:eastAsia="MS Mincho" w:hAnsi="Times New Roman"/>
          <w:sz w:val="28"/>
          <w:szCs w:val="28"/>
          <w:shd w:val="clear" w:color="auto" w:fill="FFFFFF"/>
          <w:lang w:val="es-CO" w:eastAsia="es-MX"/>
        </w:rPr>
        <w:t>l</w:t>
      </w:r>
      <w:r w:rsidR="007577B2" w:rsidRPr="007F2045">
        <w:rPr>
          <w:rFonts w:ascii="Times New Roman" w:eastAsia="MS Mincho" w:hAnsi="Times New Roman"/>
          <w:sz w:val="28"/>
          <w:szCs w:val="28"/>
          <w:shd w:val="clear" w:color="auto" w:fill="FFFFFF"/>
          <w:lang w:val="es-CO" w:eastAsia="es-MX"/>
        </w:rPr>
        <w:t>a</w:t>
      </w:r>
      <w:r w:rsidRPr="007F2045">
        <w:rPr>
          <w:rFonts w:ascii="Times New Roman" w:eastAsia="MS Mincho" w:hAnsi="Times New Roman"/>
          <w:sz w:val="28"/>
          <w:szCs w:val="28"/>
          <w:shd w:val="clear" w:color="auto" w:fill="FFFFFF"/>
          <w:lang w:val="es-CO" w:eastAsia="es-MX"/>
        </w:rPr>
        <w:t xml:space="preserve"> </w:t>
      </w:r>
      <w:r w:rsidR="007577B2" w:rsidRPr="007F2045">
        <w:rPr>
          <w:rFonts w:ascii="Times New Roman" w:eastAsia="MS Mincho" w:hAnsi="Times New Roman"/>
          <w:b/>
          <w:bCs/>
          <w:sz w:val="28"/>
          <w:szCs w:val="28"/>
          <w:shd w:val="clear" w:color="auto" w:fill="FFFFFF"/>
          <w:lang w:val="es-CO" w:eastAsia="es-MX"/>
        </w:rPr>
        <w:t xml:space="preserve">sección </w:t>
      </w:r>
      <w:r w:rsidRPr="007F2045">
        <w:rPr>
          <w:rFonts w:ascii="Times New Roman" w:eastAsia="MS Mincho" w:hAnsi="Times New Roman"/>
          <w:b/>
          <w:bCs/>
          <w:sz w:val="28"/>
          <w:szCs w:val="28"/>
          <w:shd w:val="clear" w:color="auto" w:fill="FFFFFF"/>
          <w:lang w:val="es-CO" w:eastAsia="es-MX"/>
        </w:rPr>
        <w:t>5</w:t>
      </w:r>
      <w:r w:rsidR="00CE433C" w:rsidRPr="007F2045">
        <w:rPr>
          <w:rFonts w:ascii="Times New Roman" w:eastAsia="MS Mincho" w:hAnsi="Times New Roman"/>
          <w:b/>
          <w:bCs/>
          <w:sz w:val="28"/>
          <w:szCs w:val="28"/>
          <w:shd w:val="clear" w:color="auto" w:fill="FFFFFF"/>
          <w:lang w:val="es-CO" w:eastAsia="es-MX"/>
        </w:rPr>
        <w:t>.1.1</w:t>
      </w:r>
      <w:r w:rsidRPr="007F2045">
        <w:rPr>
          <w:rFonts w:ascii="Times New Roman" w:eastAsia="MS Mincho" w:hAnsi="Times New Roman"/>
          <w:sz w:val="28"/>
          <w:szCs w:val="28"/>
          <w:shd w:val="clear" w:color="auto" w:fill="FFFFFF"/>
          <w:lang w:val="es-CO" w:eastAsia="es-MX"/>
        </w:rPr>
        <w:t xml:space="preserve">, la declaratoria también genera efectos irremediables. </w:t>
      </w:r>
      <w:r w:rsidRPr="007F2045">
        <w:rPr>
          <w:rFonts w:ascii="Times New Roman" w:eastAsia="MS Mincho" w:hAnsi="Times New Roman"/>
          <w:sz w:val="28"/>
          <w:szCs w:val="28"/>
          <w:lang w:val="es-CO" w:eastAsia="es-MX"/>
        </w:rPr>
        <w:t xml:space="preserve">Para la Corte, es necesario evidenciar cuáles son los efectos notoriamente adversos e irreversibles que produce el Decreto 1390 de 2025 sobre el </w:t>
      </w:r>
      <w:r w:rsidRPr="007F2045">
        <w:rPr>
          <w:rFonts w:ascii="Times New Roman" w:hAnsi="Times New Roman"/>
          <w:sz w:val="28"/>
          <w:szCs w:val="28"/>
          <w:lang w:val="es-CO"/>
        </w:rPr>
        <w:t>sistema</w:t>
      </w:r>
      <w:r w:rsidRPr="007F2045">
        <w:rPr>
          <w:rFonts w:ascii="Times New Roman" w:eastAsia="MS Mincho" w:hAnsi="Times New Roman"/>
          <w:sz w:val="28"/>
          <w:szCs w:val="28"/>
          <w:lang w:val="es-CO" w:eastAsia="es-MX"/>
        </w:rPr>
        <w:t xml:space="preserve"> constitucional (art. 215 </w:t>
      </w:r>
      <w:r w:rsidR="00DD46C0" w:rsidRPr="007F2045">
        <w:rPr>
          <w:rFonts w:ascii="Times New Roman" w:eastAsia="MS Mincho" w:hAnsi="Times New Roman"/>
          <w:sz w:val="28"/>
          <w:szCs w:val="28"/>
          <w:lang w:val="es-CO" w:eastAsia="es-MX"/>
        </w:rPr>
        <w:t xml:space="preserve">del Texto Superior </w:t>
      </w:r>
      <w:r w:rsidRPr="007F2045">
        <w:rPr>
          <w:rFonts w:ascii="Times New Roman" w:eastAsia="MS Mincho" w:hAnsi="Times New Roman"/>
          <w:sz w:val="28"/>
          <w:szCs w:val="28"/>
          <w:lang w:val="es-CO" w:eastAsia="es-MX"/>
        </w:rPr>
        <w:t>y Ley estatutaria 137 de 1994). E</w:t>
      </w:r>
      <w:r w:rsidRPr="007F2045">
        <w:rPr>
          <w:rFonts w:ascii="Times New Roman" w:hAnsi="Times New Roman"/>
          <w:sz w:val="28"/>
          <w:szCs w:val="28"/>
          <w:lang w:val="es-CO"/>
        </w:rPr>
        <w:t>l principio de separación de poderes es una garantía del Estado Social de Derecho y de la existencia de una democracia, conceptos en los que se reconoce la representación y participación indirecta del pueblo en la discusión y aprobación del presupuesto y las medidas tributarias que se requieran para su sostenibilidad.</w:t>
      </w:r>
    </w:p>
    <w:p w14:paraId="53677CD2" w14:textId="77777777" w:rsidR="000E1F51" w:rsidRPr="007F2045" w:rsidRDefault="000E1F51" w:rsidP="001B5728">
      <w:pPr>
        <w:pStyle w:val="Prrafodelista"/>
        <w:widowControl w:val="0"/>
        <w:tabs>
          <w:tab w:val="left" w:pos="567"/>
        </w:tabs>
        <w:spacing w:after="0" w:line="240" w:lineRule="auto"/>
        <w:ind w:left="0"/>
        <w:rPr>
          <w:rFonts w:ascii="Times New Roman" w:hAnsi="Times New Roman"/>
          <w:sz w:val="28"/>
          <w:szCs w:val="28"/>
          <w:lang w:val="es-CO"/>
        </w:rPr>
      </w:pPr>
    </w:p>
    <w:p w14:paraId="442C6732"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eastAsia="MS Mincho" w:hAnsi="Times New Roman"/>
          <w:sz w:val="28"/>
          <w:szCs w:val="28"/>
          <w:lang w:val="es-CO" w:eastAsia="es-MX"/>
        </w:rPr>
        <w:t>La jurisprudencia constitucional ha afirmado que el principio de separación de las ramas del poder público (artículo 113)</w:t>
      </w:r>
      <w:r w:rsidRPr="007F2045">
        <w:rPr>
          <w:rFonts w:ascii="Times New Roman" w:eastAsia="MS Mincho" w:hAnsi="Times New Roman"/>
          <w:szCs w:val="28"/>
          <w:vertAlign w:val="superscript"/>
          <w:lang w:val="es-CO" w:eastAsia="es-MX"/>
        </w:rPr>
        <w:footnoteReference w:id="83"/>
      </w:r>
      <w:r w:rsidRPr="007F2045">
        <w:rPr>
          <w:rFonts w:ascii="Times New Roman" w:eastAsia="MS Mincho" w:hAnsi="Times New Roman"/>
          <w:sz w:val="28"/>
          <w:szCs w:val="28"/>
          <w:lang w:val="es-CO" w:eastAsia="es-MX"/>
        </w:rPr>
        <w:t xml:space="preserve"> es un eje de la Constitución Política</w:t>
      </w:r>
      <w:r w:rsidRPr="007F2045">
        <w:rPr>
          <w:rFonts w:ascii="Times New Roman" w:eastAsia="MS Mincho" w:hAnsi="Times New Roman"/>
          <w:szCs w:val="28"/>
          <w:vertAlign w:val="superscript"/>
          <w:lang w:val="es-CO" w:eastAsia="es-MX"/>
        </w:rPr>
        <w:footnoteReference w:id="84"/>
      </w:r>
      <w:r w:rsidRPr="007F2045">
        <w:rPr>
          <w:rFonts w:ascii="Times New Roman" w:eastAsia="MS Mincho" w:hAnsi="Times New Roman"/>
          <w:sz w:val="28"/>
          <w:szCs w:val="28"/>
          <w:lang w:val="es-CO" w:eastAsia="es-MX"/>
        </w:rPr>
        <w:t xml:space="preserve">. Este principio asegura que no existe un poder concentrado que se torne arbitrario, de allí que la división del ejercicio del poder sea una garantía para los ciudadanos. En palabras de la Corte: </w:t>
      </w:r>
    </w:p>
    <w:p w14:paraId="767FBA02" w14:textId="77777777" w:rsidR="000E1F51" w:rsidRPr="007F2045" w:rsidRDefault="000E1F51" w:rsidP="001B5728">
      <w:pPr>
        <w:pStyle w:val="Prrafodelista"/>
        <w:spacing w:after="0" w:line="240" w:lineRule="auto"/>
        <w:rPr>
          <w:rFonts w:ascii="Times New Roman" w:eastAsia="MS Mincho" w:hAnsi="Times New Roman"/>
          <w:sz w:val="28"/>
          <w:szCs w:val="28"/>
          <w:lang w:val="es-CO" w:eastAsia="es-MX"/>
        </w:rPr>
      </w:pPr>
    </w:p>
    <w:p w14:paraId="1D0FDE8F" w14:textId="77777777" w:rsidR="000E1F51" w:rsidRPr="007F2045" w:rsidRDefault="000E1F51" w:rsidP="001B5728">
      <w:pPr>
        <w:pStyle w:val="Prrafodelista"/>
        <w:tabs>
          <w:tab w:val="left" w:pos="284"/>
          <w:tab w:val="left" w:pos="426"/>
        </w:tabs>
        <w:spacing w:after="0" w:line="240" w:lineRule="auto"/>
        <w:ind w:left="567" w:right="616"/>
        <w:rPr>
          <w:rFonts w:ascii="Times New Roman" w:eastAsia="MS Mincho" w:hAnsi="Times New Roman"/>
          <w:lang w:val="es-CO" w:eastAsia="es-MX"/>
        </w:rPr>
      </w:pPr>
      <w:r w:rsidRPr="007F2045">
        <w:rPr>
          <w:rFonts w:ascii="Times New Roman" w:eastAsia="MS Mincho" w:hAnsi="Times New Roman"/>
          <w:lang w:val="es-CO" w:eastAsia="es-MX"/>
        </w:rPr>
        <w:t>“la existencia de un poder limitado opera como garantía para el funcionamiento de la democracia y el sistema republicano de Gobierno, el cual parte de la base del equilibrio entre los poderes del Estado, el reconocimiento de ámbitos de ejercicio independiente y autónomo de las funciones otorgadas por el orden jurídico, y la subordinación de la actuación de los servidores públicos y los particulares a las reglas jurídicas producidas, de manera prevalente, a partir de canales deliberativos y representativos de la voluntad de los ciudadanos. La división y limitación del poder, así vistos, operan igualmente como instrumento para la protección de los derechos”</w:t>
      </w:r>
      <w:r w:rsidRPr="007F2045">
        <w:rPr>
          <w:rFonts w:ascii="Times New Roman" w:eastAsia="MS Mincho" w:hAnsi="Times New Roman"/>
          <w:vertAlign w:val="superscript"/>
          <w:lang w:val="es-CO" w:eastAsia="es-MX"/>
        </w:rPr>
        <w:footnoteReference w:id="85"/>
      </w:r>
      <w:r w:rsidRPr="007F2045">
        <w:rPr>
          <w:rFonts w:ascii="Times New Roman" w:eastAsia="MS Mincho" w:hAnsi="Times New Roman"/>
          <w:lang w:val="es-CO" w:eastAsia="es-MX"/>
        </w:rPr>
        <w:t>.</w:t>
      </w:r>
    </w:p>
    <w:p w14:paraId="04D9C2EF" w14:textId="77777777" w:rsidR="000E1F51" w:rsidRPr="007F2045" w:rsidRDefault="000E1F51" w:rsidP="001B5728">
      <w:pPr>
        <w:pStyle w:val="Prrafodelista"/>
        <w:spacing w:after="0" w:line="240" w:lineRule="auto"/>
        <w:rPr>
          <w:rFonts w:ascii="Times New Roman" w:hAnsi="Times New Roman"/>
          <w:sz w:val="28"/>
          <w:szCs w:val="28"/>
          <w:lang w:val="es-CO"/>
        </w:rPr>
      </w:pPr>
    </w:p>
    <w:p w14:paraId="3117FA08"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En ese sentido, la Corte ha concluido que el principio de separación de poderes tiene dos contenidos:</w:t>
      </w:r>
      <w:r w:rsidRPr="007F2045">
        <w:rPr>
          <w:rFonts w:ascii="Times New Roman" w:hAnsi="Times New Roman"/>
          <w:i/>
          <w:iCs/>
          <w:sz w:val="28"/>
          <w:szCs w:val="28"/>
          <w:lang w:val="es-CO"/>
        </w:rPr>
        <w:t xml:space="preserve"> (i) </w:t>
      </w:r>
      <w:r w:rsidRPr="007F2045">
        <w:rPr>
          <w:rFonts w:ascii="Times New Roman" w:eastAsia="MS Mincho" w:hAnsi="Times New Roman"/>
          <w:sz w:val="28"/>
          <w:szCs w:val="28"/>
          <w:lang w:val="es-CO" w:eastAsia="es-MX"/>
        </w:rPr>
        <w:t xml:space="preserve">uno estático, “basado en la delimitación precisa de las competencias y facultades, aunado al reconocimiento de autonomía e independencia para las ramas del poder”; y </w:t>
      </w:r>
      <w:r w:rsidRPr="007F2045">
        <w:rPr>
          <w:rFonts w:ascii="Times New Roman" w:eastAsia="MS Mincho" w:hAnsi="Times New Roman"/>
          <w:i/>
          <w:iCs/>
          <w:sz w:val="28"/>
          <w:szCs w:val="28"/>
          <w:lang w:val="es-CO" w:eastAsia="es-MX"/>
        </w:rPr>
        <w:t>(</w:t>
      </w:r>
      <w:proofErr w:type="spellStart"/>
      <w:r w:rsidRPr="007F2045">
        <w:rPr>
          <w:rFonts w:ascii="Times New Roman" w:eastAsia="MS Mincho" w:hAnsi="Times New Roman"/>
          <w:i/>
          <w:iCs/>
          <w:sz w:val="28"/>
          <w:szCs w:val="28"/>
          <w:lang w:val="es-CO" w:eastAsia="es-MX"/>
        </w:rPr>
        <w:t>ii</w:t>
      </w:r>
      <w:proofErr w:type="spellEnd"/>
      <w:r w:rsidRPr="007F2045">
        <w:rPr>
          <w:rFonts w:ascii="Times New Roman" w:eastAsia="MS Mincho" w:hAnsi="Times New Roman"/>
          <w:i/>
          <w:iCs/>
          <w:sz w:val="28"/>
          <w:szCs w:val="28"/>
          <w:lang w:val="es-CO" w:eastAsia="es-MX"/>
        </w:rPr>
        <w:t>)</w:t>
      </w:r>
      <w:r w:rsidRPr="007F2045">
        <w:rPr>
          <w:rFonts w:ascii="Times New Roman" w:eastAsia="MS Mincho" w:hAnsi="Times New Roman"/>
          <w:sz w:val="28"/>
          <w:szCs w:val="28"/>
          <w:lang w:val="es-CO" w:eastAsia="es-MX"/>
        </w:rPr>
        <w:t xml:space="preserve"> otro dinámico, “que reconoce la necesidad de articular las funciones entre dichas ramas, con el fin de lograr el cumplimiento adecuado de los fines esenciales del Estado, así como impedir los excesos en el ejercicio de las competencias a partir de un modelo institucionalizado de mutuos controles”</w:t>
      </w:r>
      <w:r w:rsidRPr="007F2045">
        <w:rPr>
          <w:rFonts w:ascii="Times New Roman" w:eastAsia="MS Mincho" w:hAnsi="Times New Roman"/>
          <w:szCs w:val="28"/>
          <w:vertAlign w:val="superscript"/>
          <w:lang w:val="es-CO" w:eastAsia="es-MX"/>
        </w:rPr>
        <w:footnoteReference w:id="86"/>
      </w:r>
      <w:r w:rsidRPr="007F2045">
        <w:rPr>
          <w:rFonts w:ascii="Times New Roman" w:eastAsia="MS Mincho" w:hAnsi="Times New Roman"/>
          <w:sz w:val="28"/>
          <w:szCs w:val="28"/>
          <w:lang w:val="es-CO" w:eastAsia="es-MX"/>
        </w:rPr>
        <w:t xml:space="preserve">. Lo anterior también se traduce en la esencialidad de los órganos constitucionales y su incidencia en la organización política que diseñó el </w:t>
      </w:r>
      <w:r w:rsidR="00243AEC" w:rsidRPr="007F2045">
        <w:rPr>
          <w:rFonts w:ascii="Times New Roman" w:eastAsia="MS Mincho" w:hAnsi="Times New Roman"/>
          <w:sz w:val="28"/>
          <w:szCs w:val="28"/>
          <w:lang w:val="es-CO" w:eastAsia="es-MX"/>
        </w:rPr>
        <w:t>Constituyente</w:t>
      </w:r>
      <w:r w:rsidRPr="007F2045">
        <w:rPr>
          <w:rFonts w:ascii="Times New Roman" w:eastAsia="MS Mincho" w:hAnsi="Times New Roman"/>
          <w:sz w:val="28"/>
          <w:szCs w:val="28"/>
          <w:lang w:val="es-CO" w:eastAsia="es-MX"/>
        </w:rPr>
        <w:t xml:space="preserve">. Es decir, cada órgano e institución tiene prevista una función a través de la cual ejerce el poder público, lo que implica una </w:t>
      </w:r>
      <w:r w:rsidRPr="007F2045">
        <w:rPr>
          <w:rFonts w:ascii="Times New Roman" w:eastAsia="MS Mincho" w:hAnsi="Times New Roman"/>
          <w:i/>
          <w:iCs/>
          <w:sz w:val="28"/>
          <w:szCs w:val="28"/>
          <w:lang w:val="es-CO" w:eastAsia="es-MX"/>
        </w:rPr>
        <w:t>especialización funcional</w:t>
      </w:r>
      <w:r w:rsidRPr="007F2045">
        <w:rPr>
          <w:rFonts w:ascii="Times New Roman" w:eastAsia="MS Mincho" w:hAnsi="Times New Roman"/>
          <w:sz w:val="28"/>
          <w:szCs w:val="28"/>
          <w:lang w:val="es-CO" w:eastAsia="es-MX"/>
        </w:rPr>
        <w:t xml:space="preserve"> que debe respetar los lineamientos constitucionales.</w:t>
      </w:r>
    </w:p>
    <w:p w14:paraId="7FDFC903" w14:textId="77777777" w:rsidR="000E1F51" w:rsidRPr="007F2045" w:rsidRDefault="000E1F51" w:rsidP="001B5728">
      <w:pPr>
        <w:pStyle w:val="Prrafodelista"/>
        <w:spacing w:after="0" w:line="240" w:lineRule="auto"/>
        <w:rPr>
          <w:rFonts w:ascii="Times New Roman" w:hAnsi="Times New Roman"/>
          <w:sz w:val="28"/>
          <w:szCs w:val="28"/>
          <w:lang w:val="es-CO"/>
        </w:rPr>
      </w:pPr>
    </w:p>
    <w:p w14:paraId="472F7C90"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eastAsia="MS Mincho" w:hAnsi="Times New Roman"/>
          <w:sz w:val="28"/>
          <w:szCs w:val="28"/>
          <w:lang w:val="es-CO" w:eastAsia="es-MX"/>
        </w:rPr>
        <w:t xml:space="preserve">Ahora bien, lo cierto es que, en el marco de un estado de excepción, como un mecanismo contemplado por el mismo </w:t>
      </w:r>
      <w:r w:rsidR="00174AB5" w:rsidRPr="007F2045">
        <w:rPr>
          <w:rFonts w:ascii="Times New Roman" w:eastAsia="MS Mincho" w:hAnsi="Times New Roman"/>
          <w:sz w:val="28"/>
          <w:szCs w:val="28"/>
          <w:lang w:val="es-CO" w:eastAsia="es-MX"/>
        </w:rPr>
        <w:t>Constituyente</w:t>
      </w:r>
      <w:r w:rsidRPr="007F2045">
        <w:rPr>
          <w:rFonts w:ascii="Times New Roman" w:eastAsia="MS Mincho" w:hAnsi="Times New Roman"/>
          <w:sz w:val="28"/>
          <w:szCs w:val="28"/>
          <w:lang w:val="es-CO" w:eastAsia="es-MX"/>
        </w:rPr>
        <w:t xml:space="preserve">, se alteran las competencias de tiempos de normalidad, debido a la necesidad de atender la situación excepcional. Sobre este escenario, </w:t>
      </w:r>
      <w:r w:rsidR="000845AC" w:rsidRPr="007F2045">
        <w:rPr>
          <w:rFonts w:ascii="Times New Roman" w:eastAsia="MS Mincho" w:hAnsi="Times New Roman"/>
          <w:sz w:val="28"/>
          <w:szCs w:val="28"/>
          <w:lang w:val="es-CO" w:eastAsia="es-MX"/>
        </w:rPr>
        <w:t xml:space="preserve">como ya se ha indicado aquí, </w:t>
      </w:r>
      <w:r w:rsidRPr="007F2045">
        <w:rPr>
          <w:rFonts w:ascii="Times New Roman" w:eastAsia="MS Mincho" w:hAnsi="Times New Roman"/>
          <w:sz w:val="28"/>
          <w:szCs w:val="28"/>
          <w:lang w:val="es-CO" w:eastAsia="es-MX"/>
        </w:rPr>
        <w:t xml:space="preserve">la Corte ha reconocido que en los estados de excepción se presenta un “rediseño </w:t>
      </w:r>
      <w:r w:rsidRPr="007F2045">
        <w:rPr>
          <w:rFonts w:ascii="Times New Roman" w:eastAsia="MS Mincho" w:hAnsi="Times New Roman"/>
          <w:sz w:val="28"/>
          <w:szCs w:val="28"/>
          <w:lang w:val="es-CO" w:eastAsia="es-MX"/>
        </w:rPr>
        <w:lastRenderedPageBreak/>
        <w:t>transitorio del funcionamiento del Estado”</w:t>
      </w:r>
      <w:r w:rsidRPr="007F2045">
        <w:rPr>
          <w:rFonts w:ascii="Times New Roman" w:eastAsia="MS Mincho" w:hAnsi="Times New Roman"/>
          <w:szCs w:val="28"/>
          <w:vertAlign w:val="superscript"/>
          <w:lang w:val="es-CO" w:eastAsia="es-MX"/>
        </w:rPr>
        <w:footnoteReference w:id="87"/>
      </w:r>
      <w:r w:rsidRPr="007F2045">
        <w:rPr>
          <w:rFonts w:ascii="Times New Roman" w:eastAsia="MS Mincho" w:hAnsi="Times New Roman"/>
          <w:sz w:val="28"/>
          <w:szCs w:val="28"/>
          <w:lang w:val="es-CO" w:eastAsia="es-MX"/>
        </w:rPr>
        <w:t xml:space="preserve">, pues la situación de anormalidad le otorga mayores poderes al ejecutivo, y correlativamente, disminuye los conferidos al legislativo. Lo anterior inevitablemente </w:t>
      </w:r>
      <w:r w:rsidR="00720077" w:rsidRPr="007F2045">
        <w:rPr>
          <w:rFonts w:ascii="Times New Roman" w:eastAsia="MS Mincho" w:hAnsi="Times New Roman"/>
          <w:sz w:val="28"/>
          <w:szCs w:val="28"/>
          <w:lang w:val="es-CO" w:eastAsia="es-MX"/>
        </w:rPr>
        <w:t xml:space="preserve">impacta </w:t>
      </w:r>
      <w:r w:rsidRPr="007F2045">
        <w:rPr>
          <w:rFonts w:ascii="Times New Roman" w:eastAsia="MS Mincho" w:hAnsi="Times New Roman"/>
          <w:sz w:val="28"/>
          <w:szCs w:val="28"/>
          <w:lang w:val="es-CO" w:eastAsia="es-MX"/>
        </w:rPr>
        <w:t>el principio de separación de poderes y el principio democrático. En todo caso, las medidas adoptadas no deben estar encaminadas a anular estos mandatos. Así, la Corte ha señalado que:</w:t>
      </w:r>
    </w:p>
    <w:p w14:paraId="03CA7F8D" w14:textId="77777777" w:rsidR="000E1F51" w:rsidRPr="007F2045" w:rsidRDefault="000E1F51" w:rsidP="001B5728">
      <w:pPr>
        <w:pStyle w:val="Prrafodelista"/>
        <w:spacing w:after="0" w:line="240" w:lineRule="auto"/>
        <w:rPr>
          <w:rFonts w:ascii="Times New Roman" w:eastAsia="MS Mincho" w:hAnsi="Times New Roman"/>
          <w:sz w:val="28"/>
          <w:szCs w:val="28"/>
          <w:lang w:val="es-CO" w:eastAsia="es-MX"/>
        </w:rPr>
      </w:pPr>
    </w:p>
    <w:p w14:paraId="0A8BF288" w14:textId="77777777" w:rsidR="000E1F51" w:rsidRPr="007F2045" w:rsidRDefault="000E1F51" w:rsidP="001B5728">
      <w:pPr>
        <w:pStyle w:val="Prrafodelista"/>
        <w:tabs>
          <w:tab w:val="left" w:pos="284"/>
          <w:tab w:val="left" w:pos="426"/>
        </w:tabs>
        <w:spacing w:after="0" w:line="240" w:lineRule="auto"/>
        <w:ind w:left="567" w:right="616"/>
        <w:rPr>
          <w:rFonts w:ascii="Times New Roman" w:hAnsi="Times New Roman"/>
          <w:lang w:val="es-CO"/>
        </w:rPr>
      </w:pPr>
      <w:r w:rsidRPr="007F2045">
        <w:rPr>
          <w:rFonts w:ascii="Times New Roman" w:eastAsia="MS Mincho" w:hAnsi="Times New Roman"/>
          <w:lang w:val="es-CO" w:eastAsia="es-MX"/>
        </w:rPr>
        <w:t>“los estados de excepción no excepcionan la Constitución y no son, ni pueden ser un Estado de facto. Si bien la Carta Política le confiere al Presidente de la República poderes extraordinarios, éstos no revisten un grado absoluto, al encontrarse limitados por diversos tipos de controles que buscan impedir los excesos y a la vez garantizar los principios fundamentales que soportan el Estado de derecho”</w:t>
      </w:r>
      <w:r w:rsidRPr="007F2045">
        <w:rPr>
          <w:rFonts w:ascii="Times New Roman" w:eastAsia="MS Mincho" w:hAnsi="Times New Roman"/>
          <w:vertAlign w:val="superscript"/>
          <w:lang w:val="es-CO" w:eastAsia="es-MX"/>
        </w:rPr>
        <w:footnoteReference w:id="88"/>
      </w:r>
      <w:r w:rsidRPr="007F2045">
        <w:rPr>
          <w:rFonts w:ascii="Times New Roman" w:eastAsia="MS Mincho" w:hAnsi="Times New Roman"/>
          <w:lang w:val="es-CO" w:eastAsia="es-MX"/>
        </w:rPr>
        <w:t>.</w:t>
      </w:r>
    </w:p>
    <w:p w14:paraId="35E408A0" w14:textId="77777777" w:rsidR="000E1F51" w:rsidRPr="007F2045" w:rsidRDefault="000E1F51" w:rsidP="001B5728">
      <w:pPr>
        <w:pStyle w:val="Prrafodelista"/>
        <w:widowControl w:val="0"/>
        <w:tabs>
          <w:tab w:val="left" w:pos="567"/>
        </w:tabs>
        <w:spacing w:after="0" w:line="240" w:lineRule="auto"/>
        <w:ind w:left="0"/>
        <w:rPr>
          <w:rFonts w:ascii="Times New Roman" w:hAnsi="Times New Roman"/>
          <w:sz w:val="28"/>
          <w:szCs w:val="28"/>
          <w:lang w:val="es-CO"/>
        </w:rPr>
      </w:pPr>
    </w:p>
    <w:p w14:paraId="082BA4F7"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eastAsia="MS Mincho" w:hAnsi="Times New Roman"/>
          <w:sz w:val="28"/>
          <w:szCs w:val="28"/>
          <w:lang w:val="es-CO" w:eastAsia="es-MX"/>
        </w:rPr>
        <w:t>Por su parte, el principio democrático se manifiesta en todas las funciones del poder legislativo como representante del pueblo</w:t>
      </w:r>
      <w:r w:rsidRPr="007F2045">
        <w:rPr>
          <w:rFonts w:ascii="Times New Roman" w:eastAsia="MS Mincho" w:hAnsi="Times New Roman"/>
          <w:szCs w:val="28"/>
          <w:vertAlign w:val="superscript"/>
          <w:lang w:val="es-CO" w:eastAsia="es-MX"/>
        </w:rPr>
        <w:footnoteReference w:id="89"/>
      </w:r>
      <w:r w:rsidRPr="007F2045">
        <w:rPr>
          <w:rFonts w:ascii="Times New Roman" w:eastAsia="MS Mincho" w:hAnsi="Times New Roman"/>
          <w:sz w:val="28"/>
          <w:szCs w:val="28"/>
          <w:lang w:val="es-CO" w:eastAsia="es-MX"/>
        </w:rPr>
        <w:t>. La Corte ha afirmado que en el marco de aquellas funciones el concepto de lo</w:t>
      </w:r>
      <w:r w:rsidRPr="007F2045">
        <w:rPr>
          <w:rFonts w:ascii="Times New Roman" w:hAnsi="Times New Roman"/>
          <w:sz w:val="28"/>
          <w:szCs w:val="28"/>
          <w:lang w:val="es-CO"/>
        </w:rPr>
        <w:t xml:space="preserve"> </w:t>
      </w:r>
      <w:r w:rsidR="00720077" w:rsidRPr="007F2045">
        <w:rPr>
          <w:rFonts w:ascii="Times New Roman" w:hAnsi="Times New Roman"/>
          <w:sz w:val="28"/>
          <w:szCs w:val="28"/>
          <w:lang w:val="es-CO"/>
        </w:rPr>
        <w:t>democrático</w:t>
      </w:r>
      <w:r w:rsidRPr="007F2045">
        <w:rPr>
          <w:rFonts w:ascii="Times New Roman" w:hAnsi="Times New Roman"/>
          <w:sz w:val="28"/>
          <w:szCs w:val="28"/>
          <w:lang w:val="es-CO"/>
        </w:rPr>
        <w:t xml:space="preserve"> </w:t>
      </w:r>
      <w:r w:rsidRPr="007F2045">
        <w:rPr>
          <w:rFonts w:ascii="Times New Roman" w:eastAsia="MS Mincho" w:hAnsi="Times New Roman"/>
          <w:sz w:val="28"/>
          <w:szCs w:val="28"/>
          <w:lang w:val="es-CO" w:eastAsia="es-MX"/>
        </w:rPr>
        <w:t xml:space="preserve">se ve reflejado en el </w:t>
      </w:r>
      <w:r w:rsidRPr="007F2045">
        <w:rPr>
          <w:rFonts w:ascii="Times New Roman" w:hAnsi="Times New Roman"/>
          <w:sz w:val="28"/>
          <w:szCs w:val="28"/>
          <w:lang w:val="es-CO"/>
        </w:rPr>
        <w:t>principio mayoritario o de decisión por mayorías, de pluralismo político y de publicidad</w:t>
      </w:r>
      <w:r w:rsidRPr="007F2045">
        <w:rPr>
          <w:rFonts w:ascii="Times New Roman" w:eastAsia="MS Mincho" w:hAnsi="Times New Roman"/>
          <w:sz w:val="28"/>
          <w:szCs w:val="28"/>
          <w:lang w:val="es-CO" w:eastAsia="es-MX"/>
        </w:rPr>
        <w:t xml:space="preserve">, </w:t>
      </w:r>
      <w:r w:rsidR="00C96FD7" w:rsidRPr="007F2045">
        <w:rPr>
          <w:rFonts w:ascii="Times New Roman" w:eastAsia="MS Mincho" w:hAnsi="Times New Roman"/>
          <w:sz w:val="28"/>
          <w:szCs w:val="28"/>
          <w:lang w:val="es-CO" w:eastAsia="es-MX"/>
        </w:rPr>
        <w:t xml:space="preserve">en </w:t>
      </w:r>
      <w:r w:rsidRPr="007F2045">
        <w:rPr>
          <w:rFonts w:ascii="Times New Roman" w:eastAsia="MS Mincho" w:hAnsi="Times New Roman"/>
          <w:sz w:val="28"/>
          <w:szCs w:val="28"/>
          <w:lang w:val="es-CO" w:eastAsia="es-MX"/>
        </w:rPr>
        <w:t>los cuales</w:t>
      </w:r>
      <w:r w:rsidRPr="007F2045">
        <w:rPr>
          <w:rFonts w:ascii="Times New Roman" w:hAnsi="Times New Roman"/>
          <w:sz w:val="28"/>
          <w:szCs w:val="28"/>
          <w:lang w:val="es-CO"/>
        </w:rPr>
        <w:t xml:space="preserve"> se puede</w:t>
      </w:r>
      <w:r w:rsidR="000B29D9" w:rsidRPr="007F2045">
        <w:rPr>
          <w:rFonts w:ascii="Times New Roman" w:hAnsi="Times New Roman"/>
          <w:sz w:val="28"/>
          <w:szCs w:val="28"/>
          <w:lang w:val="es-CO"/>
        </w:rPr>
        <w:t>n</w:t>
      </w:r>
      <w:r w:rsidRPr="007F2045">
        <w:rPr>
          <w:rFonts w:ascii="Times New Roman" w:hAnsi="Times New Roman"/>
          <w:sz w:val="28"/>
          <w:szCs w:val="28"/>
          <w:lang w:val="es-CO"/>
        </w:rPr>
        <w:t xml:space="preserve"> entender </w:t>
      </w:r>
      <w:r w:rsidRPr="007F2045">
        <w:rPr>
          <w:rFonts w:ascii="Times New Roman" w:eastAsia="MS Mincho" w:hAnsi="Times New Roman"/>
          <w:sz w:val="28"/>
          <w:szCs w:val="28"/>
          <w:lang w:val="es-CO" w:eastAsia="es-MX"/>
        </w:rPr>
        <w:t>condensados</w:t>
      </w:r>
      <w:r w:rsidRPr="007F2045">
        <w:rPr>
          <w:rFonts w:ascii="Times New Roman" w:hAnsi="Times New Roman"/>
          <w:sz w:val="28"/>
          <w:szCs w:val="28"/>
          <w:lang w:val="es-CO"/>
        </w:rPr>
        <w:t xml:space="preserve"> de forma un poco más concreta el sentido democrático que atiende el deber ser del funcionamiento del Congreso</w:t>
      </w:r>
      <w:r w:rsidRPr="007F2045">
        <w:rPr>
          <w:rFonts w:ascii="Times New Roman" w:eastAsia="MS Mincho" w:hAnsi="Times New Roman"/>
          <w:iCs/>
          <w:szCs w:val="28"/>
          <w:vertAlign w:val="superscript"/>
          <w:lang w:val="es-CO" w:eastAsia="es-MX"/>
        </w:rPr>
        <w:footnoteReference w:id="90"/>
      </w:r>
      <w:r w:rsidRPr="007F2045">
        <w:rPr>
          <w:rFonts w:ascii="Times New Roman" w:eastAsia="MS Mincho" w:hAnsi="Times New Roman"/>
          <w:sz w:val="28"/>
          <w:szCs w:val="28"/>
          <w:lang w:val="es-CO" w:eastAsia="es-MX"/>
        </w:rPr>
        <w:t>.</w:t>
      </w:r>
      <w:r w:rsidRPr="007F2045">
        <w:rPr>
          <w:rFonts w:ascii="Times New Roman" w:hAnsi="Times New Roman"/>
          <w:sz w:val="28"/>
          <w:szCs w:val="28"/>
          <w:lang w:val="es-CO"/>
        </w:rPr>
        <w:t xml:space="preserve"> </w:t>
      </w:r>
      <w:r w:rsidRPr="007F2045">
        <w:rPr>
          <w:rFonts w:ascii="Times New Roman" w:eastAsia="MS Mincho" w:hAnsi="Times New Roman"/>
          <w:sz w:val="28"/>
          <w:szCs w:val="28"/>
          <w:lang w:val="es-CO" w:eastAsia="es-MX"/>
        </w:rPr>
        <w:t>Además, la jurisprudencia ha señalado que “el principio democrático constituye un elemento esencial de la Constitución de 1991 y se desprende del texto constitucional que Colombia es una democracia participativa, representativa y pluralista, rasgos definitorios éstos ligados indisolublemente a la realización de elecciones transparentes, periódicas, inclusivas, competitivas e igualitarias (…)”</w:t>
      </w:r>
      <w:r w:rsidRPr="007F2045">
        <w:rPr>
          <w:rFonts w:ascii="Times New Roman" w:eastAsia="MS Mincho" w:hAnsi="Times New Roman"/>
          <w:szCs w:val="28"/>
          <w:vertAlign w:val="superscript"/>
          <w:lang w:val="es-CO" w:eastAsia="es-MX"/>
        </w:rPr>
        <w:footnoteReference w:id="91"/>
      </w:r>
      <w:r w:rsidRPr="007F2045">
        <w:rPr>
          <w:rFonts w:ascii="Times New Roman" w:eastAsia="MS Mincho" w:hAnsi="Times New Roman"/>
          <w:sz w:val="28"/>
          <w:szCs w:val="28"/>
          <w:lang w:val="es-CO" w:eastAsia="es-MX"/>
        </w:rPr>
        <w:t xml:space="preserve">. </w:t>
      </w:r>
    </w:p>
    <w:p w14:paraId="0D644C1C" w14:textId="77777777" w:rsidR="000E1F51" w:rsidRPr="007F2045" w:rsidRDefault="000E1F51" w:rsidP="001B5728">
      <w:pPr>
        <w:pStyle w:val="Prrafodelista"/>
        <w:widowControl w:val="0"/>
        <w:tabs>
          <w:tab w:val="left" w:pos="567"/>
        </w:tabs>
        <w:spacing w:after="0" w:line="240" w:lineRule="auto"/>
        <w:ind w:left="0"/>
        <w:rPr>
          <w:rFonts w:ascii="Times New Roman" w:eastAsia="MS Mincho" w:hAnsi="Times New Roman"/>
          <w:sz w:val="28"/>
          <w:szCs w:val="28"/>
          <w:lang w:val="es-CO" w:eastAsia="es-MX"/>
        </w:rPr>
      </w:pPr>
    </w:p>
    <w:p w14:paraId="5BC8805F"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eastAsia="MS Mincho" w:hAnsi="Times New Roman"/>
          <w:sz w:val="28"/>
          <w:szCs w:val="28"/>
          <w:lang w:val="es-CO" w:eastAsia="es-MX"/>
        </w:rPr>
      </w:pPr>
      <w:r w:rsidRPr="007F2045">
        <w:rPr>
          <w:rFonts w:ascii="Times New Roman" w:eastAsia="MS Mincho" w:hAnsi="Times New Roman"/>
          <w:sz w:val="28"/>
          <w:szCs w:val="28"/>
          <w:lang w:val="es-CO" w:eastAsia="es-MX"/>
        </w:rPr>
        <w:t>Tratándose de medidas que afectan sensiblemente los derechos</w:t>
      </w:r>
      <w:r w:rsidR="001F0FAD" w:rsidRPr="007F2045">
        <w:rPr>
          <w:rFonts w:ascii="Times New Roman" w:eastAsia="MS Mincho" w:hAnsi="Times New Roman"/>
          <w:sz w:val="28"/>
          <w:szCs w:val="28"/>
          <w:lang w:val="es-CO" w:eastAsia="es-MX"/>
        </w:rPr>
        <w:t xml:space="preserve"> constitucionales</w:t>
      </w:r>
      <w:r w:rsidRPr="007F2045">
        <w:rPr>
          <w:rFonts w:ascii="Times New Roman" w:eastAsia="MS Mincho" w:hAnsi="Times New Roman"/>
          <w:sz w:val="28"/>
          <w:szCs w:val="28"/>
          <w:lang w:val="es-CO" w:eastAsia="es-MX"/>
        </w:rPr>
        <w:t>, estas requieren de una deliberación amplia y cuidadosa por parte del legislador, en tanto representante natural de la voluntad democrática. De acuerdo con ello, la Corte ha señalado que la cláusula general de competencia en materia penal y tributaria</w:t>
      </w:r>
      <w:r w:rsidRPr="007F2045">
        <w:rPr>
          <w:rFonts w:ascii="Times New Roman" w:eastAsia="MS Mincho" w:hAnsi="Times New Roman"/>
          <w:szCs w:val="28"/>
          <w:vertAlign w:val="superscript"/>
          <w:lang w:val="es-CO" w:eastAsia="es-MX"/>
        </w:rPr>
        <w:footnoteReference w:id="92"/>
      </w:r>
      <w:r w:rsidRPr="007F2045">
        <w:rPr>
          <w:rFonts w:ascii="Times New Roman" w:eastAsia="MS Mincho" w:hAnsi="Times New Roman"/>
          <w:sz w:val="28"/>
          <w:szCs w:val="28"/>
          <w:lang w:val="es-CO" w:eastAsia="es-MX"/>
        </w:rPr>
        <w:t>, es una manifestación del principio democrático.</w:t>
      </w:r>
    </w:p>
    <w:p w14:paraId="35F1B12D" w14:textId="77777777" w:rsidR="000E1F51" w:rsidRPr="007F2045" w:rsidRDefault="000E1F51" w:rsidP="001B5728">
      <w:pPr>
        <w:pStyle w:val="Prrafodelista"/>
        <w:spacing w:after="0" w:line="240" w:lineRule="auto"/>
        <w:rPr>
          <w:rFonts w:ascii="Times New Roman" w:hAnsi="Times New Roman"/>
          <w:sz w:val="28"/>
          <w:szCs w:val="28"/>
          <w:lang w:val="es-CO"/>
        </w:rPr>
      </w:pPr>
    </w:p>
    <w:p w14:paraId="1426DE12"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eastAsia="MS Mincho" w:hAnsi="Times New Roman"/>
          <w:sz w:val="28"/>
          <w:szCs w:val="28"/>
          <w:lang w:val="es-CO" w:eastAsia="es-MX"/>
        </w:rPr>
        <w:t xml:space="preserve">En el marco de los estados de excepción, a pesar de que el ejecutivo cuenta con facultades extraordinarias, excepcionales y transitorias, no puede adoptar medidas en aquellas materias que tienen reserva de ley sin demostrar su efectiva conexidad, necesidad y proporcionalidad con el fin de conjurar la crisis </w:t>
      </w:r>
      <w:r w:rsidRPr="007F2045">
        <w:rPr>
          <w:rFonts w:ascii="Times New Roman" w:eastAsia="MS Mincho" w:hAnsi="Times New Roman"/>
          <w:sz w:val="28"/>
          <w:szCs w:val="28"/>
          <w:lang w:val="es-CO" w:eastAsia="es-MX"/>
        </w:rPr>
        <w:lastRenderedPageBreak/>
        <w:t>o la situación de anormalidad. Por ello, a pesar de que en los estados de excepción se presenta una fuerte restricción del principio democrático, justamente por esa razón, las medidas adoptadas deben atender única y necesariamente a la situación de emergencia, y de ninguna manera a eventos que pueden atenderse por las vías ordinarias. De tal forma, el principio democrático se concibe también como la sujeción de los gobernantes a las reglas de juego básicas concebidas por los gobernados</w:t>
      </w:r>
      <w:r w:rsidRPr="007F2045">
        <w:rPr>
          <w:rFonts w:ascii="Times New Roman" w:eastAsia="MS Mincho" w:hAnsi="Times New Roman"/>
          <w:szCs w:val="28"/>
          <w:vertAlign w:val="superscript"/>
          <w:lang w:val="es-CO" w:eastAsia="es-MX"/>
        </w:rPr>
        <w:footnoteReference w:id="93"/>
      </w:r>
      <w:r w:rsidRPr="007F2045">
        <w:rPr>
          <w:rFonts w:ascii="Times New Roman" w:eastAsia="MS Mincho" w:hAnsi="Times New Roman"/>
          <w:sz w:val="28"/>
          <w:szCs w:val="28"/>
          <w:lang w:val="es-CO" w:eastAsia="es-MX"/>
        </w:rPr>
        <w:t xml:space="preserve">. </w:t>
      </w:r>
    </w:p>
    <w:p w14:paraId="32222065" w14:textId="77777777" w:rsidR="000E1F51" w:rsidRPr="007F2045" w:rsidRDefault="000E1F51" w:rsidP="001B5728">
      <w:pPr>
        <w:pStyle w:val="Prrafodelista"/>
        <w:spacing w:after="0" w:line="240" w:lineRule="auto"/>
        <w:rPr>
          <w:rFonts w:ascii="Times New Roman" w:hAnsi="Times New Roman"/>
          <w:sz w:val="28"/>
          <w:szCs w:val="28"/>
          <w:lang w:val="es-CO"/>
        </w:rPr>
      </w:pPr>
    </w:p>
    <w:p w14:paraId="6241A3F2"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eastAsia="MS Mincho" w:hAnsi="Times New Roman"/>
          <w:sz w:val="28"/>
          <w:szCs w:val="28"/>
          <w:lang w:val="es-CO" w:eastAsia="es-MX"/>
        </w:rPr>
        <w:t xml:space="preserve">El decreto que declara la emergencia económica </w:t>
      </w:r>
      <w:r w:rsidR="007D6BCF" w:rsidRPr="007F2045">
        <w:rPr>
          <w:rFonts w:ascii="Times New Roman" w:eastAsia="MS Mincho" w:hAnsi="Times New Roman"/>
          <w:sz w:val="28"/>
          <w:szCs w:val="28"/>
          <w:lang w:val="es-CO" w:eastAsia="es-MX"/>
        </w:rPr>
        <w:t xml:space="preserve">y social </w:t>
      </w:r>
      <w:r w:rsidRPr="007F2045">
        <w:rPr>
          <w:rFonts w:ascii="Times New Roman" w:eastAsia="MS Mincho" w:hAnsi="Times New Roman"/>
          <w:sz w:val="28"/>
          <w:szCs w:val="28"/>
          <w:lang w:val="es-CO" w:eastAsia="es-MX"/>
        </w:rPr>
        <w:t xml:space="preserve">en esta </w:t>
      </w:r>
      <w:r w:rsidR="00DA0856" w:rsidRPr="007F2045">
        <w:rPr>
          <w:rFonts w:ascii="Times New Roman" w:eastAsia="MS Mincho" w:hAnsi="Times New Roman"/>
          <w:sz w:val="28"/>
          <w:szCs w:val="28"/>
          <w:lang w:val="es-CO" w:eastAsia="es-MX"/>
        </w:rPr>
        <w:t>ocasión</w:t>
      </w:r>
      <w:r w:rsidRPr="007F2045">
        <w:rPr>
          <w:rFonts w:ascii="Times New Roman" w:eastAsia="MS Mincho" w:hAnsi="Times New Roman"/>
          <w:sz w:val="28"/>
          <w:szCs w:val="28"/>
          <w:lang w:val="es-CO" w:eastAsia="es-MX"/>
        </w:rPr>
        <w:t xml:space="preserve"> es un acto que produce unos efectos graves e irremediables a los principios democrático y a la separación de poderes públicos, toda vez que el Gobierno </w:t>
      </w:r>
      <w:r w:rsidR="00094739" w:rsidRPr="007F2045">
        <w:rPr>
          <w:rFonts w:ascii="Times New Roman" w:eastAsia="MS Mincho" w:hAnsi="Times New Roman"/>
          <w:sz w:val="28"/>
          <w:szCs w:val="28"/>
          <w:lang w:val="es-CO" w:eastAsia="es-MX"/>
        </w:rPr>
        <w:t>n</w:t>
      </w:r>
      <w:r w:rsidR="00F611DD" w:rsidRPr="007F2045">
        <w:rPr>
          <w:rFonts w:ascii="Times New Roman" w:eastAsia="MS Mincho" w:hAnsi="Times New Roman"/>
          <w:sz w:val="28"/>
          <w:szCs w:val="28"/>
          <w:lang w:val="es-CO" w:eastAsia="es-MX"/>
        </w:rPr>
        <w:t xml:space="preserve">acional </w:t>
      </w:r>
      <w:r w:rsidRPr="007F2045">
        <w:rPr>
          <w:rFonts w:ascii="Times New Roman" w:eastAsia="MS Mincho" w:hAnsi="Times New Roman"/>
          <w:sz w:val="28"/>
          <w:szCs w:val="28"/>
          <w:lang w:val="es-CO" w:eastAsia="es-MX"/>
        </w:rPr>
        <w:t xml:space="preserve">se apropia de competencias constitucionales al menos, </w:t>
      </w:r>
      <w:r w:rsidRPr="007F2045">
        <w:rPr>
          <w:rFonts w:ascii="Times New Roman" w:eastAsia="MS Mincho" w:hAnsi="Times New Roman"/>
          <w:i/>
          <w:iCs/>
          <w:sz w:val="28"/>
          <w:szCs w:val="28"/>
          <w:lang w:val="es-CO" w:eastAsia="es-MX"/>
        </w:rPr>
        <w:t>prima facie</w:t>
      </w:r>
      <w:r w:rsidRPr="007F2045">
        <w:rPr>
          <w:rFonts w:ascii="Times New Roman" w:eastAsia="MS Mincho" w:hAnsi="Times New Roman"/>
          <w:sz w:val="28"/>
          <w:szCs w:val="28"/>
          <w:lang w:val="es-CO" w:eastAsia="es-MX"/>
        </w:rPr>
        <w:t xml:space="preserve">, con fundamentos evidentemente aislados de los requisitos de la Constitución. </w:t>
      </w:r>
    </w:p>
    <w:p w14:paraId="0B3B7247" w14:textId="77777777" w:rsidR="000E1F51" w:rsidRPr="007F2045" w:rsidRDefault="000E1F51" w:rsidP="001B5728">
      <w:pPr>
        <w:pStyle w:val="Prrafodelista"/>
        <w:spacing w:after="0" w:line="240" w:lineRule="auto"/>
        <w:rPr>
          <w:rFonts w:ascii="Times New Roman" w:hAnsi="Times New Roman"/>
          <w:sz w:val="28"/>
          <w:szCs w:val="28"/>
          <w:lang w:val="es-CO"/>
        </w:rPr>
      </w:pPr>
    </w:p>
    <w:p w14:paraId="029BCED6"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eastAsia="MS Mincho" w:hAnsi="Times New Roman"/>
          <w:sz w:val="28"/>
          <w:szCs w:val="28"/>
          <w:lang w:val="es-CO" w:eastAsia="es-MX"/>
        </w:rPr>
        <w:t xml:space="preserve">El Decreto 1390 de 2025 invoca como causa general la grave situación fiscal del país, en los siguientes términos: </w:t>
      </w:r>
    </w:p>
    <w:p w14:paraId="2E5A8E55" w14:textId="77777777" w:rsidR="000E1F51" w:rsidRPr="007F2045" w:rsidRDefault="000E1F51" w:rsidP="001B5728">
      <w:pPr>
        <w:pStyle w:val="Prrafodelista"/>
        <w:widowControl w:val="0"/>
        <w:tabs>
          <w:tab w:val="left" w:pos="284"/>
        </w:tabs>
        <w:autoSpaceDE w:val="0"/>
        <w:autoSpaceDN w:val="0"/>
        <w:adjustRightInd w:val="0"/>
        <w:spacing w:after="0" w:line="240" w:lineRule="auto"/>
        <w:rPr>
          <w:rFonts w:ascii="Times New Roman" w:eastAsia="MS Mincho" w:hAnsi="Times New Roman"/>
          <w:sz w:val="28"/>
          <w:szCs w:val="28"/>
          <w:lang w:val="es-CO" w:eastAsia="es-MX"/>
        </w:rPr>
      </w:pPr>
    </w:p>
    <w:p w14:paraId="63131B43" w14:textId="77777777" w:rsidR="000E1F51" w:rsidRPr="007F2045" w:rsidRDefault="000E1F51" w:rsidP="001B5728">
      <w:pPr>
        <w:pStyle w:val="Prrafodelista"/>
        <w:tabs>
          <w:tab w:val="left" w:pos="284"/>
          <w:tab w:val="left" w:pos="426"/>
        </w:tabs>
        <w:spacing w:after="0" w:line="240" w:lineRule="auto"/>
        <w:ind w:left="567" w:right="616"/>
        <w:rPr>
          <w:rFonts w:ascii="Times New Roman" w:eastAsia="MS Mincho" w:hAnsi="Times New Roman"/>
          <w:lang w:val="es-CO" w:eastAsia="es-MX"/>
        </w:rPr>
      </w:pPr>
      <w:r w:rsidRPr="007F2045">
        <w:rPr>
          <w:rFonts w:ascii="Times New Roman" w:eastAsia="MS Mincho" w:hAnsi="Times New Roman"/>
          <w:lang w:val="es-CO" w:eastAsia="es-MX"/>
        </w:rPr>
        <w:t xml:space="preserve">“Que la situación grave e inminente que hoy enfrenta la Nación consiste en la incapacidad material y jurídica de garantizar, de manera continua, oportuna y suficiente, el goce efectivo de algunos derechos fundamentales y la prestación de unos servicios públicos esenciales, </w:t>
      </w:r>
      <w:r w:rsidRPr="007F2045">
        <w:rPr>
          <w:rFonts w:ascii="Times New Roman" w:eastAsia="MS Mincho" w:hAnsi="Times New Roman"/>
          <w:b/>
          <w:bCs/>
          <w:lang w:val="es-CO" w:eastAsia="es-MX"/>
        </w:rPr>
        <w:t>debido a una situación fiscal que adquirió el carácter de grave por la ocurrencia de varios hechos económicos sobrevinientes y concurrentes que afectan de manera extraordinaria la situación actual de las finanzas de la nación</w:t>
      </w:r>
      <w:r w:rsidRPr="007F2045">
        <w:rPr>
          <w:rFonts w:ascii="Times New Roman" w:eastAsia="MS Mincho" w:hAnsi="Times New Roman"/>
          <w:lang w:val="es-CO" w:eastAsia="es-MX"/>
        </w:rPr>
        <w:t xml:space="preserve">. Que la nación enfrenta una </w:t>
      </w:r>
      <w:r w:rsidRPr="007F2045">
        <w:rPr>
          <w:rFonts w:ascii="Times New Roman" w:eastAsia="MS Mincho" w:hAnsi="Times New Roman"/>
          <w:b/>
          <w:bCs/>
          <w:lang w:val="es-CO" w:eastAsia="es-MX"/>
        </w:rPr>
        <w:t>coyuntura fiscal excepcional</w:t>
      </w:r>
      <w:r w:rsidRPr="007F2045">
        <w:rPr>
          <w:rFonts w:ascii="Times New Roman" w:eastAsia="MS Mincho" w:hAnsi="Times New Roman"/>
          <w:lang w:val="es-CO" w:eastAsia="es-MX"/>
        </w:rPr>
        <w:t xml:space="preserve"> agudizada por hechos concurrentes y sensibles socialmente, que están asociados al menoscabo de los derechos de la población más vulnerable del país”. </w:t>
      </w:r>
    </w:p>
    <w:p w14:paraId="6F09B5A6" w14:textId="77777777" w:rsidR="000E1F51" w:rsidRPr="007F2045" w:rsidRDefault="000E1F51" w:rsidP="001B5728">
      <w:pPr>
        <w:pStyle w:val="Prrafodelista"/>
        <w:widowControl w:val="0"/>
        <w:tabs>
          <w:tab w:val="left" w:pos="284"/>
        </w:tabs>
        <w:autoSpaceDE w:val="0"/>
        <w:autoSpaceDN w:val="0"/>
        <w:adjustRightInd w:val="0"/>
        <w:spacing w:after="0" w:line="240" w:lineRule="auto"/>
        <w:rPr>
          <w:rFonts w:ascii="Times New Roman" w:eastAsia="MS Mincho" w:hAnsi="Times New Roman"/>
          <w:sz w:val="28"/>
          <w:szCs w:val="28"/>
          <w:lang w:val="es-CO" w:eastAsia="es-MX"/>
        </w:rPr>
      </w:pPr>
    </w:p>
    <w:p w14:paraId="628A991D"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eastAsia="MS Mincho" w:hAnsi="Times New Roman"/>
          <w:sz w:val="28"/>
          <w:szCs w:val="28"/>
          <w:lang w:val="es-CO" w:eastAsia="es-MX"/>
        </w:rPr>
      </w:pPr>
      <w:r w:rsidRPr="007F2045">
        <w:rPr>
          <w:rFonts w:ascii="Times New Roman" w:eastAsia="MS Mincho" w:hAnsi="Times New Roman"/>
          <w:sz w:val="28"/>
          <w:szCs w:val="28"/>
          <w:lang w:val="es-CO" w:eastAsia="es-MX"/>
        </w:rPr>
        <w:t>Con base en esta causa general, el Gobierno específica ocho hechos que “agravan la actual crisis fiscal” y “ponen en riesgo la garantía de derechos fundamentales y la prestación de servicios públicos esenciales”. No obstante, tal y como se indicó, no existe evidencia clara que permita concluir</w:t>
      </w:r>
      <w:r w:rsidR="008132A4" w:rsidRPr="007F2045">
        <w:rPr>
          <w:rFonts w:ascii="Times New Roman" w:eastAsia="MS Mincho" w:hAnsi="Times New Roman"/>
          <w:sz w:val="28"/>
          <w:szCs w:val="28"/>
          <w:lang w:val="es-CO" w:eastAsia="es-MX"/>
        </w:rPr>
        <w:t xml:space="preserve">, al menos </w:t>
      </w:r>
      <w:r w:rsidR="008132A4" w:rsidRPr="007F2045">
        <w:rPr>
          <w:rFonts w:ascii="Times New Roman" w:eastAsia="MS Mincho" w:hAnsi="Times New Roman"/>
          <w:i/>
          <w:iCs/>
          <w:sz w:val="28"/>
          <w:szCs w:val="28"/>
          <w:lang w:val="es-CO" w:eastAsia="es-MX"/>
        </w:rPr>
        <w:t>prima facie</w:t>
      </w:r>
      <w:r w:rsidR="008132A4" w:rsidRPr="007F2045">
        <w:rPr>
          <w:rFonts w:ascii="Times New Roman" w:eastAsia="MS Mincho" w:hAnsi="Times New Roman"/>
          <w:sz w:val="28"/>
          <w:szCs w:val="28"/>
          <w:lang w:val="es-CO" w:eastAsia="es-MX"/>
        </w:rPr>
        <w:t>,</w:t>
      </w:r>
      <w:r w:rsidRPr="007F2045">
        <w:rPr>
          <w:rFonts w:ascii="Times New Roman" w:eastAsia="MS Mincho" w:hAnsi="Times New Roman"/>
          <w:sz w:val="28"/>
          <w:szCs w:val="28"/>
          <w:lang w:val="es-CO" w:eastAsia="es-MX"/>
        </w:rPr>
        <w:t xml:space="preserve"> que se trata de circunstancias sobrevinientes. En ese contexto, destaca la Corte, invocar de manera reiterada, que una de las causas de la declaratoria consiste en que el Congreso de la República decidió no aprobar la ley de financiación, impacta de manera evidente </w:t>
      </w:r>
      <w:r w:rsidRPr="007F2045">
        <w:rPr>
          <w:rFonts w:ascii="Times New Roman" w:eastAsia="MS Mincho" w:hAnsi="Times New Roman"/>
          <w:i/>
          <w:iCs/>
          <w:sz w:val="28"/>
          <w:szCs w:val="28"/>
          <w:lang w:val="es-CO" w:eastAsia="es-MX"/>
        </w:rPr>
        <w:t>(i)</w:t>
      </w:r>
      <w:r w:rsidRPr="007F2045">
        <w:rPr>
          <w:rFonts w:ascii="Times New Roman" w:eastAsia="MS Mincho" w:hAnsi="Times New Roman"/>
          <w:sz w:val="28"/>
          <w:szCs w:val="28"/>
          <w:lang w:val="es-CO" w:eastAsia="es-MX"/>
        </w:rPr>
        <w:t xml:space="preserve"> la separación de las ramas del poder público y </w:t>
      </w:r>
      <w:r w:rsidRPr="007F2045">
        <w:rPr>
          <w:rFonts w:ascii="Times New Roman" w:eastAsia="MS Mincho" w:hAnsi="Times New Roman"/>
          <w:i/>
          <w:iCs/>
          <w:sz w:val="28"/>
          <w:szCs w:val="28"/>
          <w:lang w:val="es-CO" w:eastAsia="es-MX"/>
        </w:rPr>
        <w:t>(</w:t>
      </w:r>
      <w:proofErr w:type="spellStart"/>
      <w:r w:rsidRPr="007F2045">
        <w:rPr>
          <w:rFonts w:ascii="Times New Roman" w:eastAsia="MS Mincho" w:hAnsi="Times New Roman"/>
          <w:i/>
          <w:iCs/>
          <w:sz w:val="28"/>
          <w:szCs w:val="28"/>
          <w:lang w:val="es-CO" w:eastAsia="es-MX"/>
        </w:rPr>
        <w:t>ii</w:t>
      </w:r>
      <w:proofErr w:type="spellEnd"/>
      <w:r w:rsidRPr="007F2045">
        <w:rPr>
          <w:rFonts w:ascii="Times New Roman" w:eastAsia="MS Mincho" w:hAnsi="Times New Roman"/>
          <w:i/>
          <w:iCs/>
          <w:sz w:val="28"/>
          <w:szCs w:val="28"/>
          <w:lang w:val="es-CO" w:eastAsia="es-MX"/>
        </w:rPr>
        <w:t>)</w:t>
      </w:r>
      <w:r w:rsidRPr="007F2045">
        <w:rPr>
          <w:rFonts w:ascii="Times New Roman" w:eastAsia="MS Mincho" w:hAnsi="Times New Roman"/>
          <w:sz w:val="28"/>
          <w:szCs w:val="28"/>
          <w:lang w:val="es-CO" w:eastAsia="es-MX"/>
        </w:rPr>
        <w:t xml:space="preserve"> el principio democrático. </w:t>
      </w:r>
    </w:p>
    <w:p w14:paraId="7A20D874" w14:textId="77777777" w:rsidR="000E1F51" w:rsidRPr="007F2045" w:rsidRDefault="000E1F51" w:rsidP="001B5728">
      <w:pPr>
        <w:pStyle w:val="Prrafodelista"/>
        <w:widowControl w:val="0"/>
        <w:tabs>
          <w:tab w:val="left" w:pos="567"/>
        </w:tabs>
        <w:spacing w:after="0" w:line="240" w:lineRule="auto"/>
        <w:ind w:left="0"/>
        <w:rPr>
          <w:rFonts w:ascii="Times New Roman" w:eastAsia="MS Mincho" w:hAnsi="Times New Roman"/>
          <w:iCs/>
          <w:sz w:val="28"/>
          <w:szCs w:val="28"/>
          <w:lang w:val="es-CO" w:eastAsia="es-MX"/>
        </w:rPr>
      </w:pPr>
    </w:p>
    <w:p w14:paraId="591CE20F"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eastAsia="MS Mincho" w:hAnsi="Times New Roman"/>
          <w:sz w:val="28"/>
          <w:szCs w:val="28"/>
          <w:lang w:val="es-CO" w:eastAsia="es-MX"/>
        </w:rPr>
      </w:pPr>
      <w:r w:rsidRPr="007F2045">
        <w:rPr>
          <w:rFonts w:ascii="Times New Roman" w:eastAsia="MS Mincho" w:hAnsi="Times New Roman"/>
          <w:sz w:val="28"/>
          <w:szCs w:val="28"/>
          <w:lang w:val="es-CO" w:eastAsia="es-MX"/>
        </w:rPr>
        <w:t xml:space="preserve">La decisión del Congreso de la República está amparada por las competencias previstas en la Carta Política, específicamente, lo contemplado en los artículos 345 en adelante. Así, el artículo 347 prevé, en caso de que los recursos previstos para la financiación de los gastos aprobados en la ley de presupuesto no sean suficientes, que el Gobierno nacional propondrá por separado la aprobación de una ley en la que se disponga </w:t>
      </w:r>
      <w:r w:rsidRPr="007F2045">
        <w:rPr>
          <w:rFonts w:ascii="Times New Roman" w:hAnsi="Times New Roman"/>
          <w:sz w:val="28"/>
          <w:szCs w:val="28"/>
          <w:lang w:val="es-CO"/>
        </w:rPr>
        <w:t xml:space="preserve">la creación de nuevas rentas o la modificación de las existentes. </w:t>
      </w:r>
      <w:r w:rsidRPr="007F2045">
        <w:rPr>
          <w:rFonts w:ascii="Times New Roman" w:eastAsia="MS Mincho" w:hAnsi="Times New Roman"/>
          <w:sz w:val="28"/>
          <w:szCs w:val="28"/>
          <w:lang w:val="es-CO" w:eastAsia="es-MX"/>
        </w:rPr>
        <w:t>El artículo 348 contempla la posibilidad de que el Congreso, aun habiendo deliberado el proyecto de ley propuesto por el Gobierno nacional, no lo apruebe, y allí procederán otros medios. Es decir, el mismo texto constitucional permite la concurrencia de competencias entre el ejecutivo y el legislativo para formular, presentar y aprobar el presupuesto de rentas y ley de apropiaciones.</w:t>
      </w:r>
    </w:p>
    <w:p w14:paraId="44194678" w14:textId="77777777" w:rsidR="000E1F51" w:rsidRPr="007F2045" w:rsidRDefault="000E1F51" w:rsidP="001B5728">
      <w:pPr>
        <w:pStyle w:val="Prrafodelista"/>
        <w:spacing w:after="0" w:line="240" w:lineRule="auto"/>
        <w:rPr>
          <w:rFonts w:ascii="Times New Roman" w:eastAsia="MS Mincho" w:hAnsi="Times New Roman"/>
          <w:iCs/>
          <w:sz w:val="28"/>
          <w:szCs w:val="28"/>
          <w:lang w:val="es-CO" w:eastAsia="es-MX"/>
        </w:rPr>
      </w:pPr>
    </w:p>
    <w:p w14:paraId="18B14E73" w14:textId="77777777" w:rsidR="000E1F51" w:rsidRPr="007F2045" w:rsidRDefault="000E1F51" w:rsidP="00086EBC">
      <w:pPr>
        <w:pStyle w:val="Prrafodelista"/>
        <w:numPr>
          <w:ilvl w:val="0"/>
          <w:numId w:val="2"/>
        </w:numPr>
        <w:tabs>
          <w:tab w:val="left" w:pos="284"/>
          <w:tab w:val="left" w:pos="426"/>
        </w:tabs>
        <w:spacing w:after="0" w:line="240" w:lineRule="auto"/>
        <w:ind w:left="0" w:firstLine="0"/>
        <w:rPr>
          <w:rFonts w:ascii="Times New Roman" w:eastAsia="MS Mincho" w:hAnsi="Times New Roman"/>
          <w:sz w:val="28"/>
          <w:szCs w:val="28"/>
          <w:lang w:val="es-CO" w:eastAsia="es-MX"/>
        </w:rPr>
      </w:pPr>
      <w:r w:rsidRPr="007F2045">
        <w:rPr>
          <w:rFonts w:ascii="Times New Roman" w:eastAsia="MS Mincho" w:hAnsi="Times New Roman"/>
          <w:sz w:val="28"/>
          <w:szCs w:val="28"/>
          <w:lang w:val="es-CO" w:eastAsia="es-MX"/>
        </w:rPr>
        <w:t xml:space="preserve">Por esto, la Corte estima que invocar como un hecho sobreviniente el válido ejercicio de las competencias del Congreso en el marco de un sistema de </w:t>
      </w:r>
      <w:r w:rsidRPr="007F2045">
        <w:rPr>
          <w:rFonts w:ascii="Times New Roman" w:eastAsia="MS Mincho" w:hAnsi="Times New Roman"/>
          <w:sz w:val="28"/>
          <w:szCs w:val="28"/>
          <w:lang w:val="es-CO" w:eastAsia="es-MX"/>
        </w:rPr>
        <w:lastRenderedPageBreak/>
        <w:t>democracia representativa, equivale a vaciar de contenido la competencia legítima de este órgano constitucional.</w:t>
      </w:r>
      <w:r w:rsidR="001F0FAD" w:rsidRPr="007F2045">
        <w:rPr>
          <w:rFonts w:ascii="Times New Roman" w:eastAsia="MS Mincho" w:hAnsi="Times New Roman"/>
          <w:sz w:val="28"/>
          <w:szCs w:val="28"/>
          <w:lang w:val="es-CO" w:eastAsia="es-MX"/>
        </w:rPr>
        <w:t xml:space="preserve"> Y es allí en donde el efecto irremediable se concreta.</w:t>
      </w:r>
      <w:r w:rsidRPr="007F2045">
        <w:rPr>
          <w:rFonts w:ascii="Times New Roman" w:eastAsia="MS Mincho" w:hAnsi="Times New Roman"/>
          <w:sz w:val="28"/>
          <w:szCs w:val="28"/>
          <w:lang w:val="es-CO" w:eastAsia="es-MX"/>
        </w:rPr>
        <w:t xml:space="preserve"> </w:t>
      </w:r>
      <w:r w:rsidR="001F0FAD" w:rsidRPr="007F2045">
        <w:rPr>
          <w:rFonts w:ascii="Times New Roman" w:eastAsia="MS Mincho" w:hAnsi="Times New Roman"/>
          <w:sz w:val="28"/>
          <w:szCs w:val="28"/>
          <w:lang w:val="es-CO" w:eastAsia="es-MX"/>
        </w:rPr>
        <w:t xml:space="preserve">El sentido mismo de la formula democrática es alterado para habilitar al presidente a fin de expedir legislación que, naturalmente, corresponde al Congreso adoptar. </w:t>
      </w:r>
      <w:r w:rsidRPr="007F2045">
        <w:rPr>
          <w:rFonts w:ascii="Times New Roman" w:eastAsia="MS Mincho" w:hAnsi="Times New Roman"/>
          <w:sz w:val="28"/>
          <w:szCs w:val="28"/>
          <w:lang w:val="es-CO" w:eastAsia="es-MX"/>
        </w:rPr>
        <w:t>En efecto, si tal decisión equivale a un hecho sobreviniente que justifique el estado de excepción, la única opción del Congreso consistiría en la aprobación de la ley de financiamiento. En ese sentido, no puede el ejecutivo con base en esa única razón declarar un estado de excepción como el contemplado en el artículo 215 de la Constitución. Este acto, de acuerdo con lo señalado y para este momento de la discusión procesal, aparece como una afrenta contra el principio de separación de poderes y el principio democrático, toda vez que invade competencias celosamente resguardadas al legislativ</w:t>
      </w:r>
      <w:r w:rsidR="007F2045" w:rsidRPr="007F2045">
        <w:rPr>
          <w:rFonts w:ascii="Times New Roman" w:eastAsia="MS Mincho" w:hAnsi="Times New Roman"/>
          <w:sz w:val="28"/>
          <w:szCs w:val="28"/>
          <w:lang w:val="es-CO" w:eastAsia="es-MX"/>
        </w:rPr>
        <w:t>o, por ejemplo, la imposición de tributos cuyo ejercicio por parte del presidente de la República es absolutamente excepcional.</w:t>
      </w:r>
      <w:r w:rsidRPr="007F2045">
        <w:rPr>
          <w:rFonts w:ascii="Times New Roman" w:eastAsia="MS Mincho" w:hAnsi="Times New Roman"/>
          <w:sz w:val="28"/>
          <w:szCs w:val="28"/>
          <w:lang w:val="es-CO" w:eastAsia="es-MX"/>
        </w:rPr>
        <w:t xml:space="preserve"> Y en este caso específico supone, sin una justificación suficiente aparente, la asunción de una competencia que el Congreso ejerció al amparo de la Constitución. </w:t>
      </w:r>
    </w:p>
    <w:p w14:paraId="651B57FC" w14:textId="77777777" w:rsidR="000E1F51" w:rsidRPr="007F2045" w:rsidRDefault="000E1F51" w:rsidP="001B5728">
      <w:pPr>
        <w:pStyle w:val="Prrafodelista"/>
        <w:spacing w:after="0" w:line="240" w:lineRule="auto"/>
        <w:rPr>
          <w:rFonts w:ascii="Times New Roman" w:eastAsia="MS Mincho" w:hAnsi="Times New Roman"/>
          <w:sz w:val="28"/>
          <w:szCs w:val="28"/>
          <w:lang w:val="es-CO" w:eastAsia="es-MX"/>
        </w:rPr>
      </w:pPr>
    </w:p>
    <w:p w14:paraId="650B3FF4"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eastAsia="MS Mincho" w:hAnsi="Times New Roman"/>
          <w:sz w:val="28"/>
          <w:szCs w:val="28"/>
          <w:lang w:val="es-CO" w:eastAsia="es-MX"/>
        </w:rPr>
      </w:pPr>
      <w:r w:rsidRPr="007F2045">
        <w:rPr>
          <w:rFonts w:ascii="Times New Roman" w:eastAsia="MS Mincho" w:hAnsi="Times New Roman"/>
          <w:sz w:val="28"/>
          <w:szCs w:val="28"/>
          <w:lang w:val="es-CO" w:eastAsia="es-MX"/>
        </w:rPr>
        <w:t xml:space="preserve">De tal forma, la Sala Plena estima que el carácter irremediable se apoya no solo en la carencia </w:t>
      </w:r>
      <w:r w:rsidRPr="007F2045">
        <w:rPr>
          <w:rFonts w:ascii="Times New Roman" w:eastAsia="MS Mincho" w:hAnsi="Times New Roman"/>
          <w:i/>
          <w:iCs/>
          <w:sz w:val="28"/>
          <w:szCs w:val="28"/>
          <w:lang w:val="es-CO" w:eastAsia="es-MX"/>
        </w:rPr>
        <w:t>prima facie</w:t>
      </w:r>
      <w:r w:rsidRPr="007F2045">
        <w:rPr>
          <w:rFonts w:ascii="Times New Roman" w:eastAsia="MS Mincho" w:hAnsi="Times New Roman"/>
          <w:sz w:val="28"/>
          <w:szCs w:val="28"/>
          <w:lang w:val="es-CO" w:eastAsia="es-MX"/>
        </w:rPr>
        <w:t xml:space="preserve"> de un fundamento fáctico suficiente para la expedición del decreto, sino también en el hecho de que esa expedición fue el resultado de un desacuerdo político con el Congreso</w:t>
      </w:r>
      <w:r w:rsidR="00787245" w:rsidRPr="007F2045">
        <w:rPr>
          <w:rFonts w:ascii="Times New Roman" w:eastAsia="MS Mincho" w:hAnsi="Times New Roman"/>
          <w:sz w:val="28"/>
          <w:szCs w:val="28"/>
          <w:lang w:val="es-CO" w:eastAsia="es-MX"/>
        </w:rPr>
        <w:t>,</w:t>
      </w:r>
      <w:r w:rsidRPr="007F2045">
        <w:rPr>
          <w:rFonts w:ascii="Times New Roman" w:eastAsia="MS Mincho" w:hAnsi="Times New Roman"/>
          <w:sz w:val="28"/>
          <w:szCs w:val="28"/>
          <w:lang w:val="es-CO" w:eastAsia="es-MX"/>
        </w:rPr>
        <w:t xml:space="preserve"> debido a la no aprobación de la ley de financiamiento. Tal circunstancia condujo, entonces, a la sustracción de una competencia que, en este caso, ejerció válidamente el </w:t>
      </w:r>
      <w:r w:rsidR="00787245" w:rsidRPr="007F2045">
        <w:rPr>
          <w:rFonts w:ascii="Times New Roman" w:eastAsia="MS Mincho" w:hAnsi="Times New Roman"/>
          <w:sz w:val="28"/>
          <w:szCs w:val="28"/>
          <w:lang w:val="es-CO" w:eastAsia="es-MX"/>
        </w:rPr>
        <w:t>órgano legislativo</w:t>
      </w:r>
      <w:r w:rsidRPr="007F2045">
        <w:rPr>
          <w:rFonts w:ascii="Times New Roman" w:eastAsia="MS Mincho" w:hAnsi="Times New Roman"/>
          <w:sz w:val="28"/>
          <w:szCs w:val="28"/>
          <w:lang w:val="es-CO" w:eastAsia="es-MX"/>
        </w:rPr>
        <w:t xml:space="preserve">. Por tanto, la Sala Plena concluye que es evidente el perjuicio irremediable frente al contenido de los artículos 3, 113, 150 y 215 de la Constitución, especialmente, </w:t>
      </w:r>
      <w:r w:rsidRPr="007F2045">
        <w:rPr>
          <w:rFonts w:ascii="Times New Roman" w:eastAsia="MS Mincho" w:hAnsi="Times New Roman"/>
          <w:i/>
          <w:iCs/>
          <w:sz w:val="28"/>
          <w:szCs w:val="28"/>
          <w:lang w:val="es-CO" w:eastAsia="es-MX"/>
        </w:rPr>
        <w:t>(i)</w:t>
      </w:r>
      <w:r w:rsidRPr="007F2045">
        <w:rPr>
          <w:rFonts w:ascii="Times New Roman" w:eastAsia="MS Mincho" w:hAnsi="Times New Roman"/>
          <w:sz w:val="28"/>
          <w:szCs w:val="28"/>
          <w:lang w:val="es-CO" w:eastAsia="es-MX"/>
        </w:rPr>
        <w:t xml:space="preserve"> el principio de separación de las ramas del poder público (arts. 113 y 215) y </w:t>
      </w:r>
      <w:r w:rsidRPr="007F2045">
        <w:rPr>
          <w:rFonts w:ascii="Times New Roman" w:eastAsia="MS Mincho" w:hAnsi="Times New Roman"/>
          <w:i/>
          <w:iCs/>
          <w:sz w:val="28"/>
          <w:szCs w:val="28"/>
          <w:lang w:val="es-CO" w:eastAsia="es-MX"/>
        </w:rPr>
        <w:t>(</w:t>
      </w:r>
      <w:proofErr w:type="spellStart"/>
      <w:r w:rsidRPr="007F2045">
        <w:rPr>
          <w:rFonts w:ascii="Times New Roman" w:eastAsia="MS Mincho" w:hAnsi="Times New Roman"/>
          <w:i/>
          <w:iCs/>
          <w:sz w:val="28"/>
          <w:szCs w:val="28"/>
          <w:lang w:val="es-CO" w:eastAsia="es-MX"/>
        </w:rPr>
        <w:t>ii</w:t>
      </w:r>
      <w:proofErr w:type="spellEnd"/>
      <w:r w:rsidRPr="007F2045">
        <w:rPr>
          <w:rFonts w:ascii="Times New Roman" w:eastAsia="MS Mincho" w:hAnsi="Times New Roman"/>
          <w:i/>
          <w:iCs/>
          <w:sz w:val="28"/>
          <w:szCs w:val="28"/>
          <w:lang w:val="es-CO" w:eastAsia="es-MX"/>
        </w:rPr>
        <w:t>)</w:t>
      </w:r>
      <w:r w:rsidRPr="007F2045">
        <w:rPr>
          <w:rFonts w:ascii="Times New Roman" w:eastAsia="MS Mincho" w:hAnsi="Times New Roman"/>
          <w:sz w:val="28"/>
          <w:szCs w:val="28"/>
          <w:lang w:val="es-CO" w:eastAsia="es-MX"/>
        </w:rPr>
        <w:t xml:space="preserve"> el principio democrático (arts. 3 y 150), como ejes de la Constitución. El efecto nocivo e irremediable de suplantar al Congreso de la República en el ejercicio de las funciones, impacta, especialmente, en el principio de reserva tributaria históricamente denominado “no </w:t>
      </w:r>
      <w:proofErr w:type="spellStart"/>
      <w:r w:rsidR="006C0347" w:rsidRPr="007F2045">
        <w:rPr>
          <w:rFonts w:ascii="Times New Roman" w:eastAsia="MS Mincho" w:hAnsi="Times New Roman"/>
          <w:sz w:val="28"/>
          <w:szCs w:val="28"/>
          <w:lang w:val="es-CO" w:eastAsia="es-MX"/>
        </w:rPr>
        <w:t>taxati</w:t>
      </w:r>
      <w:r w:rsidR="00557B94" w:rsidRPr="007F2045">
        <w:rPr>
          <w:rFonts w:ascii="Times New Roman" w:eastAsia="MS Mincho" w:hAnsi="Times New Roman"/>
          <w:sz w:val="28"/>
          <w:szCs w:val="28"/>
          <w:lang w:val="es-CO" w:eastAsia="es-MX"/>
        </w:rPr>
        <w:t>on</w:t>
      </w:r>
      <w:proofErr w:type="spellEnd"/>
      <w:r w:rsidRPr="007F2045">
        <w:rPr>
          <w:rFonts w:ascii="Times New Roman" w:eastAsia="MS Mincho" w:hAnsi="Times New Roman"/>
          <w:sz w:val="28"/>
          <w:szCs w:val="28"/>
          <w:lang w:val="es-CO" w:eastAsia="es-MX"/>
        </w:rPr>
        <w:t xml:space="preserve"> </w:t>
      </w:r>
      <w:proofErr w:type="spellStart"/>
      <w:r w:rsidRPr="007F2045">
        <w:rPr>
          <w:rFonts w:ascii="Times New Roman" w:eastAsia="MS Mincho" w:hAnsi="Times New Roman"/>
          <w:sz w:val="28"/>
          <w:szCs w:val="28"/>
          <w:lang w:val="es-CO" w:eastAsia="es-MX"/>
        </w:rPr>
        <w:t>without</w:t>
      </w:r>
      <w:proofErr w:type="spellEnd"/>
      <w:r w:rsidRPr="007F2045">
        <w:rPr>
          <w:rFonts w:ascii="Times New Roman" w:eastAsia="MS Mincho" w:hAnsi="Times New Roman"/>
          <w:sz w:val="28"/>
          <w:szCs w:val="28"/>
          <w:lang w:val="es-CO" w:eastAsia="es-MX"/>
        </w:rPr>
        <w:t xml:space="preserve"> </w:t>
      </w:r>
      <w:proofErr w:type="spellStart"/>
      <w:r w:rsidRPr="007F2045">
        <w:rPr>
          <w:rFonts w:ascii="Times New Roman" w:eastAsia="MS Mincho" w:hAnsi="Times New Roman"/>
          <w:sz w:val="28"/>
          <w:szCs w:val="28"/>
          <w:lang w:val="es-CO" w:eastAsia="es-MX"/>
        </w:rPr>
        <w:t>representation</w:t>
      </w:r>
      <w:proofErr w:type="spellEnd"/>
      <w:r w:rsidRPr="007F2045">
        <w:rPr>
          <w:rFonts w:ascii="Times New Roman" w:eastAsia="MS Mincho" w:hAnsi="Times New Roman"/>
          <w:sz w:val="28"/>
          <w:szCs w:val="28"/>
          <w:lang w:val="es-CO" w:eastAsia="es-MX"/>
        </w:rPr>
        <w:t>”, es decir, que no hay tributos sin representación</w:t>
      </w:r>
      <w:r w:rsidR="00374EF0" w:rsidRPr="007F2045">
        <w:rPr>
          <w:rFonts w:ascii="Times New Roman" w:eastAsia="MS Mincho" w:hAnsi="Times New Roman"/>
          <w:sz w:val="28"/>
          <w:szCs w:val="28"/>
          <w:lang w:val="es-CO" w:eastAsia="es-MX"/>
        </w:rPr>
        <w:t xml:space="preserve">. </w:t>
      </w:r>
    </w:p>
    <w:p w14:paraId="7BA15292" w14:textId="77777777" w:rsidR="000E1F51" w:rsidRPr="007F2045" w:rsidRDefault="000E1F51" w:rsidP="001B5728">
      <w:pPr>
        <w:pStyle w:val="Prrafodelista"/>
        <w:widowControl w:val="0"/>
        <w:tabs>
          <w:tab w:val="left" w:pos="567"/>
        </w:tabs>
        <w:spacing w:after="0" w:line="240" w:lineRule="auto"/>
        <w:ind w:left="0"/>
        <w:rPr>
          <w:rFonts w:ascii="Times New Roman" w:eastAsia="MS Mincho" w:hAnsi="Times New Roman"/>
          <w:sz w:val="28"/>
          <w:szCs w:val="28"/>
          <w:lang w:val="es-CO" w:eastAsia="es-MX"/>
        </w:rPr>
      </w:pPr>
    </w:p>
    <w:p w14:paraId="76E9B08F"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eastAsia="MS Mincho" w:hAnsi="Times New Roman"/>
          <w:sz w:val="28"/>
          <w:szCs w:val="28"/>
          <w:lang w:val="es-CO" w:eastAsia="es-MX"/>
        </w:rPr>
      </w:pPr>
      <w:r w:rsidRPr="007F2045">
        <w:rPr>
          <w:rFonts w:ascii="Times New Roman" w:eastAsia="MS Mincho" w:hAnsi="Times New Roman"/>
          <w:sz w:val="28"/>
          <w:szCs w:val="28"/>
          <w:lang w:val="es-CO" w:eastAsia="es-MX"/>
        </w:rPr>
        <w:t>En adición a lo anterior, es importante señalar que en las consideraciones del Decreto 1390 de 2025 se indica “[</w:t>
      </w:r>
      <w:r w:rsidRPr="007F2045">
        <w:rPr>
          <w:rFonts w:ascii="Times New Roman" w:hAnsi="Times New Roman"/>
          <w:sz w:val="28"/>
          <w:szCs w:val="28"/>
          <w:lang w:val="es-CO"/>
        </w:rPr>
        <w:t>q]</w:t>
      </w:r>
      <w:proofErr w:type="spellStart"/>
      <w:r w:rsidRPr="007F2045">
        <w:rPr>
          <w:rFonts w:ascii="Times New Roman" w:hAnsi="Times New Roman"/>
          <w:sz w:val="28"/>
          <w:szCs w:val="28"/>
          <w:lang w:val="es-CO"/>
        </w:rPr>
        <w:t>ue</w:t>
      </w:r>
      <w:proofErr w:type="spellEnd"/>
      <w:r w:rsidRPr="007F2045">
        <w:rPr>
          <w:rFonts w:ascii="Times New Roman" w:hAnsi="Times New Roman"/>
          <w:sz w:val="28"/>
          <w:szCs w:val="28"/>
          <w:lang w:val="es-CO"/>
        </w:rPr>
        <w:t xml:space="preserve"> las medidas que serán adoptadas para conjurar la crisis económica, relacionadas con la necesidad de obtención de ingresos, serán desarrolladas, entre otras, en impuestos directos e indirectos para las personas naturales y jurídicas con mayor poder contributivo, así como tributos que buscan corregir externalidades negativas en asuntos ambientales y de salud pública”. </w:t>
      </w:r>
    </w:p>
    <w:p w14:paraId="7E275229" w14:textId="77777777" w:rsidR="000E1F51" w:rsidRPr="007F2045" w:rsidRDefault="000E1F51" w:rsidP="001B5728">
      <w:pPr>
        <w:pStyle w:val="Prrafodelista"/>
        <w:spacing w:after="0" w:line="240" w:lineRule="auto"/>
        <w:rPr>
          <w:rFonts w:ascii="Times New Roman" w:hAnsi="Times New Roman"/>
          <w:sz w:val="28"/>
          <w:szCs w:val="28"/>
          <w:lang w:val="es-CO"/>
        </w:rPr>
      </w:pPr>
    </w:p>
    <w:p w14:paraId="4587E49B"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eastAsia="MS Mincho" w:hAnsi="Times New Roman"/>
          <w:sz w:val="28"/>
          <w:szCs w:val="28"/>
          <w:lang w:val="es-CO" w:eastAsia="es-MX"/>
        </w:rPr>
      </w:pPr>
      <w:r w:rsidRPr="007F2045">
        <w:rPr>
          <w:rFonts w:ascii="Times New Roman" w:hAnsi="Times New Roman"/>
          <w:sz w:val="28"/>
          <w:szCs w:val="28"/>
          <w:lang w:val="es-CO"/>
        </w:rPr>
        <w:t xml:space="preserve">La Corte no puede pasar por alto que el anuncio general de las medidas tributarias que se pretende adoptar evidencia el riesgo de que la habilitación prevista genere efectos irremediables durante el trámite de revisión de constitucionalidad. En efecto, algunos de los tributos anunciados pueden producir efectos muy difíciles o incluso imposibles de revertir, aun si el Decreto 1390 de 2025 se declarara inexequible con efectos retroactivos. Lo anterior, porque las medidas impositivas estarán vigentes y habilitan la </w:t>
      </w:r>
      <w:proofErr w:type="spellStart"/>
      <w:r w:rsidRPr="007F2045">
        <w:rPr>
          <w:rFonts w:ascii="Times New Roman" w:hAnsi="Times New Roman"/>
          <w:sz w:val="28"/>
          <w:szCs w:val="28"/>
          <w:lang w:val="es-CO"/>
        </w:rPr>
        <w:t>causación</w:t>
      </w:r>
      <w:proofErr w:type="spellEnd"/>
      <w:r w:rsidRPr="007F2045">
        <w:rPr>
          <w:rFonts w:ascii="Times New Roman" w:hAnsi="Times New Roman"/>
          <w:sz w:val="28"/>
          <w:szCs w:val="28"/>
          <w:lang w:val="es-CO"/>
        </w:rPr>
        <w:t xml:space="preserve">, el pago y el recaudo. Precisamente algunos de los gravámenes anunciados en el decreto de declaratoria, por sus especiales características, no disponen de mecanismos idóneos y eficaces para la devolución integral de los dineros pagados por los obligados de facto, con ocasión de la expedición del decreto </w:t>
      </w:r>
      <w:r w:rsidR="00B471EE" w:rsidRPr="007F2045">
        <w:rPr>
          <w:rFonts w:ascii="Times New Roman" w:hAnsi="Times New Roman"/>
          <w:sz w:val="28"/>
          <w:szCs w:val="28"/>
          <w:lang w:val="es-CO"/>
        </w:rPr>
        <w:t>en mención</w:t>
      </w:r>
      <w:r w:rsidRPr="007F2045">
        <w:rPr>
          <w:rFonts w:ascii="Times New Roman" w:hAnsi="Times New Roman"/>
          <w:sz w:val="28"/>
          <w:szCs w:val="28"/>
          <w:lang w:val="es-CO"/>
        </w:rPr>
        <w:t xml:space="preserve">, lo que genera la imposibilidad o una dificultad extrema para el retorno </w:t>
      </w:r>
      <w:r w:rsidRPr="007F2045">
        <w:rPr>
          <w:rFonts w:ascii="Times New Roman" w:hAnsi="Times New Roman"/>
          <w:sz w:val="28"/>
          <w:szCs w:val="28"/>
          <w:lang w:val="es-CO"/>
        </w:rPr>
        <w:lastRenderedPageBreak/>
        <w:t xml:space="preserve">de lo pagado. En este sentido, toda la ciudadanía, en general, se ve sometida a un marco legal que, visto de manera preliminar, carece de un claro fundamento en la competencia que da lugar a su exigibilidad. </w:t>
      </w:r>
    </w:p>
    <w:p w14:paraId="0959F5F0" w14:textId="77777777" w:rsidR="000E1F51" w:rsidRPr="007F2045" w:rsidRDefault="000E1F51" w:rsidP="001B5728">
      <w:pPr>
        <w:pStyle w:val="Prrafodelista"/>
        <w:spacing w:after="0" w:line="240" w:lineRule="auto"/>
        <w:rPr>
          <w:rFonts w:ascii="Times New Roman" w:eastAsia="MS Mincho" w:hAnsi="Times New Roman"/>
          <w:iCs/>
          <w:sz w:val="28"/>
          <w:szCs w:val="28"/>
          <w:lang w:val="es-CO" w:eastAsia="es-MX"/>
        </w:rPr>
      </w:pPr>
    </w:p>
    <w:p w14:paraId="5B3CB3AE"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eastAsia="MS Mincho" w:hAnsi="Times New Roman"/>
          <w:sz w:val="28"/>
          <w:szCs w:val="28"/>
          <w:lang w:val="es-CO" w:eastAsia="es-MX"/>
        </w:rPr>
      </w:pPr>
      <w:r w:rsidRPr="007F2045">
        <w:rPr>
          <w:rFonts w:ascii="Times New Roman" w:eastAsia="Times New Roman" w:hAnsi="Times New Roman"/>
          <w:sz w:val="28"/>
          <w:szCs w:val="28"/>
          <w:lang w:val="es-CO"/>
        </w:rPr>
        <w:t xml:space="preserve">En efecto, en el caso de los impuestos indirectos, el perjuicio irremediable se manifestaría en la imposibilidad fáctica de realizar una devolución efectiva a los verdaderos sujetos pasivos. Dado que en estos tributos la carga económica suele trasladarse al consumidor final, una eventual declaratoria de inexequibilidad no permitiría resarcir a quienes efectivamente soportaron el costo del impuesto, pues la identificación de cada comprador resultaría potencialmente inviable. </w:t>
      </w:r>
    </w:p>
    <w:p w14:paraId="42C5FC98" w14:textId="77777777" w:rsidR="005C3518" w:rsidRPr="007F2045" w:rsidRDefault="005C3518" w:rsidP="001B5728">
      <w:pPr>
        <w:pStyle w:val="Prrafodelista"/>
        <w:tabs>
          <w:tab w:val="left" w:pos="284"/>
          <w:tab w:val="left" w:pos="426"/>
        </w:tabs>
        <w:spacing w:after="0" w:line="240" w:lineRule="auto"/>
        <w:ind w:left="0"/>
        <w:rPr>
          <w:rFonts w:ascii="Times New Roman" w:eastAsia="MS Mincho" w:hAnsi="Times New Roman"/>
          <w:sz w:val="28"/>
          <w:szCs w:val="28"/>
          <w:lang w:val="es-CO" w:eastAsia="es-MX"/>
        </w:rPr>
      </w:pPr>
    </w:p>
    <w:p w14:paraId="407819A7" w14:textId="77777777" w:rsidR="00571F5D" w:rsidRPr="007F2045" w:rsidRDefault="00207AAB" w:rsidP="001B5728">
      <w:pPr>
        <w:pStyle w:val="Prrafodelista"/>
        <w:numPr>
          <w:ilvl w:val="0"/>
          <w:numId w:val="2"/>
        </w:numPr>
        <w:tabs>
          <w:tab w:val="left" w:pos="284"/>
          <w:tab w:val="left" w:pos="426"/>
        </w:tabs>
        <w:spacing w:after="0" w:line="240" w:lineRule="auto"/>
        <w:ind w:left="0" w:firstLine="0"/>
        <w:rPr>
          <w:rFonts w:ascii="Times New Roman" w:eastAsia="MS Mincho" w:hAnsi="Times New Roman"/>
          <w:sz w:val="28"/>
          <w:szCs w:val="28"/>
          <w:lang w:val="es-CO" w:eastAsia="es-MX"/>
        </w:rPr>
      </w:pPr>
      <w:r w:rsidRPr="007F2045">
        <w:rPr>
          <w:rFonts w:ascii="Times New Roman" w:eastAsia="MS Mincho" w:hAnsi="Times New Roman"/>
          <w:sz w:val="28"/>
          <w:szCs w:val="28"/>
          <w:lang w:val="es-CO" w:eastAsia="es-MX"/>
        </w:rPr>
        <w:t xml:space="preserve">Todo lo anteriormente expuesto reviste mayor gravedad </w:t>
      </w:r>
      <w:r w:rsidR="000B5407" w:rsidRPr="007F2045">
        <w:rPr>
          <w:rFonts w:ascii="Times New Roman" w:eastAsia="MS Mincho" w:hAnsi="Times New Roman"/>
          <w:sz w:val="28"/>
          <w:szCs w:val="28"/>
          <w:lang w:val="es-CO" w:eastAsia="es-MX"/>
        </w:rPr>
        <w:t>debido al momento</w:t>
      </w:r>
      <w:r w:rsidR="0059065B" w:rsidRPr="007F2045">
        <w:rPr>
          <w:rFonts w:ascii="Times New Roman" w:eastAsia="MS Mincho" w:hAnsi="Times New Roman"/>
          <w:sz w:val="28"/>
          <w:szCs w:val="28"/>
          <w:lang w:val="es-CO" w:eastAsia="es-MX"/>
        </w:rPr>
        <w:t xml:space="preserve"> político en el que el ejecutivo hizo uso de los poderes que le confiere el estado de excepción, a pocos meses de las elecciones para el Congreso </w:t>
      </w:r>
      <w:r w:rsidR="003A577B" w:rsidRPr="007F2045">
        <w:rPr>
          <w:rFonts w:ascii="Times New Roman" w:eastAsia="MS Mincho" w:hAnsi="Times New Roman"/>
          <w:sz w:val="28"/>
          <w:szCs w:val="28"/>
          <w:lang w:val="es-CO" w:eastAsia="es-MX"/>
        </w:rPr>
        <w:t xml:space="preserve">y la Presidencia de la República. </w:t>
      </w:r>
      <w:r w:rsidR="00914E18" w:rsidRPr="007F2045">
        <w:rPr>
          <w:rFonts w:ascii="Times New Roman" w:eastAsia="MS Mincho" w:hAnsi="Times New Roman"/>
          <w:sz w:val="28"/>
          <w:szCs w:val="28"/>
          <w:lang w:val="es-CO" w:eastAsia="es-MX"/>
        </w:rPr>
        <w:t>No es un asunto menor que</w:t>
      </w:r>
      <w:r w:rsidR="002F5210" w:rsidRPr="007F2045">
        <w:rPr>
          <w:rFonts w:ascii="Times New Roman" w:eastAsia="MS Mincho" w:hAnsi="Times New Roman"/>
          <w:sz w:val="28"/>
          <w:szCs w:val="28"/>
          <w:lang w:val="es-CO" w:eastAsia="es-MX"/>
        </w:rPr>
        <w:t>, por vía del estado de excepción</w:t>
      </w:r>
      <w:r w:rsidR="00B84DC4" w:rsidRPr="007F2045">
        <w:rPr>
          <w:rFonts w:ascii="Times New Roman" w:eastAsia="MS Mincho" w:hAnsi="Times New Roman"/>
          <w:sz w:val="28"/>
          <w:szCs w:val="28"/>
          <w:lang w:val="es-CO" w:eastAsia="es-MX"/>
        </w:rPr>
        <w:t>, el Gobierno</w:t>
      </w:r>
      <w:r w:rsidR="002F5210" w:rsidRPr="007F2045">
        <w:rPr>
          <w:rFonts w:ascii="Times New Roman" w:eastAsia="MS Mincho" w:hAnsi="Times New Roman"/>
          <w:sz w:val="28"/>
          <w:szCs w:val="28"/>
          <w:lang w:val="es-CO" w:eastAsia="es-MX"/>
        </w:rPr>
        <w:t xml:space="preserve"> </w:t>
      </w:r>
      <w:r w:rsidR="00241175" w:rsidRPr="007F2045">
        <w:rPr>
          <w:rFonts w:ascii="Times New Roman" w:eastAsia="MS Mincho" w:hAnsi="Times New Roman"/>
          <w:sz w:val="28"/>
          <w:szCs w:val="28"/>
          <w:lang w:val="es-CO" w:eastAsia="es-MX"/>
        </w:rPr>
        <w:t>reciba ingresos que ordinariamente habrían tenido que ser ordenados por el legislador</w:t>
      </w:r>
      <w:r w:rsidR="00852229" w:rsidRPr="007F2045">
        <w:rPr>
          <w:rFonts w:ascii="Times New Roman" w:eastAsia="MS Mincho" w:hAnsi="Times New Roman"/>
          <w:sz w:val="28"/>
          <w:szCs w:val="28"/>
          <w:lang w:val="es-CO" w:eastAsia="es-MX"/>
        </w:rPr>
        <w:t>.</w:t>
      </w:r>
      <w:r w:rsidR="00241175" w:rsidRPr="007F2045">
        <w:rPr>
          <w:rFonts w:ascii="Times New Roman" w:eastAsia="MS Mincho" w:hAnsi="Times New Roman"/>
          <w:sz w:val="28"/>
          <w:szCs w:val="28"/>
          <w:lang w:val="es-CO" w:eastAsia="es-MX"/>
        </w:rPr>
        <w:t xml:space="preserve"> </w:t>
      </w:r>
      <w:r w:rsidR="00852229" w:rsidRPr="007F2045">
        <w:rPr>
          <w:rFonts w:ascii="Times New Roman" w:eastAsia="MS Mincho" w:hAnsi="Times New Roman"/>
          <w:sz w:val="28"/>
          <w:szCs w:val="28"/>
          <w:lang w:val="es-CO" w:eastAsia="es-MX"/>
        </w:rPr>
        <w:t xml:space="preserve">Esto </w:t>
      </w:r>
      <w:r w:rsidR="00E66E4E" w:rsidRPr="007F2045">
        <w:rPr>
          <w:rFonts w:ascii="Times New Roman" w:eastAsia="MS Mincho" w:hAnsi="Times New Roman"/>
          <w:sz w:val="28"/>
          <w:szCs w:val="28"/>
          <w:lang w:val="es-CO" w:eastAsia="es-MX"/>
        </w:rPr>
        <w:t>representa un riesgo de repercusiones</w:t>
      </w:r>
      <w:r w:rsidR="00241175" w:rsidRPr="007F2045">
        <w:rPr>
          <w:rFonts w:ascii="Times New Roman" w:eastAsia="MS Mincho" w:hAnsi="Times New Roman"/>
          <w:sz w:val="28"/>
          <w:szCs w:val="28"/>
          <w:lang w:val="es-CO" w:eastAsia="es-MX"/>
        </w:rPr>
        <w:t xml:space="preserve"> irremediable</w:t>
      </w:r>
      <w:r w:rsidR="00E66E4E" w:rsidRPr="007F2045">
        <w:rPr>
          <w:rFonts w:ascii="Times New Roman" w:eastAsia="MS Mincho" w:hAnsi="Times New Roman"/>
          <w:sz w:val="28"/>
          <w:szCs w:val="28"/>
          <w:lang w:val="es-CO" w:eastAsia="es-MX"/>
        </w:rPr>
        <w:t>s</w:t>
      </w:r>
      <w:r w:rsidR="00674862" w:rsidRPr="007F2045">
        <w:rPr>
          <w:rFonts w:ascii="Times New Roman" w:eastAsia="MS Mincho" w:hAnsi="Times New Roman"/>
          <w:sz w:val="28"/>
          <w:szCs w:val="28"/>
          <w:lang w:val="es-CO" w:eastAsia="es-MX"/>
        </w:rPr>
        <w:t>.</w:t>
      </w:r>
      <w:r w:rsidR="002F6B38" w:rsidRPr="007F2045">
        <w:rPr>
          <w:rFonts w:ascii="Times New Roman" w:eastAsia="MS Mincho" w:hAnsi="Times New Roman"/>
          <w:sz w:val="28"/>
          <w:szCs w:val="28"/>
          <w:lang w:val="es-CO" w:eastAsia="es-MX"/>
        </w:rPr>
        <w:t xml:space="preserve"> </w:t>
      </w:r>
    </w:p>
    <w:p w14:paraId="5A7CEB9D" w14:textId="77777777" w:rsidR="00571F5D" w:rsidRPr="007F2045" w:rsidRDefault="00571F5D" w:rsidP="001B5728">
      <w:pPr>
        <w:pStyle w:val="Prrafodelista"/>
        <w:tabs>
          <w:tab w:val="left" w:pos="284"/>
          <w:tab w:val="left" w:pos="426"/>
        </w:tabs>
        <w:spacing w:after="0" w:line="240" w:lineRule="auto"/>
        <w:ind w:left="0"/>
        <w:rPr>
          <w:rFonts w:ascii="Times New Roman" w:eastAsia="MS Mincho" w:hAnsi="Times New Roman"/>
          <w:sz w:val="28"/>
          <w:szCs w:val="28"/>
          <w:lang w:val="es-CO" w:eastAsia="es-MX"/>
        </w:rPr>
      </w:pPr>
    </w:p>
    <w:p w14:paraId="0567DEF9" w14:textId="77777777" w:rsidR="005C3518" w:rsidRPr="007F2045" w:rsidRDefault="00677453" w:rsidP="001B5728">
      <w:pPr>
        <w:pStyle w:val="Prrafodelista"/>
        <w:numPr>
          <w:ilvl w:val="0"/>
          <w:numId w:val="2"/>
        </w:numPr>
        <w:tabs>
          <w:tab w:val="left" w:pos="284"/>
          <w:tab w:val="left" w:pos="426"/>
        </w:tabs>
        <w:spacing w:after="0" w:line="240" w:lineRule="auto"/>
        <w:ind w:left="0" w:firstLine="0"/>
        <w:rPr>
          <w:rFonts w:ascii="Times New Roman" w:eastAsia="MS Mincho" w:hAnsi="Times New Roman"/>
          <w:sz w:val="28"/>
          <w:szCs w:val="28"/>
          <w:lang w:val="es-CO" w:eastAsia="es-MX"/>
        </w:rPr>
      </w:pPr>
      <w:r w:rsidRPr="007F2045">
        <w:rPr>
          <w:rFonts w:ascii="Times New Roman" w:eastAsia="MS Mincho" w:hAnsi="Times New Roman"/>
          <w:sz w:val="28"/>
          <w:szCs w:val="28"/>
          <w:lang w:val="es-CO" w:eastAsia="es-MX"/>
        </w:rPr>
        <w:t xml:space="preserve">Vale recordar que, poco antes de la expedición del auto 272 de 2023, la Corte </w:t>
      </w:r>
      <w:r w:rsidR="00E01D6F" w:rsidRPr="007F2045">
        <w:rPr>
          <w:rFonts w:ascii="Times New Roman" w:eastAsia="MS Mincho" w:hAnsi="Times New Roman"/>
          <w:sz w:val="28"/>
          <w:szCs w:val="28"/>
          <w:lang w:val="es-CO" w:eastAsia="es-MX"/>
        </w:rPr>
        <w:t>resolvió una demanda contra</w:t>
      </w:r>
      <w:r w:rsidR="00AE1EEE" w:rsidRPr="007F2045">
        <w:rPr>
          <w:rFonts w:ascii="Times New Roman" w:eastAsia="MS Mincho" w:hAnsi="Times New Roman"/>
          <w:sz w:val="28"/>
          <w:szCs w:val="28"/>
          <w:lang w:val="es-CO" w:eastAsia="es-MX"/>
        </w:rPr>
        <w:t xml:space="preserve"> e</w:t>
      </w:r>
      <w:r w:rsidR="00571F5D" w:rsidRPr="007F2045">
        <w:rPr>
          <w:rFonts w:ascii="Times New Roman" w:eastAsia="MS Mincho" w:hAnsi="Times New Roman"/>
          <w:sz w:val="28"/>
          <w:szCs w:val="28"/>
          <w:lang w:val="es-CO" w:eastAsia="es-MX"/>
        </w:rPr>
        <w:t xml:space="preserve">l artículo 124 de la Ley 2159 de 2021, </w:t>
      </w:r>
      <w:r w:rsidR="00522845" w:rsidRPr="007F2045">
        <w:rPr>
          <w:rFonts w:ascii="Times New Roman" w:eastAsia="MS Mincho" w:hAnsi="Times New Roman"/>
          <w:sz w:val="28"/>
          <w:szCs w:val="28"/>
          <w:lang w:val="es-CO" w:eastAsia="es-MX"/>
        </w:rPr>
        <w:t>que</w:t>
      </w:r>
      <w:r w:rsidR="003A193A" w:rsidRPr="007F2045">
        <w:rPr>
          <w:rFonts w:ascii="Times New Roman" w:eastAsia="MS Mincho" w:hAnsi="Times New Roman"/>
          <w:sz w:val="28"/>
          <w:szCs w:val="28"/>
          <w:lang w:val="es-CO" w:eastAsia="es-MX"/>
        </w:rPr>
        <w:t xml:space="preserve"> </w:t>
      </w:r>
      <w:r w:rsidR="00983B59" w:rsidRPr="007F2045">
        <w:rPr>
          <w:rFonts w:ascii="Times New Roman" w:eastAsia="MS Mincho" w:hAnsi="Times New Roman"/>
          <w:sz w:val="28"/>
          <w:szCs w:val="28"/>
          <w:lang w:val="es-CO" w:eastAsia="es-MX"/>
        </w:rPr>
        <w:t>modificó la Ley 996 de 2005 (Ley de Garantías Electorales) para permitir la celebración de convenios interadministrativos con entidades territoriales</w:t>
      </w:r>
      <w:r w:rsidR="003A193A" w:rsidRPr="007F2045">
        <w:rPr>
          <w:rFonts w:ascii="Times New Roman" w:eastAsia="MS Mincho" w:hAnsi="Times New Roman"/>
          <w:sz w:val="28"/>
          <w:szCs w:val="28"/>
          <w:lang w:val="es-CO" w:eastAsia="es-MX"/>
        </w:rPr>
        <w:t>,</w:t>
      </w:r>
      <w:r w:rsidR="00983B59" w:rsidRPr="007F2045">
        <w:rPr>
          <w:rFonts w:ascii="Times New Roman" w:eastAsia="MS Mincho" w:hAnsi="Times New Roman"/>
          <w:sz w:val="28"/>
          <w:szCs w:val="28"/>
          <w:lang w:val="es-CO" w:eastAsia="es-MX"/>
        </w:rPr>
        <w:t xml:space="preserve"> </w:t>
      </w:r>
      <w:r w:rsidR="0041693B" w:rsidRPr="007F2045">
        <w:rPr>
          <w:rFonts w:ascii="Times New Roman" w:eastAsia="MS Mincho" w:hAnsi="Times New Roman"/>
          <w:sz w:val="28"/>
          <w:szCs w:val="28"/>
          <w:lang w:val="es-CO" w:eastAsia="es-MX"/>
        </w:rPr>
        <w:t xml:space="preserve">a pocos meses de las elecciones para </w:t>
      </w:r>
      <w:r w:rsidR="0009608D" w:rsidRPr="007F2045">
        <w:rPr>
          <w:rFonts w:ascii="Times New Roman" w:eastAsia="MS Mincho" w:hAnsi="Times New Roman"/>
          <w:sz w:val="28"/>
          <w:szCs w:val="28"/>
          <w:lang w:val="es-CO" w:eastAsia="es-MX"/>
        </w:rPr>
        <w:t xml:space="preserve">el </w:t>
      </w:r>
      <w:r w:rsidR="0041693B" w:rsidRPr="007F2045">
        <w:rPr>
          <w:rFonts w:ascii="Times New Roman" w:eastAsia="MS Mincho" w:hAnsi="Times New Roman"/>
          <w:sz w:val="28"/>
          <w:szCs w:val="28"/>
          <w:lang w:val="es-CO" w:eastAsia="es-MX"/>
        </w:rPr>
        <w:t xml:space="preserve">Congreso y </w:t>
      </w:r>
      <w:r w:rsidR="0009608D" w:rsidRPr="007F2045">
        <w:rPr>
          <w:rFonts w:ascii="Times New Roman" w:eastAsia="MS Mincho" w:hAnsi="Times New Roman"/>
          <w:sz w:val="28"/>
          <w:szCs w:val="28"/>
          <w:lang w:val="es-CO" w:eastAsia="es-MX"/>
        </w:rPr>
        <w:t xml:space="preserve">la </w:t>
      </w:r>
      <w:r w:rsidR="0041693B" w:rsidRPr="007F2045">
        <w:rPr>
          <w:rFonts w:ascii="Times New Roman" w:eastAsia="MS Mincho" w:hAnsi="Times New Roman"/>
          <w:sz w:val="28"/>
          <w:szCs w:val="28"/>
          <w:lang w:val="es-CO" w:eastAsia="es-MX"/>
        </w:rPr>
        <w:t>Presidencia de la República</w:t>
      </w:r>
      <w:r w:rsidR="00A43180" w:rsidRPr="007F2045">
        <w:rPr>
          <w:rFonts w:ascii="Times New Roman" w:eastAsia="MS Mincho" w:hAnsi="Times New Roman"/>
          <w:sz w:val="28"/>
          <w:szCs w:val="28"/>
          <w:lang w:val="es-CO" w:eastAsia="es-MX"/>
        </w:rPr>
        <w:t xml:space="preserve"> correspondien</w:t>
      </w:r>
      <w:r w:rsidR="00B900CD" w:rsidRPr="007F2045">
        <w:rPr>
          <w:rFonts w:ascii="Times New Roman" w:eastAsia="MS Mincho" w:hAnsi="Times New Roman"/>
          <w:sz w:val="28"/>
          <w:szCs w:val="28"/>
          <w:lang w:val="es-CO" w:eastAsia="es-MX"/>
        </w:rPr>
        <w:t>t</w:t>
      </w:r>
      <w:r w:rsidR="00A43180" w:rsidRPr="007F2045">
        <w:rPr>
          <w:rFonts w:ascii="Times New Roman" w:eastAsia="MS Mincho" w:hAnsi="Times New Roman"/>
          <w:sz w:val="28"/>
          <w:szCs w:val="28"/>
          <w:lang w:val="es-CO" w:eastAsia="es-MX"/>
        </w:rPr>
        <w:t xml:space="preserve">es al periodo 2022 </w:t>
      </w:r>
      <w:r w:rsidR="0009608D" w:rsidRPr="007F2045">
        <w:rPr>
          <w:rFonts w:ascii="Times New Roman" w:eastAsia="MS Mincho" w:hAnsi="Times New Roman"/>
          <w:sz w:val="28"/>
          <w:szCs w:val="28"/>
          <w:lang w:val="es-CO" w:eastAsia="es-MX"/>
        </w:rPr>
        <w:t>-</w:t>
      </w:r>
      <w:r w:rsidR="00A43180" w:rsidRPr="007F2045">
        <w:rPr>
          <w:rFonts w:ascii="Times New Roman" w:eastAsia="MS Mincho" w:hAnsi="Times New Roman"/>
          <w:sz w:val="28"/>
          <w:szCs w:val="28"/>
          <w:lang w:val="es-CO" w:eastAsia="es-MX"/>
        </w:rPr>
        <w:t xml:space="preserve"> 2026</w:t>
      </w:r>
      <w:r w:rsidR="00983B59" w:rsidRPr="007F2045">
        <w:rPr>
          <w:rFonts w:ascii="Times New Roman" w:eastAsia="MS Mincho" w:hAnsi="Times New Roman"/>
          <w:sz w:val="28"/>
          <w:szCs w:val="28"/>
          <w:lang w:val="es-CO" w:eastAsia="es-MX"/>
        </w:rPr>
        <w:t xml:space="preserve">. </w:t>
      </w:r>
      <w:r w:rsidR="0068661F" w:rsidRPr="007F2045">
        <w:rPr>
          <w:rFonts w:ascii="Times New Roman" w:eastAsia="MS Mincho" w:hAnsi="Times New Roman"/>
          <w:sz w:val="28"/>
          <w:szCs w:val="28"/>
          <w:lang w:val="es-CO" w:eastAsia="es-MX"/>
        </w:rPr>
        <w:t>La Corte</w:t>
      </w:r>
      <w:r w:rsidR="00395F3D" w:rsidRPr="007F2045">
        <w:rPr>
          <w:rFonts w:ascii="Times New Roman" w:eastAsia="MS Mincho" w:hAnsi="Times New Roman"/>
          <w:sz w:val="28"/>
          <w:szCs w:val="28"/>
          <w:lang w:val="es-CO" w:eastAsia="es-MX"/>
        </w:rPr>
        <w:t xml:space="preserve"> le dio trámite de urgencia </w:t>
      </w:r>
      <w:r w:rsidR="0038642C" w:rsidRPr="007F2045">
        <w:rPr>
          <w:rFonts w:ascii="Times New Roman" w:eastAsia="MS Mincho" w:hAnsi="Times New Roman"/>
          <w:sz w:val="28"/>
          <w:szCs w:val="28"/>
          <w:lang w:val="es-CO" w:eastAsia="es-MX"/>
        </w:rPr>
        <w:t>al proceso y</w:t>
      </w:r>
      <w:r w:rsidR="0068661F" w:rsidRPr="007F2045">
        <w:rPr>
          <w:rFonts w:ascii="Times New Roman" w:eastAsia="MS Mincho" w:hAnsi="Times New Roman"/>
          <w:sz w:val="28"/>
          <w:szCs w:val="28"/>
          <w:lang w:val="es-CO" w:eastAsia="es-MX"/>
        </w:rPr>
        <w:t xml:space="preserve"> declaró la inexequibilidad de esa norma</w:t>
      </w:r>
      <w:r w:rsidR="001C2064" w:rsidRPr="007F2045">
        <w:rPr>
          <w:rFonts w:ascii="Times New Roman" w:eastAsia="MS Mincho" w:hAnsi="Times New Roman"/>
          <w:sz w:val="28"/>
          <w:szCs w:val="28"/>
          <w:lang w:val="es-CO" w:eastAsia="es-MX"/>
        </w:rPr>
        <w:t>,</w:t>
      </w:r>
      <w:r w:rsidR="0068661F" w:rsidRPr="007F2045">
        <w:rPr>
          <w:rFonts w:ascii="Times New Roman" w:eastAsia="MS Mincho" w:hAnsi="Times New Roman"/>
          <w:sz w:val="28"/>
          <w:szCs w:val="28"/>
          <w:lang w:val="es-CO" w:eastAsia="es-MX"/>
        </w:rPr>
        <w:t xml:space="preserve"> con efectos retroactivos</w:t>
      </w:r>
      <w:r w:rsidR="001C2064" w:rsidRPr="007F2045">
        <w:rPr>
          <w:rFonts w:ascii="Times New Roman" w:eastAsia="MS Mincho" w:hAnsi="Times New Roman"/>
          <w:sz w:val="28"/>
          <w:szCs w:val="28"/>
          <w:lang w:val="es-CO" w:eastAsia="es-MX"/>
        </w:rPr>
        <w:t>,</w:t>
      </w:r>
      <w:r w:rsidR="0068661F" w:rsidRPr="007F2045">
        <w:rPr>
          <w:rFonts w:ascii="Times New Roman" w:eastAsia="MS Mincho" w:hAnsi="Times New Roman"/>
          <w:sz w:val="28"/>
          <w:szCs w:val="28"/>
          <w:lang w:val="es-CO" w:eastAsia="es-MX"/>
        </w:rPr>
        <w:t xml:space="preserve"> en la </w:t>
      </w:r>
      <w:r w:rsidR="008A7346" w:rsidRPr="007F2045">
        <w:rPr>
          <w:rFonts w:ascii="Times New Roman" w:eastAsia="MS Mincho" w:hAnsi="Times New Roman"/>
          <w:sz w:val="28"/>
          <w:szCs w:val="28"/>
          <w:lang w:val="es-CO" w:eastAsia="es-MX"/>
        </w:rPr>
        <w:t>s</w:t>
      </w:r>
      <w:r w:rsidR="0068661F" w:rsidRPr="007F2045">
        <w:rPr>
          <w:rFonts w:ascii="Times New Roman" w:eastAsia="MS Mincho" w:hAnsi="Times New Roman"/>
          <w:sz w:val="28"/>
          <w:szCs w:val="28"/>
          <w:lang w:val="es-CO" w:eastAsia="es-MX"/>
        </w:rPr>
        <w:t>entencia C-153 de 2022</w:t>
      </w:r>
      <w:r w:rsidR="0038642C" w:rsidRPr="007F2045">
        <w:rPr>
          <w:rFonts w:ascii="Times New Roman" w:eastAsia="MS Mincho" w:hAnsi="Times New Roman"/>
          <w:sz w:val="28"/>
          <w:szCs w:val="28"/>
          <w:lang w:val="es-CO" w:eastAsia="es-MX"/>
        </w:rPr>
        <w:t xml:space="preserve">. Sin embargo, </w:t>
      </w:r>
      <w:r w:rsidR="00606404" w:rsidRPr="007F2045">
        <w:rPr>
          <w:rFonts w:ascii="Times New Roman" w:eastAsia="MS Mincho" w:hAnsi="Times New Roman"/>
          <w:sz w:val="28"/>
          <w:szCs w:val="28"/>
          <w:lang w:val="es-CO" w:eastAsia="es-MX"/>
        </w:rPr>
        <w:t xml:space="preserve">con posterioridad </w:t>
      </w:r>
      <w:r w:rsidR="0038642C" w:rsidRPr="007F2045">
        <w:rPr>
          <w:rFonts w:ascii="Times New Roman" w:eastAsia="MS Mincho" w:hAnsi="Times New Roman"/>
          <w:sz w:val="28"/>
          <w:szCs w:val="28"/>
          <w:lang w:val="es-CO" w:eastAsia="es-MX"/>
        </w:rPr>
        <w:t xml:space="preserve">la Corporación </w:t>
      </w:r>
      <w:r w:rsidR="001C2064" w:rsidRPr="007F2045">
        <w:rPr>
          <w:rFonts w:ascii="Times New Roman" w:eastAsia="MS Mincho" w:hAnsi="Times New Roman"/>
          <w:sz w:val="28"/>
          <w:szCs w:val="28"/>
          <w:lang w:val="es-CO" w:eastAsia="es-MX"/>
        </w:rPr>
        <w:t>admitió</w:t>
      </w:r>
      <w:r w:rsidR="00661476" w:rsidRPr="007F2045">
        <w:rPr>
          <w:rFonts w:ascii="Times New Roman" w:eastAsia="MS Mincho" w:hAnsi="Times New Roman"/>
          <w:sz w:val="28"/>
          <w:szCs w:val="28"/>
          <w:lang w:val="es-CO" w:eastAsia="es-MX"/>
        </w:rPr>
        <w:t>,</w:t>
      </w:r>
      <w:r w:rsidR="0038642C" w:rsidRPr="007F2045">
        <w:rPr>
          <w:rFonts w:ascii="Times New Roman" w:eastAsia="MS Mincho" w:hAnsi="Times New Roman"/>
          <w:sz w:val="28"/>
          <w:szCs w:val="28"/>
          <w:lang w:val="es-CO" w:eastAsia="es-MX"/>
        </w:rPr>
        <w:t xml:space="preserve"> </w:t>
      </w:r>
      <w:r w:rsidR="00606404" w:rsidRPr="007F2045">
        <w:rPr>
          <w:rFonts w:ascii="Times New Roman" w:eastAsia="MS Mincho" w:hAnsi="Times New Roman"/>
          <w:sz w:val="28"/>
          <w:szCs w:val="28"/>
          <w:lang w:val="es-CO" w:eastAsia="es-MX"/>
        </w:rPr>
        <w:t xml:space="preserve">precisamente </w:t>
      </w:r>
      <w:r w:rsidR="0081116C" w:rsidRPr="007F2045">
        <w:rPr>
          <w:rFonts w:ascii="Times New Roman" w:eastAsia="MS Mincho" w:hAnsi="Times New Roman"/>
          <w:sz w:val="28"/>
          <w:szCs w:val="28"/>
          <w:lang w:val="es-CO" w:eastAsia="es-MX"/>
        </w:rPr>
        <w:t xml:space="preserve">en el </w:t>
      </w:r>
      <w:r w:rsidR="00606404" w:rsidRPr="007F2045">
        <w:rPr>
          <w:rFonts w:ascii="Times New Roman" w:eastAsia="MS Mincho" w:hAnsi="Times New Roman"/>
          <w:sz w:val="28"/>
          <w:szCs w:val="28"/>
          <w:lang w:val="es-CO" w:eastAsia="es-MX"/>
        </w:rPr>
        <w:t xml:space="preserve">citado </w:t>
      </w:r>
      <w:r w:rsidR="0081116C" w:rsidRPr="007F2045">
        <w:rPr>
          <w:rFonts w:ascii="Times New Roman" w:eastAsia="MS Mincho" w:hAnsi="Times New Roman"/>
          <w:sz w:val="28"/>
          <w:szCs w:val="28"/>
          <w:lang w:val="es-CO" w:eastAsia="es-MX"/>
        </w:rPr>
        <w:t>auto 272 de 2023</w:t>
      </w:r>
      <w:r w:rsidR="00661476" w:rsidRPr="007F2045">
        <w:rPr>
          <w:rFonts w:ascii="Times New Roman" w:eastAsia="MS Mincho" w:hAnsi="Times New Roman"/>
          <w:sz w:val="28"/>
          <w:szCs w:val="28"/>
          <w:lang w:val="es-CO" w:eastAsia="es-MX"/>
        </w:rPr>
        <w:t>,</w:t>
      </w:r>
      <w:r w:rsidR="0081116C" w:rsidRPr="007F2045">
        <w:rPr>
          <w:rFonts w:ascii="Times New Roman" w:eastAsia="MS Mincho" w:hAnsi="Times New Roman"/>
          <w:sz w:val="28"/>
          <w:szCs w:val="28"/>
          <w:lang w:val="es-CO" w:eastAsia="es-MX"/>
        </w:rPr>
        <w:t xml:space="preserve"> </w:t>
      </w:r>
      <w:r w:rsidR="00D577D2" w:rsidRPr="007F2045">
        <w:rPr>
          <w:rFonts w:ascii="Times New Roman" w:eastAsia="MS Mincho" w:hAnsi="Times New Roman"/>
          <w:sz w:val="28"/>
          <w:szCs w:val="28"/>
          <w:lang w:val="es-CO" w:eastAsia="es-MX"/>
        </w:rPr>
        <w:t xml:space="preserve">que esa inexequibilidad </w:t>
      </w:r>
      <w:r w:rsidR="00FF5352" w:rsidRPr="007F2045">
        <w:rPr>
          <w:rFonts w:ascii="Times New Roman" w:eastAsia="MS Mincho" w:hAnsi="Times New Roman"/>
          <w:sz w:val="28"/>
          <w:szCs w:val="28"/>
          <w:lang w:val="es-CO" w:eastAsia="es-MX"/>
        </w:rPr>
        <w:t>había sido</w:t>
      </w:r>
      <w:r w:rsidR="00D577D2" w:rsidRPr="007F2045">
        <w:rPr>
          <w:rFonts w:ascii="Times New Roman" w:eastAsia="MS Mincho" w:hAnsi="Times New Roman"/>
          <w:sz w:val="28"/>
          <w:szCs w:val="28"/>
          <w:lang w:val="es-CO" w:eastAsia="es-MX"/>
        </w:rPr>
        <w:t xml:space="preserve"> insuficiente para corregir los efectos causados por la norma</w:t>
      </w:r>
      <w:r w:rsidR="00435C9F" w:rsidRPr="007F2045">
        <w:rPr>
          <w:rFonts w:ascii="Times New Roman" w:eastAsia="MS Mincho" w:hAnsi="Times New Roman"/>
          <w:sz w:val="28"/>
          <w:szCs w:val="28"/>
          <w:lang w:val="es-CO" w:eastAsia="es-MX"/>
        </w:rPr>
        <w:t xml:space="preserve"> demandada</w:t>
      </w:r>
      <w:r w:rsidR="00932627" w:rsidRPr="007F2045">
        <w:rPr>
          <w:rFonts w:ascii="Times New Roman" w:eastAsia="MS Mincho" w:hAnsi="Times New Roman"/>
          <w:sz w:val="28"/>
          <w:szCs w:val="28"/>
          <w:lang w:val="es-CO" w:eastAsia="es-MX"/>
        </w:rPr>
        <w:t>.</w:t>
      </w:r>
      <w:r w:rsidR="00E01D6F" w:rsidRPr="007F2045">
        <w:rPr>
          <w:rFonts w:ascii="Times New Roman" w:eastAsia="MS Mincho" w:hAnsi="Times New Roman"/>
          <w:sz w:val="28"/>
          <w:szCs w:val="28"/>
          <w:lang w:val="es-CO" w:eastAsia="es-MX"/>
        </w:rPr>
        <w:t xml:space="preserve"> </w:t>
      </w:r>
      <w:r w:rsidR="00932627" w:rsidRPr="007F2045">
        <w:rPr>
          <w:rFonts w:ascii="Times New Roman" w:eastAsia="MS Mincho" w:hAnsi="Times New Roman"/>
          <w:sz w:val="28"/>
          <w:szCs w:val="28"/>
          <w:lang w:val="es-CO" w:eastAsia="es-MX"/>
        </w:rPr>
        <w:t>E</w:t>
      </w:r>
      <w:r w:rsidR="00E01D6F" w:rsidRPr="007F2045">
        <w:rPr>
          <w:rFonts w:ascii="Times New Roman" w:eastAsia="MS Mincho" w:hAnsi="Times New Roman"/>
          <w:sz w:val="28"/>
          <w:szCs w:val="28"/>
          <w:lang w:val="es-CO" w:eastAsia="es-MX"/>
        </w:rPr>
        <w:t xml:space="preserve">sta fue una de las razones </w:t>
      </w:r>
      <w:r w:rsidR="00C974FF" w:rsidRPr="007F2045">
        <w:rPr>
          <w:rFonts w:ascii="Times New Roman" w:eastAsia="MS Mincho" w:hAnsi="Times New Roman"/>
          <w:sz w:val="28"/>
          <w:szCs w:val="28"/>
          <w:lang w:val="es-CO" w:eastAsia="es-MX"/>
        </w:rPr>
        <w:t xml:space="preserve">que llevó a </w:t>
      </w:r>
      <w:r w:rsidR="001F6D81" w:rsidRPr="007F2045">
        <w:rPr>
          <w:rFonts w:ascii="Times New Roman" w:eastAsia="MS Mincho" w:hAnsi="Times New Roman"/>
          <w:sz w:val="28"/>
          <w:szCs w:val="28"/>
          <w:lang w:val="es-CO" w:eastAsia="es-MX"/>
        </w:rPr>
        <w:t>este Tribunal</w:t>
      </w:r>
      <w:r w:rsidR="00E01D6F" w:rsidRPr="007F2045">
        <w:rPr>
          <w:rFonts w:ascii="Times New Roman" w:eastAsia="MS Mincho" w:hAnsi="Times New Roman"/>
          <w:sz w:val="28"/>
          <w:szCs w:val="28"/>
          <w:lang w:val="es-CO" w:eastAsia="es-MX"/>
        </w:rPr>
        <w:t xml:space="preserve"> </w:t>
      </w:r>
      <w:r w:rsidR="00C974FF" w:rsidRPr="007F2045">
        <w:rPr>
          <w:rFonts w:ascii="Times New Roman" w:eastAsia="MS Mincho" w:hAnsi="Times New Roman"/>
          <w:sz w:val="28"/>
          <w:szCs w:val="28"/>
          <w:lang w:val="es-CO" w:eastAsia="es-MX"/>
        </w:rPr>
        <w:t>a cambiar su jurisprudencia sobre la medida de suspensión provisional</w:t>
      </w:r>
      <w:r w:rsidR="00136741" w:rsidRPr="007F2045">
        <w:rPr>
          <w:rFonts w:ascii="Times New Roman" w:eastAsia="MS Mincho" w:hAnsi="Times New Roman"/>
          <w:sz w:val="28"/>
          <w:szCs w:val="28"/>
          <w:lang w:val="es-CO" w:eastAsia="es-MX"/>
        </w:rPr>
        <w:t xml:space="preserve"> en procesos de control abstracto de constitucionalidad.</w:t>
      </w:r>
    </w:p>
    <w:p w14:paraId="7CE1B060" w14:textId="77777777" w:rsidR="001C2064" w:rsidRPr="007F2045" w:rsidRDefault="001C2064" w:rsidP="001B5728">
      <w:pPr>
        <w:pStyle w:val="Prrafodelista"/>
        <w:spacing w:after="0" w:line="240" w:lineRule="auto"/>
        <w:rPr>
          <w:rFonts w:ascii="Times New Roman" w:eastAsia="MS Mincho" w:hAnsi="Times New Roman"/>
          <w:sz w:val="28"/>
          <w:szCs w:val="28"/>
          <w:lang w:val="es-CO" w:eastAsia="es-MX"/>
        </w:rPr>
      </w:pPr>
      <w:bookmarkStart w:id="11" w:name="OLE_LINK4"/>
    </w:p>
    <w:p w14:paraId="79383C5F" w14:textId="77777777" w:rsidR="001C2064" w:rsidRPr="007F2045" w:rsidRDefault="001F6D81" w:rsidP="001B5728">
      <w:pPr>
        <w:pStyle w:val="Prrafodelista"/>
        <w:numPr>
          <w:ilvl w:val="0"/>
          <w:numId w:val="2"/>
        </w:numPr>
        <w:tabs>
          <w:tab w:val="left" w:pos="284"/>
          <w:tab w:val="left" w:pos="426"/>
        </w:tabs>
        <w:spacing w:after="0" w:line="240" w:lineRule="auto"/>
        <w:ind w:left="0" w:firstLine="0"/>
        <w:rPr>
          <w:rFonts w:ascii="Times New Roman" w:eastAsia="MS Mincho" w:hAnsi="Times New Roman"/>
          <w:sz w:val="28"/>
          <w:szCs w:val="28"/>
          <w:lang w:val="es-CO" w:eastAsia="es-MX"/>
        </w:rPr>
      </w:pPr>
      <w:r w:rsidRPr="007F2045">
        <w:rPr>
          <w:rFonts w:ascii="Times New Roman" w:eastAsia="MS Mincho" w:hAnsi="Times New Roman"/>
          <w:sz w:val="28"/>
          <w:szCs w:val="28"/>
          <w:lang w:val="es-CO" w:eastAsia="es-MX"/>
        </w:rPr>
        <w:t>Finalmente</w:t>
      </w:r>
      <w:r w:rsidR="001C2064" w:rsidRPr="007F2045">
        <w:rPr>
          <w:rFonts w:ascii="Times New Roman" w:eastAsia="MS Mincho" w:hAnsi="Times New Roman"/>
          <w:sz w:val="28"/>
          <w:szCs w:val="28"/>
          <w:lang w:val="es-CO" w:eastAsia="es-MX"/>
        </w:rPr>
        <w:t xml:space="preserve">, </w:t>
      </w:r>
      <w:r w:rsidRPr="007F2045">
        <w:rPr>
          <w:rFonts w:ascii="Times New Roman" w:eastAsia="MS Mincho" w:hAnsi="Times New Roman"/>
          <w:sz w:val="28"/>
          <w:szCs w:val="28"/>
          <w:lang w:val="es-CO" w:eastAsia="es-MX"/>
        </w:rPr>
        <w:t xml:space="preserve">es preciso señalar que </w:t>
      </w:r>
      <w:r w:rsidR="006C5EDF" w:rsidRPr="007F2045">
        <w:rPr>
          <w:rFonts w:ascii="Times New Roman" w:eastAsia="MS Mincho" w:hAnsi="Times New Roman"/>
          <w:sz w:val="28"/>
          <w:szCs w:val="28"/>
          <w:lang w:val="es-CO" w:eastAsia="es-MX"/>
        </w:rPr>
        <w:t>la</w:t>
      </w:r>
      <w:r w:rsidR="001C2064" w:rsidRPr="007F2045">
        <w:rPr>
          <w:rFonts w:ascii="Times New Roman" w:eastAsia="MS Mincho" w:hAnsi="Times New Roman"/>
          <w:sz w:val="28"/>
          <w:szCs w:val="28"/>
          <w:lang w:val="es-CO" w:eastAsia="es-MX"/>
        </w:rPr>
        <w:t xml:space="preserve"> expedición del decreto declaratorio tuvo lugar el 22 de diciembre de 2025, esto es, al primer día hábil siguiente de inicio de la </w:t>
      </w:r>
      <w:r w:rsidR="001C2064" w:rsidRPr="007F2045">
        <w:rPr>
          <w:rFonts w:ascii="Times New Roman" w:eastAsia="MS Mincho" w:hAnsi="Times New Roman"/>
          <w:i/>
          <w:iCs/>
          <w:sz w:val="28"/>
          <w:szCs w:val="28"/>
          <w:lang w:val="es-CO" w:eastAsia="es-MX"/>
        </w:rPr>
        <w:t>vacancia judicial</w:t>
      </w:r>
      <w:r w:rsidR="001C2064" w:rsidRPr="007F2045">
        <w:rPr>
          <w:rFonts w:ascii="Times New Roman" w:eastAsia="MS Mincho" w:hAnsi="Times New Roman"/>
          <w:sz w:val="28"/>
          <w:szCs w:val="28"/>
          <w:lang w:val="es-CO" w:eastAsia="es-MX"/>
        </w:rPr>
        <w:t>, época para la cual se podía eludir momentáneamente el control constitucional a cargo de la Corte, ante la imposibilidad jurídica de que este Tribunal estuviese funcionando, al estar todos sus servidores públicos, incluidos los miembros de la Sala Plena, en el periodo legal de descanso colectivo obligatorio</w:t>
      </w:r>
      <w:r w:rsidR="001C2064" w:rsidRPr="007F2045">
        <w:rPr>
          <w:rFonts w:ascii="Times New Roman" w:eastAsia="MS Mincho" w:hAnsi="Times New Roman"/>
          <w:szCs w:val="28"/>
          <w:vertAlign w:val="superscript"/>
          <w:lang w:val="es-CO" w:eastAsia="es-MX"/>
        </w:rPr>
        <w:footnoteReference w:id="94"/>
      </w:r>
      <w:r w:rsidR="001C2064" w:rsidRPr="007F2045">
        <w:rPr>
          <w:rFonts w:ascii="Times New Roman" w:eastAsia="MS Mincho" w:hAnsi="Times New Roman"/>
          <w:sz w:val="28"/>
          <w:szCs w:val="28"/>
          <w:lang w:val="es-CO" w:eastAsia="es-MX"/>
        </w:rPr>
        <w:t>.</w:t>
      </w:r>
      <w:r w:rsidR="007F2045" w:rsidRPr="007F2045">
        <w:rPr>
          <w:rFonts w:ascii="Times New Roman" w:eastAsia="MS Mincho" w:hAnsi="Times New Roman"/>
          <w:sz w:val="28"/>
          <w:szCs w:val="28"/>
          <w:lang w:val="es-CO" w:eastAsia="es-MX"/>
        </w:rPr>
        <w:t xml:space="preserve"> Si bien es cierto que una situación de excepción suele requerir la adopción de medidas para ser implementadas inmediatamente, las circunstancias que motivaron la expedición del Decreto 1390 de 2025, en especial, la no aprobación de la iniciativa de financiamiento en el Congreso, evidencian –</w:t>
      </w:r>
      <w:r w:rsidR="007F2045" w:rsidRPr="007F2045">
        <w:rPr>
          <w:rFonts w:ascii="Times New Roman" w:eastAsia="MS Mincho" w:hAnsi="Times New Roman"/>
          <w:i/>
          <w:iCs/>
          <w:sz w:val="28"/>
          <w:szCs w:val="28"/>
          <w:lang w:val="es-CO" w:eastAsia="es-MX"/>
        </w:rPr>
        <w:t>prima facie</w:t>
      </w:r>
      <w:r w:rsidR="007F2045" w:rsidRPr="007F2045">
        <w:rPr>
          <w:rFonts w:ascii="Times New Roman" w:eastAsia="MS Mincho" w:hAnsi="Times New Roman"/>
          <w:sz w:val="28"/>
          <w:szCs w:val="28"/>
          <w:lang w:val="es-CO" w:eastAsia="es-MX"/>
        </w:rPr>
        <w:t xml:space="preserve">– que la </w:t>
      </w:r>
      <w:proofErr w:type="spellStart"/>
      <w:r w:rsidR="007F2045" w:rsidRPr="007F2045">
        <w:rPr>
          <w:rFonts w:ascii="Times New Roman" w:eastAsia="MS Mincho" w:hAnsi="Times New Roman"/>
          <w:sz w:val="28"/>
          <w:szCs w:val="28"/>
          <w:lang w:val="es-CO" w:eastAsia="es-MX"/>
        </w:rPr>
        <w:t>autohabilitación</w:t>
      </w:r>
      <w:proofErr w:type="spellEnd"/>
      <w:r w:rsidR="007F2045" w:rsidRPr="007F2045">
        <w:rPr>
          <w:rFonts w:ascii="Times New Roman" w:eastAsia="MS Mincho" w:hAnsi="Times New Roman"/>
          <w:sz w:val="28"/>
          <w:szCs w:val="28"/>
          <w:lang w:val="es-CO" w:eastAsia="es-MX"/>
        </w:rPr>
        <w:t xml:space="preserve"> para expedir decretos legislativos finalizando la vigencia fiscal –que incluirían impuestos directos e indirectos– tenía la intención de diferir el pronunciamiento de la Corte y, en esa medida, contraer la eficacia del control constitucional</w:t>
      </w:r>
      <w:r w:rsidR="00197077">
        <w:rPr>
          <w:rFonts w:ascii="Times New Roman" w:eastAsia="MS Mincho" w:hAnsi="Times New Roman"/>
          <w:sz w:val="28"/>
          <w:szCs w:val="28"/>
          <w:lang w:val="es-CO" w:eastAsia="es-MX"/>
        </w:rPr>
        <w:t>.</w:t>
      </w:r>
      <w:r w:rsidR="007F2045" w:rsidRPr="007F2045">
        <w:rPr>
          <w:rFonts w:ascii="Times New Roman" w:eastAsia="MS Mincho" w:hAnsi="Times New Roman"/>
          <w:sz w:val="28"/>
          <w:szCs w:val="28"/>
          <w:lang w:val="es-CO" w:eastAsia="es-MX"/>
        </w:rPr>
        <w:t xml:space="preserve"> </w:t>
      </w:r>
    </w:p>
    <w:p w14:paraId="7D70FF1F" w14:textId="77777777" w:rsidR="0003281F" w:rsidRPr="007F2045" w:rsidRDefault="0003281F" w:rsidP="001B5728">
      <w:pPr>
        <w:pStyle w:val="Prrafodelista"/>
        <w:tabs>
          <w:tab w:val="left" w:pos="284"/>
          <w:tab w:val="left" w:pos="426"/>
        </w:tabs>
        <w:spacing w:after="0" w:line="240" w:lineRule="auto"/>
        <w:ind w:left="0"/>
        <w:rPr>
          <w:rFonts w:ascii="Times New Roman" w:eastAsia="MS Mincho" w:hAnsi="Times New Roman"/>
          <w:sz w:val="28"/>
          <w:szCs w:val="28"/>
          <w:lang w:val="es-CO" w:eastAsia="es-MX"/>
        </w:rPr>
      </w:pPr>
    </w:p>
    <w:p w14:paraId="72F836C7" w14:textId="77777777" w:rsidR="00372909" w:rsidRPr="007F2045" w:rsidRDefault="00D92ABA" w:rsidP="001B5728">
      <w:pPr>
        <w:pStyle w:val="Prrafodelista"/>
        <w:numPr>
          <w:ilvl w:val="0"/>
          <w:numId w:val="2"/>
        </w:numPr>
        <w:tabs>
          <w:tab w:val="left" w:pos="284"/>
          <w:tab w:val="left" w:pos="426"/>
        </w:tabs>
        <w:spacing w:after="0" w:line="240" w:lineRule="auto"/>
        <w:ind w:left="0" w:firstLine="0"/>
        <w:rPr>
          <w:rFonts w:ascii="Times New Roman" w:eastAsia="MS Mincho" w:hAnsi="Times New Roman"/>
          <w:sz w:val="28"/>
          <w:szCs w:val="28"/>
          <w:lang w:val="es-CO" w:eastAsia="es-MX"/>
        </w:rPr>
      </w:pPr>
      <w:r w:rsidRPr="007F2045">
        <w:rPr>
          <w:rFonts w:ascii="Times New Roman" w:eastAsia="MS Mincho" w:hAnsi="Times New Roman"/>
          <w:sz w:val="28"/>
          <w:szCs w:val="28"/>
          <w:lang w:val="es-CO" w:eastAsia="es-MX"/>
        </w:rPr>
        <w:lastRenderedPageBreak/>
        <w:t xml:space="preserve"> </w:t>
      </w:r>
      <w:r w:rsidR="00FF23EA" w:rsidRPr="007F2045">
        <w:rPr>
          <w:rFonts w:ascii="Times New Roman" w:eastAsia="MS Mincho" w:hAnsi="Times New Roman"/>
          <w:sz w:val="28"/>
          <w:szCs w:val="28"/>
          <w:lang w:val="es-CO" w:eastAsia="es-MX"/>
        </w:rPr>
        <w:t xml:space="preserve"> </w:t>
      </w:r>
      <w:r w:rsidR="00372909" w:rsidRPr="007F2045">
        <w:rPr>
          <w:rFonts w:ascii="Times New Roman" w:eastAsia="MS Mincho" w:hAnsi="Times New Roman"/>
          <w:sz w:val="28"/>
          <w:szCs w:val="28"/>
          <w:lang w:val="es-CO" w:eastAsia="es-MX"/>
        </w:rPr>
        <w:t>En suma,</w:t>
      </w:r>
      <w:r w:rsidR="00F7658E" w:rsidRPr="007F2045">
        <w:rPr>
          <w:rFonts w:ascii="Times New Roman" w:eastAsia="MS Mincho" w:hAnsi="Times New Roman"/>
          <w:sz w:val="28"/>
          <w:szCs w:val="28"/>
          <w:lang w:val="es-CO" w:eastAsia="es-MX"/>
        </w:rPr>
        <w:t xml:space="preserve"> la declaratoria del estado de excepción (i)</w:t>
      </w:r>
      <w:r w:rsidR="0025550A" w:rsidRPr="007F2045">
        <w:rPr>
          <w:rFonts w:ascii="Times New Roman" w:eastAsia="MS Mincho" w:hAnsi="Times New Roman"/>
          <w:sz w:val="28"/>
          <w:szCs w:val="28"/>
          <w:lang w:val="es-CO" w:eastAsia="es-MX"/>
        </w:rPr>
        <w:t xml:space="preserve"> más de</w:t>
      </w:r>
      <w:r w:rsidR="00F7658E" w:rsidRPr="007F2045">
        <w:rPr>
          <w:rFonts w:ascii="Times New Roman" w:eastAsia="MS Mincho" w:hAnsi="Times New Roman"/>
          <w:sz w:val="28"/>
          <w:szCs w:val="28"/>
          <w:lang w:val="es-CO" w:eastAsia="es-MX"/>
        </w:rPr>
        <w:t xml:space="preserve"> 10 días después de</w:t>
      </w:r>
      <w:r w:rsidR="00377672" w:rsidRPr="007F2045">
        <w:rPr>
          <w:rFonts w:ascii="Times New Roman" w:eastAsia="MS Mincho" w:hAnsi="Times New Roman"/>
          <w:sz w:val="28"/>
          <w:szCs w:val="28"/>
          <w:lang w:val="es-CO" w:eastAsia="es-MX"/>
        </w:rPr>
        <w:t>l archivo del proyecto de ley de financiamiento</w:t>
      </w:r>
      <w:r w:rsidR="004B0BE8" w:rsidRPr="007F2045">
        <w:rPr>
          <w:rFonts w:ascii="Times New Roman" w:eastAsia="MS Mincho" w:hAnsi="Times New Roman"/>
          <w:szCs w:val="28"/>
          <w:vertAlign w:val="superscript"/>
          <w:lang w:val="es-CO" w:eastAsia="es-MX"/>
        </w:rPr>
        <w:footnoteReference w:id="95"/>
      </w:r>
      <w:r w:rsidR="00377672" w:rsidRPr="007F2045">
        <w:rPr>
          <w:rFonts w:ascii="Times New Roman" w:eastAsia="MS Mincho" w:hAnsi="Times New Roman"/>
          <w:sz w:val="28"/>
          <w:szCs w:val="28"/>
          <w:lang w:val="es-CO" w:eastAsia="es-MX"/>
        </w:rPr>
        <w:t>, (</w:t>
      </w:r>
      <w:proofErr w:type="spellStart"/>
      <w:r w:rsidR="00377672" w:rsidRPr="007F2045">
        <w:rPr>
          <w:rFonts w:ascii="Times New Roman" w:eastAsia="MS Mincho" w:hAnsi="Times New Roman"/>
          <w:sz w:val="28"/>
          <w:szCs w:val="28"/>
          <w:lang w:val="es-CO" w:eastAsia="es-MX"/>
        </w:rPr>
        <w:t>ii</w:t>
      </w:r>
      <w:proofErr w:type="spellEnd"/>
      <w:r w:rsidR="00377672" w:rsidRPr="007F2045">
        <w:rPr>
          <w:rFonts w:ascii="Times New Roman" w:eastAsia="MS Mincho" w:hAnsi="Times New Roman"/>
          <w:sz w:val="28"/>
          <w:szCs w:val="28"/>
          <w:lang w:val="es-CO" w:eastAsia="es-MX"/>
        </w:rPr>
        <w:t xml:space="preserve">) </w:t>
      </w:r>
      <w:r w:rsidR="00716042" w:rsidRPr="007F2045">
        <w:rPr>
          <w:rFonts w:ascii="Times New Roman" w:eastAsia="MS Mincho" w:hAnsi="Times New Roman"/>
          <w:sz w:val="28"/>
          <w:szCs w:val="28"/>
          <w:lang w:val="es-CO" w:eastAsia="es-MX"/>
        </w:rPr>
        <w:t>al iniciar</w:t>
      </w:r>
      <w:r w:rsidR="0077380B" w:rsidRPr="007F2045">
        <w:rPr>
          <w:rFonts w:ascii="Times New Roman" w:eastAsia="MS Mincho" w:hAnsi="Times New Roman"/>
          <w:sz w:val="28"/>
          <w:szCs w:val="28"/>
          <w:lang w:val="es-CO" w:eastAsia="es-MX"/>
        </w:rPr>
        <w:t xml:space="preserve"> la </w:t>
      </w:r>
      <w:r w:rsidR="00E02EBD" w:rsidRPr="007F2045">
        <w:rPr>
          <w:rFonts w:ascii="Times New Roman" w:eastAsia="MS Mincho" w:hAnsi="Times New Roman"/>
          <w:sz w:val="28"/>
          <w:szCs w:val="28"/>
          <w:lang w:val="es-CO" w:eastAsia="es-MX"/>
        </w:rPr>
        <w:t>vacancia judicial y (</w:t>
      </w:r>
      <w:proofErr w:type="spellStart"/>
      <w:r w:rsidR="00E02EBD" w:rsidRPr="007F2045">
        <w:rPr>
          <w:rFonts w:ascii="Times New Roman" w:eastAsia="MS Mincho" w:hAnsi="Times New Roman"/>
          <w:sz w:val="28"/>
          <w:szCs w:val="28"/>
          <w:lang w:val="es-CO" w:eastAsia="es-MX"/>
        </w:rPr>
        <w:t>iii</w:t>
      </w:r>
      <w:proofErr w:type="spellEnd"/>
      <w:r w:rsidR="00E02EBD" w:rsidRPr="007F2045">
        <w:rPr>
          <w:rFonts w:ascii="Times New Roman" w:eastAsia="MS Mincho" w:hAnsi="Times New Roman"/>
          <w:sz w:val="28"/>
          <w:szCs w:val="28"/>
          <w:lang w:val="es-CO" w:eastAsia="es-MX"/>
        </w:rPr>
        <w:t xml:space="preserve">) </w:t>
      </w:r>
      <w:r w:rsidR="00FA3F33" w:rsidRPr="007F2045">
        <w:rPr>
          <w:rFonts w:ascii="Times New Roman" w:eastAsia="MS Mincho" w:hAnsi="Times New Roman"/>
          <w:sz w:val="28"/>
          <w:szCs w:val="28"/>
          <w:lang w:val="es-CO" w:eastAsia="es-MX"/>
        </w:rPr>
        <w:t>en época</w:t>
      </w:r>
      <w:r w:rsidR="00E02EBD" w:rsidRPr="007F2045">
        <w:rPr>
          <w:rFonts w:ascii="Times New Roman" w:hAnsi="Times New Roman"/>
          <w:sz w:val="28"/>
          <w:szCs w:val="28"/>
          <w:lang w:val="es-CO"/>
        </w:rPr>
        <w:t xml:space="preserve"> de campaña</w:t>
      </w:r>
      <w:r w:rsidR="009D5130" w:rsidRPr="007F2045">
        <w:rPr>
          <w:rFonts w:ascii="Times New Roman" w:hAnsi="Times New Roman"/>
          <w:sz w:val="28"/>
          <w:szCs w:val="28"/>
          <w:lang w:val="es-CO"/>
        </w:rPr>
        <w:t>s electorales, son hechos que</w:t>
      </w:r>
      <w:r w:rsidR="009A4F36" w:rsidRPr="007F2045">
        <w:rPr>
          <w:rFonts w:ascii="Times New Roman" w:hAnsi="Times New Roman"/>
          <w:sz w:val="28"/>
          <w:szCs w:val="28"/>
          <w:lang w:val="es-CO"/>
        </w:rPr>
        <w:t xml:space="preserve">, evaluados en conjunto, </w:t>
      </w:r>
      <w:r w:rsidR="00716042" w:rsidRPr="007F2045">
        <w:rPr>
          <w:rFonts w:ascii="Times New Roman" w:hAnsi="Times New Roman"/>
          <w:sz w:val="28"/>
          <w:szCs w:val="28"/>
          <w:lang w:val="es-CO"/>
        </w:rPr>
        <w:t>sugieren</w:t>
      </w:r>
      <w:r w:rsidR="00045C7D" w:rsidRPr="007F2045">
        <w:rPr>
          <w:rFonts w:ascii="Times New Roman" w:hAnsi="Times New Roman"/>
          <w:sz w:val="28"/>
          <w:szCs w:val="28"/>
          <w:lang w:val="es-CO"/>
        </w:rPr>
        <w:t xml:space="preserve"> que el Decreto 1390 de 2025</w:t>
      </w:r>
      <w:r w:rsidR="00E02EBD" w:rsidRPr="007F2045">
        <w:rPr>
          <w:rFonts w:ascii="Times New Roman" w:hAnsi="Times New Roman"/>
          <w:sz w:val="28"/>
          <w:szCs w:val="28"/>
          <w:lang w:val="es-CO"/>
        </w:rPr>
        <w:t xml:space="preserve"> </w:t>
      </w:r>
      <w:r w:rsidR="00045C7D" w:rsidRPr="007F2045">
        <w:rPr>
          <w:rFonts w:ascii="Times New Roman" w:hAnsi="Times New Roman"/>
          <w:sz w:val="28"/>
          <w:szCs w:val="28"/>
          <w:lang w:val="es-CO"/>
        </w:rPr>
        <w:t xml:space="preserve">fue proferido </w:t>
      </w:r>
      <w:r w:rsidR="00887E05" w:rsidRPr="007F2045">
        <w:rPr>
          <w:rFonts w:ascii="Times New Roman" w:hAnsi="Times New Roman"/>
          <w:sz w:val="28"/>
          <w:szCs w:val="28"/>
          <w:lang w:val="es-CO"/>
        </w:rPr>
        <w:t xml:space="preserve">en un momento </w:t>
      </w:r>
      <w:r w:rsidR="002709F9" w:rsidRPr="007F2045">
        <w:rPr>
          <w:rFonts w:ascii="Times New Roman" w:hAnsi="Times New Roman"/>
          <w:sz w:val="28"/>
          <w:szCs w:val="28"/>
          <w:lang w:val="es-CO"/>
        </w:rPr>
        <w:t xml:space="preserve">propicio para que pudiera surtir efectos jurídicos que escaparan </w:t>
      </w:r>
      <w:r w:rsidR="003806EA" w:rsidRPr="007F2045">
        <w:rPr>
          <w:rFonts w:ascii="Times New Roman" w:hAnsi="Times New Roman"/>
          <w:sz w:val="28"/>
          <w:szCs w:val="28"/>
          <w:lang w:val="es-CO"/>
        </w:rPr>
        <w:t xml:space="preserve">a la revisión </w:t>
      </w:r>
      <w:r w:rsidR="002709F9" w:rsidRPr="007F2045">
        <w:rPr>
          <w:rFonts w:ascii="Times New Roman" w:hAnsi="Times New Roman"/>
          <w:sz w:val="28"/>
          <w:szCs w:val="28"/>
          <w:lang w:val="es-CO"/>
        </w:rPr>
        <w:t>efectiv</w:t>
      </w:r>
      <w:r w:rsidR="003806EA" w:rsidRPr="007F2045">
        <w:rPr>
          <w:rFonts w:ascii="Times New Roman" w:hAnsi="Times New Roman"/>
          <w:sz w:val="28"/>
          <w:szCs w:val="28"/>
          <w:lang w:val="es-CO"/>
        </w:rPr>
        <w:t>a</w:t>
      </w:r>
      <w:r w:rsidR="002709F9" w:rsidRPr="007F2045">
        <w:rPr>
          <w:rFonts w:ascii="Times New Roman" w:hAnsi="Times New Roman"/>
          <w:sz w:val="28"/>
          <w:szCs w:val="28"/>
          <w:lang w:val="es-CO"/>
        </w:rPr>
        <w:t xml:space="preserve"> y oportun</w:t>
      </w:r>
      <w:r w:rsidR="003806EA" w:rsidRPr="007F2045">
        <w:rPr>
          <w:rFonts w:ascii="Times New Roman" w:hAnsi="Times New Roman"/>
          <w:sz w:val="28"/>
          <w:szCs w:val="28"/>
          <w:lang w:val="es-CO"/>
        </w:rPr>
        <w:t>a</w:t>
      </w:r>
      <w:r w:rsidR="002709F9" w:rsidRPr="007F2045">
        <w:rPr>
          <w:rFonts w:ascii="Times New Roman" w:hAnsi="Times New Roman"/>
          <w:sz w:val="28"/>
          <w:szCs w:val="28"/>
          <w:lang w:val="es-CO"/>
        </w:rPr>
        <w:t xml:space="preserve"> de la Corte.</w:t>
      </w:r>
      <w:r w:rsidR="004B0BE8" w:rsidRPr="007F2045">
        <w:rPr>
          <w:rFonts w:ascii="Times New Roman" w:hAnsi="Times New Roman"/>
          <w:sz w:val="28"/>
          <w:szCs w:val="28"/>
          <w:lang w:val="es-CO"/>
        </w:rPr>
        <w:t xml:space="preserve"> </w:t>
      </w:r>
      <w:r w:rsidR="00830918" w:rsidRPr="007F2045">
        <w:rPr>
          <w:rFonts w:ascii="Times New Roman" w:hAnsi="Times New Roman"/>
          <w:sz w:val="28"/>
          <w:szCs w:val="28"/>
          <w:lang w:val="es-CO"/>
        </w:rPr>
        <w:t xml:space="preserve">Esta </w:t>
      </w:r>
      <w:r w:rsidR="004F6FC5" w:rsidRPr="007F2045">
        <w:rPr>
          <w:rFonts w:ascii="Times New Roman" w:hAnsi="Times New Roman"/>
          <w:sz w:val="28"/>
          <w:szCs w:val="28"/>
          <w:lang w:val="es-CO"/>
        </w:rPr>
        <w:t xml:space="preserve">situación </w:t>
      </w:r>
      <w:r w:rsidR="003806EA" w:rsidRPr="007F2045">
        <w:rPr>
          <w:rFonts w:ascii="Times New Roman" w:hAnsi="Times New Roman"/>
          <w:sz w:val="28"/>
          <w:szCs w:val="28"/>
          <w:lang w:val="es-CO"/>
        </w:rPr>
        <w:t>configura un escenario de elusión del control de constitucionalidad i</w:t>
      </w:r>
      <w:r w:rsidR="002848FA" w:rsidRPr="007F2045">
        <w:rPr>
          <w:rFonts w:ascii="Times New Roman" w:hAnsi="Times New Roman"/>
          <w:sz w:val="28"/>
          <w:szCs w:val="28"/>
          <w:lang w:val="es-CO"/>
        </w:rPr>
        <w:t xml:space="preserve">ntensa </w:t>
      </w:r>
      <w:r w:rsidR="00191FCB" w:rsidRPr="007F2045">
        <w:rPr>
          <w:rFonts w:ascii="Times New Roman" w:hAnsi="Times New Roman"/>
          <w:sz w:val="28"/>
          <w:szCs w:val="28"/>
          <w:lang w:val="es-CO"/>
        </w:rPr>
        <w:t xml:space="preserve">que </w:t>
      </w:r>
      <w:r w:rsidR="00FC0966" w:rsidRPr="007F2045">
        <w:rPr>
          <w:rFonts w:ascii="Times New Roman" w:hAnsi="Times New Roman"/>
          <w:sz w:val="28"/>
          <w:szCs w:val="28"/>
          <w:lang w:val="es-CO"/>
        </w:rPr>
        <w:t>desafía el sistema de frenos y contrapesos</w:t>
      </w:r>
      <w:r w:rsidR="00B16B95" w:rsidRPr="007F2045">
        <w:rPr>
          <w:rFonts w:ascii="Times New Roman" w:hAnsi="Times New Roman"/>
          <w:sz w:val="28"/>
          <w:szCs w:val="28"/>
          <w:lang w:val="es-CO"/>
        </w:rPr>
        <w:t xml:space="preserve"> esencial para la </w:t>
      </w:r>
      <w:r w:rsidR="007F2045" w:rsidRPr="007F2045">
        <w:rPr>
          <w:rFonts w:ascii="Times New Roman" w:hAnsi="Times New Roman"/>
          <w:sz w:val="28"/>
          <w:szCs w:val="28"/>
          <w:lang w:val="es-CO"/>
        </w:rPr>
        <w:t>d</w:t>
      </w:r>
      <w:r w:rsidR="00B16B95" w:rsidRPr="007F2045">
        <w:rPr>
          <w:rFonts w:ascii="Times New Roman" w:hAnsi="Times New Roman"/>
          <w:sz w:val="28"/>
          <w:szCs w:val="28"/>
          <w:lang w:val="es-CO"/>
        </w:rPr>
        <w:t xml:space="preserve">emocracia, </w:t>
      </w:r>
      <w:r w:rsidR="00FC0966" w:rsidRPr="007F2045">
        <w:rPr>
          <w:rFonts w:ascii="Times New Roman" w:hAnsi="Times New Roman"/>
          <w:sz w:val="28"/>
          <w:szCs w:val="28"/>
          <w:lang w:val="es-CO"/>
        </w:rPr>
        <w:t xml:space="preserve">y la sujeción </w:t>
      </w:r>
      <w:r w:rsidR="00B16B95" w:rsidRPr="007F2045">
        <w:rPr>
          <w:rFonts w:ascii="Times New Roman" w:hAnsi="Times New Roman"/>
          <w:sz w:val="28"/>
          <w:szCs w:val="28"/>
          <w:lang w:val="es-CO"/>
        </w:rPr>
        <w:t xml:space="preserve">del ejecutivo </w:t>
      </w:r>
      <w:r w:rsidR="00FC0966" w:rsidRPr="007F2045">
        <w:rPr>
          <w:rFonts w:ascii="Times New Roman" w:hAnsi="Times New Roman"/>
          <w:sz w:val="28"/>
          <w:szCs w:val="28"/>
          <w:lang w:val="es-CO"/>
        </w:rPr>
        <w:t>al Estado de Derecho.</w:t>
      </w:r>
    </w:p>
    <w:bookmarkEnd w:id="11"/>
    <w:p w14:paraId="375A6D80" w14:textId="77777777" w:rsidR="00025F12" w:rsidRPr="007F2045" w:rsidRDefault="00025F12" w:rsidP="001B5728">
      <w:pPr>
        <w:spacing w:after="0" w:line="240" w:lineRule="auto"/>
        <w:rPr>
          <w:rFonts w:ascii="Times New Roman" w:hAnsi="Times New Roman"/>
          <w:b/>
          <w:bCs/>
          <w:sz w:val="28"/>
          <w:szCs w:val="28"/>
          <w:lang w:val="es-CO"/>
        </w:rPr>
      </w:pPr>
    </w:p>
    <w:p w14:paraId="23278F0F" w14:textId="77777777" w:rsidR="000E1F51" w:rsidRPr="007F2045" w:rsidRDefault="00993CA2" w:rsidP="001B5728">
      <w:pPr>
        <w:pStyle w:val="Ttulo2"/>
        <w:numPr>
          <w:ilvl w:val="0"/>
          <w:numId w:val="0"/>
        </w:numPr>
        <w:ind w:left="1418" w:hanging="698"/>
        <w:rPr>
          <w:bCs/>
          <w:lang w:val="es-CO"/>
        </w:rPr>
      </w:pPr>
      <w:r w:rsidRPr="007F2045">
        <w:rPr>
          <w:lang w:val="es-CO"/>
        </w:rPr>
        <w:t xml:space="preserve">5.3. </w:t>
      </w:r>
      <w:r w:rsidR="0089058D" w:rsidRPr="007F2045">
        <w:rPr>
          <w:lang w:val="es-CO"/>
        </w:rPr>
        <w:tab/>
      </w:r>
      <w:r w:rsidR="000E1F51" w:rsidRPr="007F2045">
        <w:rPr>
          <w:lang w:val="es-CO"/>
        </w:rPr>
        <w:t xml:space="preserve">La medida de suspensión provisional de los efectos del Decreto 1390 de 2025 supera un juicio estricto de proporcionalidad </w:t>
      </w:r>
    </w:p>
    <w:p w14:paraId="3FA7F7D5" w14:textId="77777777" w:rsidR="000E1F51" w:rsidRPr="007F2045" w:rsidRDefault="000E1F51" w:rsidP="001B5728">
      <w:pPr>
        <w:tabs>
          <w:tab w:val="left" w:pos="567"/>
        </w:tabs>
        <w:spacing w:after="0" w:line="240" w:lineRule="auto"/>
        <w:rPr>
          <w:rFonts w:ascii="Times New Roman" w:hAnsi="Times New Roman"/>
          <w:b/>
          <w:bCs/>
          <w:sz w:val="28"/>
          <w:szCs w:val="28"/>
          <w:lang w:val="es-CO"/>
        </w:rPr>
      </w:pPr>
    </w:p>
    <w:p w14:paraId="29DB87DD"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En el </w:t>
      </w:r>
      <w:r w:rsidRPr="007F2045">
        <w:rPr>
          <w:rFonts w:ascii="Times New Roman" w:eastAsia="Times New Roman" w:hAnsi="Times New Roman"/>
          <w:sz w:val="28"/>
          <w:szCs w:val="28"/>
          <w:lang w:val="es-CO"/>
        </w:rPr>
        <w:t>presente</w:t>
      </w:r>
      <w:r w:rsidRPr="007F2045">
        <w:rPr>
          <w:rFonts w:ascii="Times New Roman" w:hAnsi="Times New Roman"/>
          <w:sz w:val="28"/>
          <w:szCs w:val="28"/>
          <w:lang w:val="es-CO"/>
        </w:rPr>
        <w:t xml:space="preserve"> apartado le corresponde a la Corte valorar la acreditación de las condiciones cuarta y primera a que hace referencia el auto 272 de 2023, como se precisó en la</w:t>
      </w:r>
      <w:r w:rsidRPr="007F2045">
        <w:rPr>
          <w:rFonts w:ascii="Times New Roman" w:hAnsi="Times New Roman"/>
          <w:b/>
          <w:bCs/>
          <w:sz w:val="28"/>
          <w:szCs w:val="28"/>
          <w:lang w:val="es-CO"/>
        </w:rPr>
        <w:t xml:space="preserve"> sección 4</w:t>
      </w:r>
      <w:r w:rsidRPr="007F2045">
        <w:rPr>
          <w:rFonts w:ascii="Times New Roman" w:hAnsi="Times New Roman"/>
          <w:sz w:val="28"/>
          <w:szCs w:val="28"/>
          <w:lang w:val="es-CO"/>
        </w:rPr>
        <w:t>.</w:t>
      </w:r>
    </w:p>
    <w:p w14:paraId="65F7E8D3" w14:textId="77777777" w:rsidR="000E1F51" w:rsidRPr="007F2045" w:rsidRDefault="000E1F51" w:rsidP="001B5728">
      <w:pPr>
        <w:tabs>
          <w:tab w:val="left" w:pos="567"/>
        </w:tabs>
        <w:spacing w:after="0" w:line="240" w:lineRule="auto"/>
        <w:rPr>
          <w:rFonts w:ascii="Times New Roman" w:hAnsi="Times New Roman"/>
          <w:b/>
          <w:bCs/>
          <w:sz w:val="28"/>
          <w:szCs w:val="28"/>
          <w:lang w:val="es-CO"/>
        </w:rPr>
      </w:pPr>
    </w:p>
    <w:p w14:paraId="72ABC1B0" w14:textId="77777777" w:rsidR="000E1F51" w:rsidRPr="007F2045" w:rsidRDefault="000E1F51" w:rsidP="001B5728">
      <w:pPr>
        <w:pStyle w:val="Ttulo2"/>
        <w:numPr>
          <w:ilvl w:val="0"/>
          <w:numId w:val="18"/>
        </w:numPr>
        <w:ind w:left="1418" w:hanging="567"/>
        <w:rPr>
          <w:lang w:val="es-CO"/>
        </w:rPr>
      </w:pPr>
      <w:r w:rsidRPr="007F2045">
        <w:rPr>
          <w:lang w:val="es-CO"/>
        </w:rPr>
        <w:t xml:space="preserve">Criterios de evaluación del carácter necesario y estrictamente proporcionado de la medida de suspensión provisional de los efectos del decreto que declara el estado de excepción </w:t>
      </w:r>
    </w:p>
    <w:p w14:paraId="42327160" w14:textId="77777777" w:rsidR="000E1F51" w:rsidRPr="007F2045" w:rsidRDefault="000E1F51" w:rsidP="001B5728">
      <w:pPr>
        <w:tabs>
          <w:tab w:val="left" w:pos="567"/>
        </w:tabs>
        <w:spacing w:after="0" w:line="240" w:lineRule="auto"/>
        <w:rPr>
          <w:rFonts w:ascii="Times New Roman" w:hAnsi="Times New Roman"/>
          <w:b/>
          <w:bCs/>
          <w:sz w:val="28"/>
          <w:szCs w:val="28"/>
          <w:lang w:val="es-CO"/>
        </w:rPr>
      </w:pPr>
    </w:p>
    <w:p w14:paraId="24345435"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eastAsia="es-MX"/>
        </w:rPr>
      </w:pPr>
      <w:r w:rsidRPr="007F2045">
        <w:rPr>
          <w:rFonts w:ascii="Times New Roman" w:eastAsia="MS Mincho" w:hAnsi="Times New Roman"/>
          <w:sz w:val="28"/>
          <w:szCs w:val="28"/>
          <w:lang w:val="es-CO" w:eastAsia="es-MX"/>
        </w:rPr>
        <w:t>En</w:t>
      </w:r>
      <w:r w:rsidRPr="007F2045">
        <w:rPr>
          <w:rFonts w:ascii="Times New Roman" w:hAnsi="Times New Roman"/>
          <w:sz w:val="28"/>
          <w:szCs w:val="28"/>
          <w:lang w:val="es-CO"/>
        </w:rPr>
        <w:t xml:space="preserve"> el auto 272 de 2023, la Corte advirtió que la suspensión provisional de las normas objeto de control abstracto ocasiona profundos efectos, en un plano general, al principio democrático y la correlativa presunción de constitucionalidad de la legislación. Por ello, la referida decisión indicó que tal medida debe someterse a un escrutinio judicial estricto. En dicho juicio debe demostrarse </w:t>
      </w:r>
      <w:r w:rsidRPr="007F2045">
        <w:rPr>
          <w:rFonts w:ascii="Times New Roman" w:hAnsi="Times New Roman"/>
          <w:i/>
          <w:iCs/>
          <w:sz w:val="28"/>
          <w:szCs w:val="28"/>
          <w:lang w:val="es-CO"/>
        </w:rPr>
        <w:t>(i)</w:t>
      </w:r>
      <w:r w:rsidRPr="007F2045">
        <w:rPr>
          <w:rFonts w:ascii="Times New Roman" w:hAnsi="Times New Roman"/>
          <w:sz w:val="28"/>
          <w:szCs w:val="28"/>
          <w:lang w:val="es-CO"/>
        </w:rPr>
        <w:t xml:space="preserve"> que la medida es imprescindible para cumplir con un objetivo constitucionalmente imperioso; y </w:t>
      </w:r>
      <w:r w:rsidRPr="007F2045">
        <w:rPr>
          <w:rFonts w:ascii="Times New Roman" w:hAnsi="Times New Roman"/>
          <w:i/>
          <w:iCs/>
          <w:sz w:val="28"/>
          <w:szCs w:val="28"/>
          <w:lang w:val="es-CO"/>
        </w:rPr>
        <w:t>(</w:t>
      </w:r>
      <w:proofErr w:type="spellStart"/>
      <w:r w:rsidRPr="007F2045">
        <w:rPr>
          <w:rFonts w:ascii="Times New Roman" w:hAnsi="Times New Roman"/>
          <w:i/>
          <w:iCs/>
          <w:sz w:val="28"/>
          <w:szCs w:val="28"/>
          <w:lang w:val="es-CO"/>
        </w:rPr>
        <w:t>ii</w:t>
      </w:r>
      <w:proofErr w:type="spellEnd"/>
      <w:r w:rsidRPr="007F2045">
        <w:rPr>
          <w:rFonts w:ascii="Times New Roman" w:hAnsi="Times New Roman"/>
          <w:i/>
          <w:iCs/>
          <w:sz w:val="28"/>
          <w:szCs w:val="28"/>
          <w:lang w:val="es-CO"/>
        </w:rPr>
        <w:t>)</w:t>
      </w:r>
      <w:r w:rsidRPr="007F2045">
        <w:rPr>
          <w:rFonts w:ascii="Times New Roman" w:hAnsi="Times New Roman"/>
          <w:sz w:val="28"/>
          <w:szCs w:val="28"/>
          <w:lang w:val="es-CO"/>
        </w:rPr>
        <w:t xml:space="preserve"> que los beneficios que se deriven de la suspensión son mayores que las limitaciones que esa medida impone al principio democrático </w:t>
      </w:r>
      <w:r w:rsidR="006A54B7" w:rsidRPr="007F2045">
        <w:rPr>
          <w:rFonts w:ascii="Times New Roman" w:hAnsi="Times New Roman"/>
          <w:sz w:val="28"/>
          <w:szCs w:val="28"/>
          <w:lang w:val="es-CO"/>
        </w:rPr>
        <w:t xml:space="preserve">y a </w:t>
      </w:r>
      <w:r w:rsidRPr="007F2045">
        <w:rPr>
          <w:rFonts w:ascii="Times New Roman" w:hAnsi="Times New Roman"/>
          <w:sz w:val="28"/>
          <w:szCs w:val="28"/>
          <w:lang w:val="es-CO"/>
        </w:rPr>
        <w:t>la presunción de validez de la legislación.</w:t>
      </w:r>
    </w:p>
    <w:p w14:paraId="068F310D" w14:textId="77777777" w:rsidR="000E1F51" w:rsidRPr="007F2045" w:rsidRDefault="000E1F51" w:rsidP="001B5728">
      <w:pPr>
        <w:tabs>
          <w:tab w:val="left" w:pos="567"/>
        </w:tabs>
        <w:spacing w:after="0" w:line="240" w:lineRule="auto"/>
        <w:ind w:left="567" w:right="503"/>
        <w:rPr>
          <w:rFonts w:ascii="Times New Roman" w:hAnsi="Times New Roman"/>
          <w:lang w:val="es-CO"/>
        </w:rPr>
      </w:pPr>
    </w:p>
    <w:p w14:paraId="3E597140"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eastAsia="es-MX"/>
        </w:rPr>
      </w:pPr>
      <w:r w:rsidRPr="007F2045">
        <w:rPr>
          <w:rFonts w:ascii="Times New Roman" w:hAnsi="Times New Roman"/>
          <w:sz w:val="28"/>
          <w:szCs w:val="28"/>
          <w:lang w:val="es-CO" w:eastAsia="es-MX"/>
        </w:rPr>
        <w:t xml:space="preserve">Conforme con lo anterior, el examen de la suspensión provisional se anuda al desarrollo </w:t>
      </w:r>
      <w:r w:rsidRPr="007F2045">
        <w:rPr>
          <w:rFonts w:ascii="Times New Roman" w:hAnsi="Times New Roman"/>
          <w:sz w:val="28"/>
          <w:szCs w:val="28"/>
          <w:lang w:val="es-CO"/>
        </w:rPr>
        <w:t>de</w:t>
      </w:r>
      <w:r w:rsidRPr="007F2045">
        <w:rPr>
          <w:rFonts w:ascii="Times New Roman" w:hAnsi="Times New Roman"/>
          <w:sz w:val="28"/>
          <w:szCs w:val="28"/>
          <w:lang w:val="es-CO" w:eastAsia="es-MX"/>
        </w:rPr>
        <w:t xml:space="preserve"> un juicio de proporcionalidad de intensidad estricta. Aunque el citado auto no refiere específicamente las etapas que exigen que la medida sea efectivamente conducente para alcanzar una finalidad imperiosa, ellas están presupuestas en su planteamiento. En estos términos, le corresponde a la Corte determinar si la restricción a la presunción de constitucionalidad que, en principio, acompaña las decisiones adoptadas por el presidente de la </w:t>
      </w:r>
      <w:r w:rsidR="002C42ED" w:rsidRPr="007F2045">
        <w:rPr>
          <w:rFonts w:ascii="Times New Roman" w:hAnsi="Times New Roman"/>
          <w:sz w:val="28"/>
          <w:szCs w:val="28"/>
          <w:lang w:val="es-CO" w:eastAsia="es-MX"/>
        </w:rPr>
        <w:t>República</w:t>
      </w:r>
      <w:r w:rsidR="006A54B7" w:rsidRPr="007F2045">
        <w:rPr>
          <w:rFonts w:ascii="Times New Roman" w:hAnsi="Times New Roman"/>
          <w:sz w:val="28"/>
          <w:szCs w:val="28"/>
          <w:lang w:val="es-CO" w:eastAsia="es-MX"/>
        </w:rPr>
        <w:t>,</w:t>
      </w:r>
      <w:r w:rsidRPr="007F2045">
        <w:rPr>
          <w:rFonts w:ascii="Times New Roman" w:hAnsi="Times New Roman"/>
          <w:sz w:val="28"/>
          <w:szCs w:val="28"/>
          <w:lang w:val="es-CO" w:eastAsia="es-MX"/>
        </w:rPr>
        <w:t xml:space="preserve"> encuentra justificación en las finalidades perseguidas por la suspensión, en este caso, la protección de la democracia y la separación de poderes en tanto ejes de la Constitución.   </w:t>
      </w:r>
    </w:p>
    <w:p w14:paraId="085A8091" w14:textId="77777777" w:rsidR="000E1F51" w:rsidRPr="007F2045" w:rsidRDefault="000E1F51" w:rsidP="001B5728">
      <w:pPr>
        <w:pStyle w:val="Prrafodelista"/>
        <w:spacing w:after="0" w:line="240" w:lineRule="auto"/>
        <w:ind w:left="1080"/>
        <w:rPr>
          <w:rFonts w:ascii="Times New Roman" w:hAnsi="Times New Roman"/>
          <w:b/>
          <w:bCs/>
          <w:sz w:val="28"/>
          <w:szCs w:val="28"/>
          <w:lang w:val="es-CO"/>
        </w:rPr>
      </w:pPr>
    </w:p>
    <w:p w14:paraId="1302E5C3" w14:textId="77777777" w:rsidR="000E1F51" w:rsidRPr="007F2045" w:rsidRDefault="000E1F51" w:rsidP="001B5728">
      <w:pPr>
        <w:pStyle w:val="Ttulo2"/>
        <w:numPr>
          <w:ilvl w:val="0"/>
          <w:numId w:val="18"/>
        </w:numPr>
        <w:ind w:left="1418" w:hanging="567"/>
        <w:rPr>
          <w:lang w:val="es-CO"/>
        </w:rPr>
      </w:pPr>
      <w:r w:rsidRPr="007F2045">
        <w:rPr>
          <w:lang w:val="es-CO"/>
        </w:rPr>
        <w:t xml:space="preserve">La suspensión provisional de los efectos del Decreto 1390 de 2025 es </w:t>
      </w:r>
      <w:r w:rsidR="00CE433C" w:rsidRPr="007F2045">
        <w:rPr>
          <w:lang w:val="es-CO"/>
        </w:rPr>
        <w:t>proporcionada</w:t>
      </w:r>
    </w:p>
    <w:p w14:paraId="71352E52" w14:textId="77777777" w:rsidR="000E1F51" w:rsidRPr="007F2045" w:rsidRDefault="000E1F51" w:rsidP="001B5728">
      <w:pPr>
        <w:pStyle w:val="Prrafodelista"/>
        <w:tabs>
          <w:tab w:val="left" w:pos="426"/>
        </w:tabs>
        <w:spacing w:after="0" w:line="240" w:lineRule="auto"/>
        <w:ind w:left="0"/>
        <w:rPr>
          <w:rFonts w:ascii="Times New Roman" w:hAnsi="Times New Roman"/>
          <w:sz w:val="28"/>
          <w:szCs w:val="28"/>
          <w:lang w:val="es-CO"/>
        </w:rPr>
      </w:pPr>
      <w:r w:rsidRPr="007F2045">
        <w:rPr>
          <w:rFonts w:ascii="Times New Roman" w:hAnsi="Times New Roman"/>
          <w:sz w:val="28"/>
          <w:szCs w:val="28"/>
          <w:lang w:val="es-CO"/>
        </w:rPr>
        <w:t xml:space="preserve"> </w:t>
      </w:r>
    </w:p>
    <w:p w14:paraId="203F00BE"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eastAsia="es-MX"/>
        </w:rPr>
        <w:t xml:space="preserve">La Corte encuentra que la medida de suspensión provisional de los efectos del Decreto 1390 de 2025 supera el </w:t>
      </w:r>
      <w:r w:rsidRPr="007F2045">
        <w:rPr>
          <w:rFonts w:ascii="Times New Roman" w:hAnsi="Times New Roman"/>
          <w:i/>
          <w:iCs/>
          <w:sz w:val="28"/>
          <w:szCs w:val="28"/>
          <w:lang w:val="es-CO" w:eastAsia="es-MX"/>
        </w:rPr>
        <w:t>juicio de proporcionalidad</w:t>
      </w:r>
      <w:r w:rsidRPr="007F2045">
        <w:rPr>
          <w:rFonts w:ascii="Times New Roman" w:hAnsi="Times New Roman"/>
          <w:sz w:val="28"/>
          <w:szCs w:val="28"/>
          <w:lang w:val="es-CO" w:eastAsia="es-MX"/>
        </w:rPr>
        <w:t xml:space="preserve"> de intensidad estricta al que </w:t>
      </w:r>
      <w:r w:rsidRPr="007F2045">
        <w:rPr>
          <w:rFonts w:ascii="Times New Roman" w:hAnsi="Times New Roman"/>
          <w:sz w:val="28"/>
          <w:szCs w:val="28"/>
          <w:lang w:val="es-CO"/>
        </w:rPr>
        <w:t>alude</w:t>
      </w:r>
      <w:r w:rsidRPr="007F2045">
        <w:rPr>
          <w:rFonts w:ascii="Times New Roman" w:hAnsi="Times New Roman"/>
          <w:sz w:val="28"/>
          <w:szCs w:val="28"/>
          <w:lang w:val="es-CO" w:eastAsia="es-MX"/>
        </w:rPr>
        <w:t xml:space="preserve"> el auto 272 de 2023. </w:t>
      </w:r>
    </w:p>
    <w:p w14:paraId="2C0C43BA" w14:textId="77777777" w:rsidR="000E1F51" w:rsidRPr="007F2045" w:rsidRDefault="000E1F51" w:rsidP="001B5728">
      <w:pPr>
        <w:pStyle w:val="Prrafodelista"/>
        <w:widowControl w:val="0"/>
        <w:tabs>
          <w:tab w:val="left" w:pos="567"/>
        </w:tabs>
        <w:spacing w:after="0" w:line="240" w:lineRule="auto"/>
        <w:ind w:left="0"/>
        <w:rPr>
          <w:rFonts w:ascii="Times New Roman" w:hAnsi="Times New Roman"/>
          <w:sz w:val="28"/>
          <w:szCs w:val="28"/>
          <w:lang w:val="es-CO"/>
        </w:rPr>
      </w:pPr>
    </w:p>
    <w:p w14:paraId="6D8F1414"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iCs/>
          <w:sz w:val="28"/>
          <w:szCs w:val="28"/>
          <w:lang w:val="es-CO"/>
        </w:rPr>
        <w:lastRenderedPageBreak/>
        <w:t>La suspensión de los efectos del Decreto 1390 de 2025</w:t>
      </w:r>
      <w:r w:rsidRPr="007F2045">
        <w:rPr>
          <w:rFonts w:ascii="Times New Roman" w:hAnsi="Times New Roman"/>
          <w:b/>
          <w:i/>
          <w:iCs/>
          <w:sz w:val="28"/>
          <w:szCs w:val="28"/>
          <w:lang w:val="es-CO"/>
        </w:rPr>
        <w:t xml:space="preserve"> </w:t>
      </w:r>
      <w:r w:rsidRPr="007F2045">
        <w:rPr>
          <w:rFonts w:ascii="Times New Roman" w:eastAsia="MS Mincho" w:hAnsi="Times New Roman"/>
          <w:sz w:val="28"/>
          <w:szCs w:val="28"/>
          <w:lang w:val="es-CO" w:eastAsia="es-MX"/>
        </w:rPr>
        <w:t xml:space="preserve">tiene por objeto controlar los efectos irremediables que produce en los ejes de la Constitución. En particular, el principio de separación de poderes –en su dimensión estática, como delimitación precisa de competencias, y en su dimensión dinámica, como sistema de frenos y contrapesos– se ve afectado cuando el Gobierno nacional desplaza </w:t>
      </w:r>
      <w:r w:rsidRPr="007F2045">
        <w:rPr>
          <w:rFonts w:ascii="Times New Roman" w:hAnsi="Times New Roman"/>
          <w:sz w:val="28"/>
          <w:szCs w:val="28"/>
          <w:lang w:val="es-CO"/>
        </w:rPr>
        <w:t>competencias</w:t>
      </w:r>
      <w:r w:rsidRPr="007F2045">
        <w:rPr>
          <w:rFonts w:ascii="Times New Roman" w:eastAsia="MS Mincho" w:hAnsi="Times New Roman"/>
          <w:sz w:val="28"/>
          <w:szCs w:val="28"/>
          <w:lang w:val="es-CO" w:eastAsia="es-MX"/>
        </w:rPr>
        <w:t xml:space="preserve"> propias del Congreso de la República, especialmente en materias sometidas a reserva de ley, como la tributaria y presupuestal. A su vez, el principio democrático –en sus dimensiones participativa, representativa y pluralista– resulta gravemente interferido cuando el régimen de excepción se emplea para superar un desacuerdo político ordinario, porque vacía de contenido la deliberación en el seno del legislativo y desconoce el postulado según el cual no puede haber imposición de cargas públicas sin representación. </w:t>
      </w:r>
    </w:p>
    <w:p w14:paraId="2502377B" w14:textId="77777777" w:rsidR="000E1F51" w:rsidRPr="007F2045" w:rsidRDefault="000E1F51" w:rsidP="001B5728">
      <w:pPr>
        <w:pStyle w:val="Prrafodelista"/>
        <w:spacing w:after="0" w:line="240" w:lineRule="auto"/>
        <w:rPr>
          <w:rFonts w:ascii="Times New Roman" w:hAnsi="Times New Roman"/>
          <w:sz w:val="28"/>
          <w:szCs w:val="28"/>
          <w:lang w:val="es-CO"/>
        </w:rPr>
      </w:pPr>
    </w:p>
    <w:p w14:paraId="61173908"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eastAsia="MS Mincho" w:hAnsi="Times New Roman"/>
          <w:sz w:val="28"/>
          <w:szCs w:val="28"/>
          <w:lang w:val="es-CO" w:eastAsia="es-MX"/>
        </w:rPr>
        <w:t xml:space="preserve">En este contexto, la finalidad de la medida de suspensión provisional busca, con el propósito de asegurar la supremacía constitucional, impedir que mientras se surten las etapas procesales del control abstracto de constitucionalidad del decreto declaratorio del estado de excepción, se consoliden definitivamente los efectos irremediables. Así, la medida cautelar opera </w:t>
      </w:r>
      <w:r w:rsidRPr="007F2045">
        <w:rPr>
          <w:rFonts w:ascii="Times New Roman" w:hAnsi="Times New Roman"/>
          <w:sz w:val="28"/>
          <w:szCs w:val="28"/>
          <w:lang w:val="es-CO"/>
        </w:rPr>
        <w:t>como</w:t>
      </w:r>
      <w:r w:rsidRPr="007F2045">
        <w:rPr>
          <w:rFonts w:ascii="Times New Roman" w:eastAsia="MS Mincho" w:hAnsi="Times New Roman"/>
          <w:sz w:val="28"/>
          <w:szCs w:val="28"/>
          <w:lang w:val="es-CO" w:eastAsia="es-MX"/>
        </w:rPr>
        <w:t xml:space="preserve"> un instrumento dirigido a evitar que el ejercicio de las facultades extraordinarias del Gobierno –propia de los estados de excepción– desborde sus límites materiales y termine por comprometer de manera grave e irremediable la arquitectura del Estado Social y Democrático de Derecho.</w:t>
      </w:r>
    </w:p>
    <w:p w14:paraId="52F3CF75" w14:textId="77777777" w:rsidR="000E1F51" w:rsidRPr="007F2045" w:rsidRDefault="000E1F51" w:rsidP="001B5728">
      <w:pPr>
        <w:pStyle w:val="Prrafodelista"/>
        <w:spacing w:after="0" w:line="240" w:lineRule="auto"/>
        <w:rPr>
          <w:rFonts w:ascii="Times New Roman" w:hAnsi="Times New Roman"/>
          <w:sz w:val="28"/>
          <w:szCs w:val="28"/>
          <w:lang w:val="es-CO"/>
        </w:rPr>
      </w:pPr>
    </w:p>
    <w:p w14:paraId="6E6A9664"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iCs/>
          <w:sz w:val="28"/>
          <w:szCs w:val="28"/>
          <w:lang w:val="es-CO"/>
        </w:rPr>
        <w:t xml:space="preserve">La suspensión provisional de los efectos del Decreto 1390 de 2025 además </w:t>
      </w:r>
      <w:r w:rsidRPr="007F2045">
        <w:rPr>
          <w:rFonts w:ascii="Times New Roman" w:eastAsia="MS Mincho" w:hAnsi="Times New Roman"/>
          <w:sz w:val="28"/>
          <w:szCs w:val="28"/>
          <w:lang w:val="es-CO" w:eastAsia="es-MX"/>
        </w:rPr>
        <w:t xml:space="preserve">contribuye eficazmente a alcanzar la finalidad constitucional referida, pues interrumpe de manera inmediata la producción de efectos derivados de una decisión que podría desplegar consecuencias de difícil o imposible reversión mientras se adopta el fallo definitivo. De una parte, evita que, sin la debida fundamentación fáctica y jurídica, el ejecutivo ejerza competencias propias del </w:t>
      </w:r>
      <w:r w:rsidR="002C42ED" w:rsidRPr="007F2045">
        <w:rPr>
          <w:rFonts w:ascii="Times New Roman" w:eastAsia="MS Mincho" w:hAnsi="Times New Roman"/>
          <w:sz w:val="28"/>
          <w:szCs w:val="28"/>
          <w:lang w:val="es-CO" w:eastAsia="es-MX"/>
        </w:rPr>
        <w:t>l</w:t>
      </w:r>
      <w:r w:rsidRPr="007F2045">
        <w:rPr>
          <w:rFonts w:ascii="Times New Roman" w:eastAsia="MS Mincho" w:hAnsi="Times New Roman"/>
          <w:sz w:val="28"/>
          <w:szCs w:val="28"/>
          <w:lang w:val="es-CO" w:eastAsia="es-MX"/>
        </w:rPr>
        <w:t xml:space="preserve">egislador en materias sometidas a reserva de ley –especialmente tributaria y presupuestal–, y, en consecuencia, salvaguarda el equilibrio entre las ramas del poder público frente a eventuales intervenciones fiscales adoptadas en desarrollo de la declaratoria. De otra parte, impide que se consoliden efectos estructurales potencialmente irreversibles, tales como el recaudo de tributos cuya devolución ulterior podría resultar materialmente inviable. </w:t>
      </w:r>
    </w:p>
    <w:p w14:paraId="0A1860D5" w14:textId="77777777" w:rsidR="000E1F51" w:rsidRPr="007F2045" w:rsidRDefault="000E1F51" w:rsidP="001B5728">
      <w:pPr>
        <w:pStyle w:val="Prrafodelista"/>
        <w:widowControl w:val="0"/>
        <w:tabs>
          <w:tab w:val="left" w:pos="567"/>
        </w:tabs>
        <w:spacing w:after="0" w:line="240" w:lineRule="auto"/>
        <w:ind w:left="0"/>
        <w:rPr>
          <w:rFonts w:ascii="Times New Roman" w:hAnsi="Times New Roman"/>
          <w:sz w:val="28"/>
          <w:szCs w:val="28"/>
          <w:lang w:val="es-CO"/>
        </w:rPr>
      </w:pPr>
    </w:p>
    <w:p w14:paraId="6447916F"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iCs/>
          <w:sz w:val="28"/>
          <w:szCs w:val="28"/>
          <w:lang w:val="es-CO"/>
        </w:rPr>
        <w:t xml:space="preserve">Para la Corte </w:t>
      </w:r>
      <w:r w:rsidRPr="007F2045">
        <w:rPr>
          <w:rFonts w:ascii="Times New Roman" w:eastAsia="MS Mincho" w:hAnsi="Times New Roman"/>
          <w:sz w:val="28"/>
          <w:szCs w:val="28"/>
          <w:lang w:val="es-CO" w:eastAsia="es-MX"/>
        </w:rPr>
        <w:t>no existe, en este caso, un medio diferente a la suspensión provisional que sea idóneo para preservar de manera inmediata la supremacía constitucional y el equilibrio institucional comprometido. Se podría pensar que existen opciones menos lesivas para la presunción de constitucionalidad del decreto declaratorio, tales como la excepción de inconstitucionalidad o la eventual modulación del fallo definitivo con efectos retroactivos. Sin embargo, por las razones de que trata la última parte del título anterior, además de las que se indican a continuación, se descarta la eficacia de dichos medios en lo que ahora examina la Corte.</w:t>
      </w:r>
    </w:p>
    <w:p w14:paraId="28A34929" w14:textId="77777777" w:rsidR="000E1F51" w:rsidRPr="007F2045" w:rsidRDefault="000E1F51" w:rsidP="001B5728">
      <w:pPr>
        <w:pStyle w:val="Prrafodelista"/>
        <w:spacing w:after="0" w:line="240" w:lineRule="auto"/>
        <w:rPr>
          <w:rFonts w:ascii="Times New Roman" w:hAnsi="Times New Roman"/>
          <w:sz w:val="28"/>
          <w:szCs w:val="28"/>
          <w:lang w:val="es-CO"/>
        </w:rPr>
      </w:pPr>
    </w:p>
    <w:p w14:paraId="1B3A6AB6"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eastAsia="MS Mincho" w:hAnsi="Times New Roman"/>
          <w:sz w:val="28"/>
          <w:szCs w:val="28"/>
          <w:lang w:val="es-CO" w:eastAsia="es-MX"/>
        </w:rPr>
        <w:t xml:space="preserve">En </w:t>
      </w:r>
      <w:r w:rsidRPr="007F2045">
        <w:rPr>
          <w:rFonts w:ascii="Times New Roman" w:eastAsia="MS Mincho" w:hAnsi="Times New Roman"/>
          <w:i/>
          <w:iCs/>
          <w:sz w:val="28"/>
          <w:szCs w:val="28"/>
          <w:lang w:val="es-CO" w:eastAsia="es-MX"/>
        </w:rPr>
        <w:t>primer lugar</w:t>
      </w:r>
      <w:r w:rsidRPr="007F2045">
        <w:rPr>
          <w:rFonts w:ascii="Times New Roman" w:eastAsia="MS Mincho" w:hAnsi="Times New Roman"/>
          <w:sz w:val="28"/>
          <w:szCs w:val="28"/>
          <w:lang w:val="es-CO" w:eastAsia="es-MX"/>
        </w:rPr>
        <w:t>, la excepción de inconstitucionalidad</w:t>
      </w:r>
      <w:r w:rsidRPr="007F2045">
        <w:rPr>
          <w:rFonts w:ascii="Times New Roman" w:hAnsi="Times New Roman"/>
          <w:sz w:val="28"/>
          <w:szCs w:val="28"/>
          <w:shd w:val="clear" w:color="auto" w:fill="FFFFFF"/>
          <w:lang w:val="es-CO"/>
        </w:rPr>
        <w:t xml:space="preserve"> es un instrumento a disposición, por regla general, de las autoridades, para enfrentar situaciones concretas</w:t>
      </w:r>
      <w:r w:rsidRPr="007F2045">
        <w:rPr>
          <w:rFonts w:ascii="Times New Roman" w:eastAsia="MS Mincho" w:hAnsi="Times New Roman"/>
          <w:sz w:val="28"/>
          <w:szCs w:val="28"/>
          <w:lang w:val="es-CO" w:eastAsia="es-MX"/>
        </w:rPr>
        <w:t xml:space="preserve"> y que </w:t>
      </w:r>
      <w:r w:rsidRPr="007F2045">
        <w:rPr>
          <w:rFonts w:ascii="Times New Roman" w:hAnsi="Times New Roman"/>
          <w:sz w:val="28"/>
          <w:szCs w:val="28"/>
          <w:shd w:val="clear" w:color="auto" w:fill="FFFFFF"/>
          <w:lang w:val="es-CO"/>
        </w:rPr>
        <w:t>no opera en el control abstracto de constitucionalidad, en tanto en este el propósito de la Corte no consiste propiamente en aplicar disposiciones legales sino en juzgar su validez a la luz de la Constitución.</w:t>
      </w:r>
      <w:r w:rsidRPr="007F2045">
        <w:rPr>
          <w:rFonts w:ascii="Times New Roman" w:eastAsia="MS Mincho" w:hAnsi="Times New Roman"/>
          <w:sz w:val="28"/>
          <w:szCs w:val="28"/>
          <w:lang w:val="es-CO" w:eastAsia="es-MX"/>
        </w:rPr>
        <w:t xml:space="preserve"> Por lo tanto, no podría suspender, con efectos </w:t>
      </w:r>
      <w:r w:rsidRPr="007F2045">
        <w:rPr>
          <w:rFonts w:ascii="Times New Roman" w:eastAsia="MS Mincho" w:hAnsi="Times New Roman"/>
          <w:i/>
          <w:iCs/>
          <w:sz w:val="28"/>
          <w:szCs w:val="28"/>
          <w:lang w:val="es-CO" w:eastAsia="es-MX"/>
        </w:rPr>
        <w:t>erga omnes</w:t>
      </w:r>
      <w:r w:rsidRPr="007F2045">
        <w:rPr>
          <w:rFonts w:ascii="Times New Roman" w:eastAsia="MS Mincho" w:hAnsi="Times New Roman"/>
          <w:sz w:val="28"/>
          <w:szCs w:val="28"/>
          <w:lang w:val="es-CO" w:eastAsia="es-MX"/>
        </w:rPr>
        <w:t xml:space="preserve">, la vigencia del decreto ni tampoco impedir que continúe ocasionando daños irremediables mientras distintos </w:t>
      </w:r>
      <w:r w:rsidRPr="007F2045">
        <w:rPr>
          <w:rFonts w:ascii="Times New Roman" w:eastAsia="MS Mincho" w:hAnsi="Times New Roman"/>
          <w:sz w:val="28"/>
          <w:szCs w:val="28"/>
          <w:lang w:val="es-CO" w:eastAsia="es-MX"/>
        </w:rPr>
        <w:lastRenderedPageBreak/>
        <w:t xml:space="preserve">operadores jurídicos deciden su inaplicación parcial. En cambio, y sin que ello implique un juicio anticipado sobre su validez material, la suspensión provisional del decreto declaratorio hace posible una intervención temprana, general y </w:t>
      </w:r>
      <w:r w:rsidRPr="007F2045">
        <w:rPr>
          <w:rFonts w:ascii="Times New Roman" w:eastAsia="MS Mincho" w:hAnsi="Times New Roman"/>
          <w:i/>
          <w:iCs/>
          <w:sz w:val="28"/>
          <w:szCs w:val="28"/>
          <w:lang w:val="es-CO" w:eastAsia="es-MX"/>
        </w:rPr>
        <w:t>erga omnes</w:t>
      </w:r>
      <w:r w:rsidRPr="007F2045">
        <w:rPr>
          <w:rFonts w:ascii="Times New Roman" w:eastAsia="MS Mincho" w:hAnsi="Times New Roman"/>
          <w:sz w:val="28"/>
          <w:szCs w:val="28"/>
          <w:lang w:val="es-CO" w:eastAsia="es-MX"/>
        </w:rPr>
        <w:t xml:space="preserve">, que evita la consolidación de efectos derivados de un acto que podría alterar de manera sustancial el reparto de competencias entre las ramas del poder público y restringir el espacio deliberativo propio del principio democrático. </w:t>
      </w:r>
    </w:p>
    <w:p w14:paraId="2B1C802A" w14:textId="77777777" w:rsidR="000E1F51" w:rsidRPr="007F2045" w:rsidRDefault="000E1F51" w:rsidP="001B5728">
      <w:pPr>
        <w:pStyle w:val="Prrafodelista"/>
        <w:spacing w:after="0" w:line="240" w:lineRule="auto"/>
        <w:rPr>
          <w:rFonts w:ascii="Times New Roman" w:hAnsi="Times New Roman"/>
          <w:sz w:val="28"/>
          <w:szCs w:val="28"/>
          <w:lang w:val="es-CO"/>
        </w:rPr>
      </w:pPr>
    </w:p>
    <w:p w14:paraId="7F6DA000"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eastAsia="MS Mincho" w:hAnsi="Times New Roman"/>
          <w:sz w:val="28"/>
          <w:szCs w:val="28"/>
          <w:lang w:val="es-CO" w:eastAsia="es-MX"/>
        </w:rPr>
        <w:t xml:space="preserve">En </w:t>
      </w:r>
      <w:r w:rsidRPr="007F2045">
        <w:rPr>
          <w:rFonts w:ascii="Times New Roman" w:eastAsia="MS Mincho" w:hAnsi="Times New Roman"/>
          <w:i/>
          <w:iCs/>
          <w:sz w:val="28"/>
          <w:szCs w:val="28"/>
          <w:lang w:val="es-CO" w:eastAsia="es-MX"/>
        </w:rPr>
        <w:t>segundo lugar</w:t>
      </w:r>
      <w:r w:rsidRPr="007F2045">
        <w:rPr>
          <w:rFonts w:ascii="Times New Roman" w:eastAsia="MS Mincho" w:hAnsi="Times New Roman"/>
          <w:sz w:val="28"/>
          <w:szCs w:val="28"/>
          <w:lang w:val="es-CO" w:eastAsia="es-MX"/>
        </w:rPr>
        <w:t xml:space="preserve">, la necesidad de la medida también se explica porque un eventual fallo con efectos retroactivos no garantiza la reversión plena de las consecuencias producidas durante la vigencia del decreto declaratorio en términos institucionales y tributarios. Particularmente, tratándose del decreto que ahora valora la Corte, su expedición tuvo como causa el desacuerdo frente al ejercicio válido de una competencia por parte del Congreso de la República. El decreto, en esa dirección, habilita al presidente de la República para ejercer competencias que se encuentran naturalmente atribuidas al Congreso de la República. Ese efecto inmediato en las competencias del Congreso, órgano que además no tiene la facultad de modificar o derogar el decreto declaratorio, exige, irremediablemente, la adopción de la medida bajo examen. Igualmente, tal y como se indicó en el título anterior, no puede la Corte dejar de considerar que algunas de las medidas tributarias, luego de </w:t>
      </w:r>
      <w:r w:rsidR="006A54B7" w:rsidRPr="007F2045">
        <w:rPr>
          <w:rFonts w:ascii="Times New Roman" w:eastAsia="MS Mincho" w:hAnsi="Times New Roman"/>
          <w:sz w:val="28"/>
          <w:szCs w:val="28"/>
          <w:lang w:val="es-CO" w:eastAsia="es-MX"/>
        </w:rPr>
        <w:t>la</w:t>
      </w:r>
      <w:r w:rsidRPr="007F2045">
        <w:rPr>
          <w:rFonts w:ascii="Times New Roman" w:eastAsia="MS Mincho" w:hAnsi="Times New Roman"/>
          <w:sz w:val="28"/>
          <w:szCs w:val="28"/>
          <w:lang w:val="es-CO" w:eastAsia="es-MX"/>
        </w:rPr>
        <w:t xml:space="preserve"> </w:t>
      </w:r>
      <w:proofErr w:type="spellStart"/>
      <w:r w:rsidRPr="007F2045">
        <w:rPr>
          <w:rFonts w:ascii="Times New Roman" w:eastAsia="MS Mincho" w:hAnsi="Times New Roman"/>
          <w:sz w:val="28"/>
          <w:szCs w:val="28"/>
          <w:lang w:val="es-CO" w:eastAsia="es-MX"/>
        </w:rPr>
        <w:t>causación</w:t>
      </w:r>
      <w:proofErr w:type="spellEnd"/>
      <w:r w:rsidRPr="007F2045">
        <w:rPr>
          <w:rFonts w:ascii="Times New Roman" w:eastAsia="MS Mincho" w:hAnsi="Times New Roman"/>
          <w:sz w:val="28"/>
          <w:szCs w:val="28"/>
          <w:lang w:val="es-CO" w:eastAsia="es-MX"/>
        </w:rPr>
        <w:t xml:space="preserve"> y pago, pueden tener efectos cuya restitución integral resulte material o jurídicamente inviable. La devolución efectiva de tributos, especialmente cuando se trata de gravámenes indirectos o de cargas que han sido trasladadas a terceros, puede enfrentar obstáculos insuperables. </w:t>
      </w:r>
      <w:r w:rsidRPr="007F2045">
        <w:rPr>
          <w:rFonts w:ascii="Times New Roman" w:hAnsi="Times New Roman"/>
          <w:sz w:val="28"/>
          <w:szCs w:val="28"/>
          <w:lang w:val="es-CO"/>
        </w:rPr>
        <w:t>Por ello la adopción de la suspensión provisional constituye, en este caso, la medida menos gravosa y más eficaz para impedir la afectación de bienes constitucionales valiosos y el deterioro institucional de carácter estructural.</w:t>
      </w:r>
    </w:p>
    <w:p w14:paraId="2BA00A8D" w14:textId="77777777" w:rsidR="000E1F51" w:rsidRPr="007F2045" w:rsidRDefault="000E1F51" w:rsidP="001B5728">
      <w:pPr>
        <w:pStyle w:val="Prrafodelista"/>
        <w:widowControl w:val="0"/>
        <w:tabs>
          <w:tab w:val="left" w:pos="567"/>
        </w:tabs>
        <w:spacing w:after="0" w:line="240" w:lineRule="auto"/>
        <w:ind w:left="0"/>
        <w:rPr>
          <w:rFonts w:ascii="Times New Roman" w:hAnsi="Times New Roman"/>
          <w:sz w:val="28"/>
          <w:szCs w:val="28"/>
          <w:lang w:val="es-CO"/>
        </w:rPr>
      </w:pPr>
    </w:p>
    <w:p w14:paraId="35C18217"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En el caso del decreto declaratorio, el examen de proporcionalidad en sentido estricto exige ponderar, de una parte, la afectación que la suspensión provisional produce sobre la presunción de validez que ampara al decreto declaratorio y, de otra, los beneficios constitucionales que se derivan de impedir que continúe desplegando efectos mientras se adopta la decisión definitiva. </w:t>
      </w:r>
    </w:p>
    <w:p w14:paraId="5BA86F0A" w14:textId="77777777" w:rsidR="000E1F51" w:rsidRPr="007F2045" w:rsidRDefault="000E1F51" w:rsidP="001B5728">
      <w:pPr>
        <w:pStyle w:val="Prrafodelista"/>
        <w:spacing w:after="0" w:line="240" w:lineRule="auto"/>
        <w:rPr>
          <w:rFonts w:ascii="Times New Roman" w:hAnsi="Times New Roman"/>
          <w:sz w:val="28"/>
          <w:szCs w:val="28"/>
          <w:lang w:val="es-CO"/>
        </w:rPr>
      </w:pPr>
    </w:p>
    <w:p w14:paraId="67B8C5CC"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La carga que impone la medida cautelar recae exclusivamente sobre el ejercicio temporal de facultades excepcionales del presidente de la República, sin anular de manera definitiva su competencia ni anticipar el juicio de fondo. En contraste, los beneficios se proyectan sobre ejes de la Constitución: la protección del principio democrático, de la separación de poderes y, en últimas, de la supremacía constitucional. La ponderación evidencia que resulta más gravoso permitir la vigencia de un acto que </w:t>
      </w:r>
      <w:r w:rsidRPr="007F2045">
        <w:rPr>
          <w:rFonts w:ascii="Times New Roman" w:hAnsi="Times New Roman"/>
          <w:i/>
          <w:iCs/>
          <w:sz w:val="28"/>
          <w:szCs w:val="28"/>
          <w:lang w:val="es-CO"/>
        </w:rPr>
        <w:t>prima facie</w:t>
      </w:r>
      <w:r w:rsidRPr="007F2045">
        <w:rPr>
          <w:rFonts w:ascii="Times New Roman" w:hAnsi="Times New Roman"/>
          <w:sz w:val="28"/>
          <w:szCs w:val="28"/>
          <w:lang w:val="es-CO"/>
        </w:rPr>
        <w:t xml:space="preserve"> desborda límites materiales de la Constitución que suspender temporalmente sus efectos mientras se ejerce el control judicial pleno.</w:t>
      </w:r>
    </w:p>
    <w:p w14:paraId="368903EB" w14:textId="77777777" w:rsidR="000E1F51" w:rsidRPr="007F2045" w:rsidRDefault="000E1F51" w:rsidP="001B5728">
      <w:pPr>
        <w:pStyle w:val="Prrafodelista"/>
        <w:spacing w:after="0" w:line="240" w:lineRule="auto"/>
        <w:rPr>
          <w:rFonts w:ascii="Times New Roman" w:hAnsi="Times New Roman"/>
          <w:sz w:val="28"/>
          <w:szCs w:val="28"/>
          <w:lang w:val="es-CO"/>
        </w:rPr>
      </w:pPr>
    </w:p>
    <w:p w14:paraId="41681BEC"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La medida cautelar evita que al amparo de la excepcionalidad se consolide una sustitución fáctica de la función legislativa en materias sometidas a reserva de ley, particularmente en el ámbito tributario y presupuestal. Cuando la declaratoria de emergencia se apoya en la negativa del Congreso de la República a aprobar una iniciativa gubernamental, la utilización del artículo 215 de la Constitución como mecanismo para superar un desacuerdo político ordinario, compromete directamente los artículos 113 y 150 constitucionales. Por ello, la Corte considera que permitir que el decreto declaratorio siga </w:t>
      </w:r>
      <w:r w:rsidRPr="007F2045">
        <w:rPr>
          <w:rFonts w:ascii="Times New Roman" w:hAnsi="Times New Roman"/>
          <w:sz w:val="28"/>
          <w:szCs w:val="28"/>
          <w:lang w:val="es-CO"/>
        </w:rPr>
        <w:lastRenderedPageBreak/>
        <w:t>produciendo efectos implicaría aceptar la desnaturalización del principio democrático y el desplazamiento del órgano representativo en el ejercicio de competencias que le son propias. En este contexto, la medida de suspensión provisional representa una restricción razonable y temporal frente a un riesgo institucional de alta intensidad.</w:t>
      </w:r>
    </w:p>
    <w:p w14:paraId="5204067F" w14:textId="77777777" w:rsidR="000E1F51" w:rsidRPr="007F2045" w:rsidRDefault="000E1F51" w:rsidP="001B5728">
      <w:pPr>
        <w:pStyle w:val="Prrafodelista"/>
        <w:spacing w:after="0" w:line="240" w:lineRule="auto"/>
        <w:rPr>
          <w:rFonts w:ascii="Times New Roman" w:hAnsi="Times New Roman"/>
          <w:sz w:val="28"/>
          <w:szCs w:val="28"/>
          <w:lang w:val="es-CO"/>
        </w:rPr>
      </w:pPr>
    </w:p>
    <w:p w14:paraId="7F7A2733"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Aunado a lo anterior, como se ha explicado con antelación, los beneficios de la medida se reflejan en la prevención de efectos potencialmente irreversibles que podrían vaciar de eficacia el fallo definitivo: la habilitación para expedir decretos de desarrollo con impacto tributario inmediato. La suspensión provisional del </w:t>
      </w:r>
      <w:r w:rsidRPr="007F2045">
        <w:rPr>
          <w:rFonts w:ascii="Times New Roman" w:eastAsia="MS Mincho" w:hAnsi="Times New Roman"/>
          <w:sz w:val="28"/>
          <w:szCs w:val="28"/>
          <w:lang w:val="es-CO" w:eastAsia="es-MX"/>
        </w:rPr>
        <w:t xml:space="preserve">Decreto 1390 de 2025 evita </w:t>
      </w:r>
      <w:r w:rsidRPr="007F2045">
        <w:rPr>
          <w:rFonts w:ascii="Times New Roman" w:hAnsi="Times New Roman"/>
          <w:sz w:val="28"/>
          <w:szCs w:val="28"/>
          <w:lang w:val="es-CO"/>
        </w:rPr>
        <w:t>que se sigan produciendo los efectos irremediables advertidos, en detrimento de los pilares de la Constitución y del Estado Social y Democrático de Derecho.</w:t>
      </w:r>
    </w:p>
    <w:p w14:paraId="0C3ED368" w14:textId="77777777" w:rsidR="000E1F51" w:rsidRPr="007F2045" w:rsidRDefault="000E1F51" w:rsidP="001B5728">
      <w:pPr>
        <w:pStyle w:val="Prrafodelista"/>
        <w:spacing w:after="0" w:line="240" w:lineRule="auto"/>
        <w:rPr>
          <w:rFonts w:ascii="Times New Roman" w:hAnsi="Times New Roman"/>
          <w:sz w:val="28"/>
          <w:szCs w:val="28"/>
          <w:lang w:val="es-CO"/>
        </w:rPr>
      </w:pPr>
    </w:p>
    <w:p w14:paraId="6140E444"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La Corte debe destacar dos elementos de importancia en la ponderación exigida. De una parte, sin desconocer que el decreto declaratorio se encuentra cobijado por la presunción de constitucionalidad, esta no opera con la misma intensidad con la que ello ocurre cuando la legislación ha sido adoptada por el Congreso de la República. </w:t>
      </w:r>
      <w:r w:rsidR="00712EDF" w:rsidRPr="007F2045">
        <w:rPr>
          <w:rFonts w:ascii="Times New Roman" w:hAnsi="Times New Roman"/>
          <w:sz w:val="28"/>
          <w:szCs w:val="28"/>
          <w:lang w:val="es-CO"/>
        </w:rPr>
        <w:t>Ello es así</w:t>
      </w:r>
      <w:r w:rsidRPr="007F2045">
        <w:rPr>
          <w:rFonts w:ascii="Times New Roman" w:hAnsi="Times New Roman"/>
          <w:sz w:val="28"/>
          <w:szCs w:val="28"/>
          <w:lang w:val="es-CO"/>
        </w:rPr>
        <w:t xml:space="preserve">, si se tiene en cuenta </w:t>
      </w:r>
      <w:r w:rsidRPr="007F2045">
        <w:rPr>
          <w:rFonts w:ascii="Times New Roman" w:hAnsi="Times New Roman"/>
          <w:i/>
          <w:sz w:val="28"/>
          <w:szCs w:val="28"/>
          <w:lang w:val="es-CO"/>
        </w:rPr>
        <w:t>(i)</w:t>
      </w:r>
      <w:r w:rsidRPr="007F2045">
        <w:rPr>
          <w:rFonts w:ascii="Times New Roman" w:hAnsi="Times New Roman"/>
          <w:sz w:val="28"/>
          <w:szCs w:val="28"/>
          <w:lang w:val="es-CO"/>
        </w:rPr>
        <w:t xml:space="preserve"> que no existe evidencia precisa </w:t>
      </w:r>
      <w:r w:rsidR="006C1C63" w:rsidRPr="007F2045">
        <w:rPr>
          <w:rFonts w:ascii="Times New Roman" w:hAnsi="Times New Roman"/>
          <w:sz w:val="28"/>
          <w:szCs w:val="28"/>
          <w:lang w:val="es-CO"/>
        </w:rPr>
        <w:t>sobre</w:t>
      </w:r>
      <w:r w:rsidRPr="007F2045">
        <w:rPr>
          <w:rFonts w:ascii="Times New Roman" w:hAnsi="Times New Roman"/>
          <w:sz w:val="28"/>
          <w:szCs w:val="28"/>
          <w:lang w:val="es-CO"/>
        </w:rPr>
        <w:t xml:space="preserve"> la </w:t>
      </w:r>
      <w:proofErr w:type="spellStart"/>
      <w:r w:rsidRPr="007F2045">
        <w:rPr>
          <w:rFonts w:ascii="Times New Roman" w:hAnsi="Times New Roman"/>
          <w:sz w:val="28"/>
          <w:szCs w:val="28"/>
          <w:lang w:val="es-CO"/>
        </w:rPr>
        <w:t>sobreviniencia</w:t>
      </w:r>
      <w:proofErr w:type="spellEnd"/>
      <w:r w:rsidRPr="007F2045">
        <w:rPr>
          <w:rFonts w:ascii="Times New Roman" w:hAnsi="Times New Roman"/>
          <w:sz w:val="28"/>
          <w:szCs w:val="28"/>
          <w:lang w:val="es-CO"/>
        </w:rPr>
        <w:t xml:space="preserve"> de los hechos invocados en el decreto y </w:t>
      </w:r>
      <w:r w:rsidRPr="007F2045">
        <w:rPr>
          <w:rFonts w:ascii="Times New Roman" w:hAnsi="Times New Roman"/>
          <w:i/>
          <w:sz w:val="28"/>
          <w:szCs w:val="28"/>
          <w:lang w:val="es-CO"/>
        </w:rPr>
        <w:t>(</w:t>
      </w:r>
      <w:proofErr w:type="spellStart"/>
      <w:r w:rsidRPr="007F2045">
        <w:rPr>
          <w:rFonts w:ascii="Times New Roman" w:hAnsi="Times New Roman"/>
          <w:i/>
          <w:sz w:val="28"/>
          <w:szCs w:val="28"/>
          <w:lang w:val="es-CO"/>
        </w:rPr>
        <w:t>ii</w:t>
      </w:r>
      <w:proofErr w:type="spellEnd"/>
      <w:r w:rsidRPr="007F2045">
        <w:rPr>
          <w:rFonts w:ascii="Times New Roman" w:hAnsi="Times New Roman"/>
          <w:i/>
          <w:sz w:val="28"/>
          <w:szCs w:val="28"/>
          <w:lang w:val="es-CO"/>
        </w:rPr>
        <w:t>)</w:t>
      </w:r>
      <w:r w:rsidRPr="007F2045">
        <w:rPr>
          <w:rFonts w:ascii="Times New Roman" w:hAnsi="Times New Roman"/>
          <w:sz w:val="28"/>
          <w:szCs w:val="28"/>
          <w:lang w:val="es-CO"/>
        </w:rPr>
        <w:t xml:space="preserve"> que e</w:t>
      </w:r>
      <w:r w:rsidR="00F16759" w:rsidRPr="007F2045">
        <w:rPr>
          <w:rFonts w:ascii="Times New Roman" w:hAnsi="Times New Roman"/>
          <w:sz w:val="28"/>
          <w:szCs w:val="28"/>
          <w:lang w:val="es-CO"/>
        </w:rPr>
        <w:t>n</w:t>
      </w:r>
      <w:r w:rsidRPr="007F2045">
        <w:rPr>
          <w:rFonts w:ascii="Times New Roman" w:hAnsi="Times New Roman"/>
          <w:sz w:val="28"/>
          <w:szCs w:val="28"/>
          <w:lang w:val="es-CO"/>
        </w:rPr>
        <w:t xml:space="preserve"> una norma adoptada por el presidente de la República, </w:t>
      </w:r>
      <w:r w:rsidR="00EA3B0C" w:rsidRPr="007F2045">
        <w:rPr>
          <w:rFonts w:ascii="Times New Roman" w:hAnsi="Times New Roman"/>
          <w:sz w:val="28"/>
          <w:szCs w:val="28"/>
          <w:lang w:val="es-CO"/>
        </w:rPr>
        <w:t>el valor representativo y epistémico de la deliberación que resulta de la discusión que tiene lugar en las cámaras del Congreso, no está presente</w:t>
      </w:r>
      <w:r w:rsidRPr="007F2045">
        <w:rPr>
          <w:rFonts w:ascii="Times New Roman" w:hAnsi="Times New Roman"/>
          <w:sz w:val="28"/>
          <w:szCs w:val="28"/>
          <w:lang w:val="es-CO"/>
        </w:rPr>
        <w:t xml:space="preserve">. </w:t>
      </w:r>
    </w:p>
    <w:p w14:paraId="1181FA58" w14:textId="77777777" w:rsidR="000E1F51" w:rsidRPr="007F2045" w:rsidRDefault="000E1F51" w:rsidP="001B5728">
      <w:pPr>
        <w:pStyle w:val="Prrafodelista"/>
        <w:spacing w:after="0" w:line="240" w:lineRule="auto"/>
        <w:rPr>
          <w:rFonts w:ascii="Times New Roman" w:hAnsi="Times New Roman"/>
          <w:sz w:val="28"/>
          <w:szCs w:val="28"/>
          <w:lang w:val="es-CO"/>
        </w:rPr>
      </w:pPr>
    </w:p>
    <w:p w14:paraId="426DBC30" w14:textId="77777777" w:rsidR="000E1F51" w:rsidRPr="007F2045" w:rsidRDefault="000E1F5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A su vez, de otra parte, la Corte no puede dejar de considerar que mientras </w:t>
      </w:r>
      <w:r w:rsidR="00C331EC" w:rsidRPr="007F2045">
        <w:rPr>
          <w:rFonts w:ascii="Times New Roman" w:hAnsi="Times New Roman"/>
          <w:sz w:val="28"/>
          <w:szCs w:val="28"/>
          <w:lang w:val="es-CO"/>
        </w:rPr>
        <w:t xml:space="preserve">existen serias dudas </w:t>
      </w:r>
      <w:r w:rsidR="00EA3B0C" w:rsidRPr="007F2045">
        <w:rPr>
          <w:rFonts w:ascii="Times New Roman" w:hAnsi="Times New Roman"/>
          <w:sz w:val="28"/>
          <w:szCs w:val="28"/>
          <w:lang w:val="es-CO"/>
        </w:rPr>
        <w:t xml:space="preserve">sobre el carácter sobreviniente de </w:t>
      </w:r>
      <w:r w:rsidRPr="007F2045">
        <w:rPr>
          <w:rFonts w:ascii="Times New Roman" w:hAnsi="Times New Roman"/>
          <w:sz w:val="28"/>
          <w:szCs w:val="28"/>
          <w:lang w:val="es-CO"/>
        </w:rPr>
        <w:t xml:space="preserve">los supuestos fácticos en los que se asienta la declaratoria del estado de emergencia, existe un alto grado de certidumbre sobre la afectación irremediable de los ejes de la Constitución. Esta constatación, indudablemente relevante en este análisis, evidencia que el grado de importancia de los fines perseguidos por la suspensión resulta superior al nivel de restricción de los principios que pueden invocarse en contra de su adopción.  </w:t>
      </w:r>
    </w:p>
    <w:p w14:paraId="06D95C73" w14:textId="77777777" w:rsidR="000E1F51" w:rsidRPr="007F2045" w:rsidRDefault="000E1F51" w:rsidP="001B5728">
      <w:pPr>
        <w:pStyle w:val="Prrafodelista"/>
        <w:spacing w:after="0" w:line="240" w:lineRule="auto"/>
        <w:rPr>
          <w:rFonts w:ascii="Times New Roman" w:hAnsi="Times New Roman"/>
          <w:sz w:val="28"/>
          <w:szCs w:val="28"/>
          <w:lang w:val="es-CO"/>
        </w:rPr>
      </w:pPr>
    </w:p>
    <w:p w14:paraId="5BBC678A" w14:textId="77777777" w:rsidR="00120940" w:rsidRPr="007F2045" w:rsidRDefault="000E1F51" w:rsidP="001B5728">
      <w:pPr>
        <w:pStyle w:val="Prrafodelista"/>
        <w:numPr>
          <w:ilvl w:val="0"/>
          <w:numId w:val="2"/>
        </w:numPr>
        <w:tabs>
          <w:tab w:val="left" w:pos="284"/>
          <w:tab w:val="left" w:pos="426"/>
        </w:tabs>
        <w:spacing w:after="0" w:line="240" w:lineRule="auto"/>
        <w:ind w:left="0" w:firstLine="0"/>
        <w:rPr>
          <w:lang w:val="es-CO"/>
        </w:rPr>
      </w:pPr>
      <w:r w:rsidRPr="007F2045">
        <w:rPr>
          <w:rFonts w:ascii="Times New Roman" w:hAnsi="Times New Roman"/>
          <w:sz w:val="28"/>
          <w:szCs w:val="28"/>
          <w:lang w:val="es-CO"/>
        </w:rPr>
        <w:t xml:space="preserve">Sobre la base de las razones expuestas, la Corte concluye que los beneficios derivados de la suspensión provisional –preservar el equilibrio entre las ramas del poder público, garantizar la deliberación democrática, impedir la imposición de cargas públicas sin representación– superan ampliamente la limitación temporal que se impone al ejercicio de facultades extraordinarias del presidente de la República, cuando estas se ejercen al amparo de un decreto declaratorio de un estado de excepción que, </w:t>
      </w:r>
      <w:r w:rsidRPr="007F2045">
        <w:rPr>
          <w:rFonts w:ascii="Times New Roman" w:hAnsi="Times New Roman"/>
          <w:i/>
          <w:sz w:val="28"/>
          <w:szCs w:val="28"/>
          <w:lang w:val="es-CO"/>
        </w:rPr>
        <w:t>prima facie,</w:t>
      </w:r>
      <w:r w:rsidRPr="007F2045">
        <w:rPr>
          <w:rFonts w:ascii="Times New Roman" w:hAnsi="Times New Roman"/>
          <w:sz w:val="28"/>
          <w:szCs w:val="28"/>
          <w:lang w:val="es-CO"/>
        </w:rPr>
        <w:t xml:space="preserve"> se sustenta en fundamentos desprovistos de apoyo fáctico y jurídico suficientes. Por ello, en consecuencia, la medida de suspensión provisional del </w:t>
      </w:r>
      <w:r w:rsidRPr="007F2045">
        <w:rPr>
          <w:rFonts w:ascii="Times New Roman" w:eastAsia="MS Mincho" w:hAnsi="Times New Roman"/>
          <w:sz w:val="28"/>
          <w:szCs w:val="28"/>
          <w:lang w:val="es-CO" w:eastAsia="es-MX"/>
        </w:rPr>
        <w:t xml:space="preserve">Decreto 1390 de 2025 </w:t>
      </w:r>
      <w:r w:rsidRPr="007F2045">
        <w:rPr>
          <w:rFonts w:ascii="Times New Roman" w:hAnsi="Times New Roman"/>
          <w:sz w:val="28"/>
          <w:szCs w:val="28"/>
          <w:lang w:val="es-CO"/>
        </w:rPr>
        <w:t>resulta proporcionada en sentido estricto.</w:t>
      </w:r>
    </w:p>
    <w:bookmarkEnd w:id="0"/>
    <w:p w14:paraId="65DD0913" w14:textId="77777777" w:rsidR="00E76856" w:rsidRPr="007F2045" w:rsidRDefault="00E76856" w:rsidP="001B5728">
      <w:pPr>
        <w:spacing w:after="0" w:line="240" w:lineRule="auto"/>
        <w:rPr>
          <w:rFonts w:ascii="Times New Roman" w:hAnsi="Times New Roman"/>
          <w:sz w:val="28"/>
          <w:szCs w:val="28"/>
          <w:lang w:val="es-CO"/>
        </w:rPr>
      </w:pPr>
    </w:p>
    <w:p w14:paraId="6BB205FA" w14:textId="77777777" w:rsidR="005F6D8B" w:rsidRPr="007F2045" w:rsidRDefault="00A1582B" w:rsidP="001B5728">
      <w:pPr>
        <w:pStyle w:val="Ttulo2"/>
        <w:numPr>
          <w:ilvl w:val="0"/>
          <w:numId w:val="0"/>
        </w:numPr>
        <w:ind w:left="1134" w:hanging="425"/>
        <w:rPr>
          <w:lang w:val="es-CO"/>
        </w:rPr>
      </w:pPr>
      <w:r w:rsidRPr="007F2045">
        <w:rPr>
          <w:lang w:val="es-CO"/>
        </w:rPr>
        <w:t xml:space="preserve">6. </w:t>
      </w:r>
      <w:r w:rsidRPr="007F2045">
        <w:rPr>
          <w:lang w:val="es-CO"/>
        </w:rPr>
        <w:tab/>
      </w:r>
      <w:r w:rsidR="00EA55AE" w:rsidRPr="007F2045">
        <w:rPr>
          <w:lang w:val="es-CO"/>
        </w:rPr>
        <w:t>Ajuste</w:t>
      </w:r>
      <w:r w:rsidR="005F6D8B" w:rsidRPr="007F2045">
        <w:rPr>
          <w:lang w:val="es-CO"/>
        </w:rPr>
        <w:t xml:space="preserve"> de los criterios de procedencia</w:t>
      </w:r>
      <w:r w:rsidR="004E36AB" w:rsidRPr="007F2045">
        <w:rPr>
          <w:lang w:val="es-CO"/>
        </w:rPr>
        <w:t xml:space="preserve"> </w:t>
      </w:r>
      <w:r w:rsidR="005F6D8B" w:rsidRPr="007F2045">
        <w:rPr>
          <w:lang w:val="es-CO"/>
        </w:rPr>
        <w:t>de la suspensión provisional. Jurisprudencia anunciada</w:t>
      </w:r>
    </w:p>
    <w:p w14:paraId="279C2D20" w14:textId="77777777" w:rsidR="005F6D8B" w:rsidRPr="007F2045" w:rsidRDefault="005F6D8B" w:rsidP="001B5728">
      <w:pPr>
        <w:pStyle w:val="Prrafodelista"/>
        <w:spacing w:after="0" w:line="240" w:lineRule="auto"/>
        <w:ind w:left="0"/>
        <w:rPr>
          <w:rFonts w:ascii="Times New Roman" w:hAnsi="Times New Roman"/>
          <w:sz w:val="28"/>
          <w:szCs w:val="28"/>
          <w:lang w:val="es-CO"/>
        </w:rPr>
      </w:pPr>
    </w:p>
    <w:p w14:paraId="2D7BEE48" w14:textId="77777777" w:rsidR="00376031" w:rsidRPr="007F2045" w:rsidRDefault="00C342A7"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Ahora bien,</w:t>
      </w:r>
      <w:r w:rsidR="005F6D8B" w:rsidRPr="007F2045">
        <w:rPr>
          <w:rFonts w:ascii="Times New Roman" w:hAnsi="Times New Roman"/>
          <w:sz w:val="28"/>
          <w:szCs w:val="28"/>
          <w:lang w:val="es-CO"/>
        </w:rPr>
        <w:t xml:space="preserve"> sin renunciar a su deber de resolver el caso concreto con fundamento en los criterios actualmente disponibles en su propia jurisprudencia –en particular, en el </w:t>
      </w:r>
      <w:r w:rsidR="002A0AC0" w:rsidRPr="007F2045">
        <w:rPr>
          <w:rFonts w:ascii="Times New Roman" w:hAnsi="Times New Roman"/>
          <w:sz w:val="28"/>
          <w:szCs w:val="28"/>
          <w:lang w:val="es-CO"/>
        </w:rPr>
        <w:t>auto</w:t>
      </w:r>
      <w:r w:rsidR="005F6D8B" w:rsidRPr="007F2045">
        <w:rPr>
          <w:rFonts w:ascii="Times New Roman" w:hAnsi="Times New Roman"/>
          <w:sz w:val="28"/>
          <w:szCs w:val="28"/>
          <w:lang w:val="es-CO"/>
        </w:rPr>
        <w:t xml:space="preserve"> 272 de 2023–, la Corte estima necesario precisar las características de </w:t>
      </w:r>
      <w:r w:rsidR="008373DF" w:rsidRPr="007F2045">
        <w:rPr>
          <w:rFonts w:ascii="Times New Roman" w:hAnsi="Times New Roman"/>
          <w:sz w:val="28"/>
          <w:szCs w:val="28"/>
          <w:lang w:val="es-CO"/>
        </w:rPr>
        <w:t>la suspensión provisional</w:t>
      </w:r>
      <w:r w:rsidR="005F6D8B" w:rsidRPr="007F2045">
        <w:rPr>
          <w:rFonts w:ascii="Times New Roman" w:hAnsi="Times New Roman"/>
          <w:sz w:val="28"/>
          <w:szCs w:val="28"/>
          <w:lang w:val="es-CO"/>
        </w:rPr>
        <w:t xml:space="preserve"> y</w:t>
      </w:r>
      <w:r w:rsidR="0007428F" w:rsidRPr="007F2045">
        <w:rPr>
          <w:rFonts w:ascii="Times New Roman" w:hAnsi="Times New Roman"/>
          <w:sz w:val="28"/>
          <w:szCs w:val="28"/>
          <w:lang w:val="es-CO"/>
        </w:rPr>
        <w:t xml:space="preserve"> afinar</w:t>
      </w:r>
      <w:r w:rsidR="005F6D8B" w:rsidRPr="007F2045">
        <w:rPr>
          <w:rFonts w:ascii="Times New Roman" w:hAnsi="Times New Roman"/>
          <w:sz w:val="28"/>
          <w:szCs w:val="28"/>
          <w:lang w:val="es-CO"/>
        </w:rPr>
        <w:t xml:space="preserve"> los requisitos estrictos que deberán observarse en lo sucesivo para su procedencia. Con ese propósito, esta </w:t>
      </w:r>
      <w:r w:rsidR="005F6D8B" w:rsidRPr="007F2045">
        <w:rPr>
          <w:rFonts w:ascii="Times New Roman" w:hAnsi="Times New Roman"/>
          <w:sz w:val="28"/>
          <w:szCs w:val="28"/>
          <w:lang w:val="es-CO"/>
        </w:rPr>
        <w:lastRenderedPageBreak/>
        <w:t xml:space="preserve">Corporación </w:t>
      </w:r>
      <w:r w:rsidR="009C3871" w:rsidRPr="007F2045">
        <w:rPr>
          <w:rFonts w:ascii="Times New Roman" w:hAnsi="Times New Roman"/>
          <w:sz w:val="28"/>
          <w:szCs w:val="28"/>
          <w:lang w:val="es-CO"/>
        </w:rPr>
        <w:t xml:space="preserve">usará </w:t>
      </w:r>
      <w:r w:rsidR="005F6D8B" w:rsidRPr="007F2045">
        <w:rPr>
          <w:rFonts w:ascii="Times New Roman" w:hAnsi="Times New Roman"/>
          <w:sz w:val="28"/>
          <w:szCs w:val="28"/>
          <w:lang w:val="es-CO"/>
        </w:rPr>
        <w:t>la técnica de la jurisprudencia anunciada, que previamente ha emplead</w:t>
      </w:r>
      <w:r w:rsidR="00EA3B0C" w:rsidRPr="007F2045">
        <w:rPr>
          <w:rFonts w:ascii="Times New Roman" w:hAnsi="Times New Roman"/>
          <w:sz w:val="28"/>
          <w:szCs w:val="28"/>
          <w:lang w:val="es-CO"/>
        </w:rPr>
        <w:t>o</w:t>
      </w:r>
      <w:r w:rsidR="005F6D8B" w:rsidRPr="007F2045">
        <w:rPr>
          <w:rFonts w:ascii="Times New Roman" w:hAnsi="Times New Roman"/>
          <w:sz w:val="28"/>
          <w:szCs w:val="28"/>
          <w:lang w:val="es-CO"/>
        </w:rPr>
        <w:t xml:space="preserve"> en otros casos</w:t>
      </w:r>
      <w:r w:rsidR="005F6D8B" w:rsidRPr="007F2045">
        <w:rPr>
          <w:rFonts w:ascii="Times New Roman" w:hAnsi="Times New Roman"/>
          <w:szCs w:val="28"/>
          <w:vertAlign w:val="superscript"/>
          <w:lang w:val="es-CO"/>
        </w:rPr>
        <w:footnoteReference w:id="96"/>
      </w:r>
      <w:r w:rsidR="005F6D8B" w:rsidRPr="007F2045">
        <w:rPr>
          <w:rFonts w:ascii="Times New Roman" w:hAnsi="Times New Roman"/>
          <w:sz w:val="28"/>
          <w:szCs w:val="28"/>
          <w:lang w:val="es-CO"/>
        </w:rPr>
        <w:t xml:space="preserve">. </w:t>
      </w:r>
    </w:p>
    <w:p w14:paraId="067108D7" w14:textId="77777777" w:rsidR="009C3871" w:rsidRPr="007F2045" w:rsidRDefault="009C3871" w:rsidP="001B5728">
      <w:pPr>
        <w:pStyle w:val="Prrafodelista"/>
        <w:spacing w:after="0" w:line="240" w:lineRule="auto"/>
        <w:rPr>
          <w:rFonts w:ascii="Times New Roman" w:hAnsi="Times New Roman"/>
          <w:sz w:val="28"/>
          <w:szCs w:val="28"/>
          <w:lang w:val="es-CO"/>
        </w:rPr>
      </w:pPr>
    </w:p>
    <w:p w14:paraId="396CDAED" w14:textId="77777777" w:rsidR="008643CB" w:rsidRPr="007F2045" w:rsidRDefault="009C387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No se trata, sin embargo, de un viraje radical de orientación jurisprudencial, pues la suspensión provisional continúa siendo una medida cautelar y de carácter excepcional, reservada para hipótesis delimitadas, y cuya adopción solo procede a solicitud de una magistrada o un magistrado de la Corte Constitucional, previa realización de un</w:t>
      </w:r>
      <w:r w:rsidR="00986FEB" w:rsidRPr="007F2045">
        <w:rPr>
          <w:rFonts w:ascii="Times New Roman" w:hAnsi="Times New Roman"/>
          <w:sz w:val="28"/>
          <w:szCs w:val="28"/>
          <w:lang w:val="es-CO"/>
        </w:rPr>
        <w:t xml:space="preserve"> escrutinio especialmente exigente</w:t>
      </w:r>
      <w:r w:rsidRPr="007F2045">
        <w:rPr>
          <w:rFonts w:ascii="Times New Roman" w:hAnsi="Times New Roman"/>
          <w:sz w:val="28"/>
          <w:szCs w:val="28"/>
          <w:lang w:val="es-CO"/>
        </w:rPr>
        <w:t xml:space="preserve">. Lo que ahora se hace </w:t>
      </w:r>
      <w:r w:rsidR="00BC4B45" w:rsidRPr="007F2045">
        <w:rPr>
          <w:rFonts w:ascii="Times New Roman" w:hAnsi="Times New Roman"/>
          <w:sz w:val="28"/>
          <w:szCs w:val="28"/>
          <w:lang w:val="es-CO"/>
        </w:rPr>
        <w:t>por medio</w:t>
      </w:r>
      <w:r w:rsidRPr="007F2045">
        <w:rPr>
          <w:rFonts w:ascii="Times New Roman" w:hAnsi="Times New Roman"/>
          <w:sz w:val="28"/>
          <w:szCs w:val="28"/>
          <w:lang w:val="es-CO"/>
        </w:rPr>
        <w:t xml:space="preserve"> de la jurisprudencia anunciada es </w:t>
      </w:r>
      <w:r w:rsidR="00156C41" w:rsidRPr="007F2045">
        <w:rPr>
          <w:rFonts w:ascii="Times New Roman" w:hAnsi="Times New Roman"/>
          <w:sz w:val="28"/>
          <w:szCs w:val="28"/>
          <w:lang w:val="es-CO"/>
        </w:rPr>
        <w:t xml:space="preserve">continuar con el desarrollo de </w:t>
      </w:r>
      <w:r w:rsidR="004D43C8" w:rsidRPr="007F2045">
        <w:rPr>
          <w:rFonts w:ascii="Times New Roman" w:hAnsi="Times New Roman"/>
          <w:sz w:val="28"/>
          <w:szCs w:val="28"/>
          <w:lang w:val="es-CO"/>
        </w:rPr>
        <w:t xml:space="preserve">lo establecido </w:t>
      </w:r>
      <w:r w:rsidRPr="007F2045">
        <w:rPr>
          <w:rFonts w:ascii="Times New Roman" w:hAnsi="Times New Roman"/>
          <w:sz w:val="28"/>
          <w:szCs w:val="28"/>
          <w:lang w:val="es-CO"/>
        </w:rPr>
        <w:t>en el auto 272 de 2023, pues</w:t>
      </w:r>
      <w:r w:rsidR="00E72B89" w:rsidRPr="007F2045">
        <w:rPr>
          <w:rFonts w:ascii="Times New Roman" w:hAnsi="Times New Roman"/>
          <w:sz w:val="28"/>
          <w:szCs w:val="28"/>
          <w:lang w:val="es-CO"/>
        </w:rPr>
        <w:t xml:space="preserve"> esa providencia </w:t>
      </w:r>
      <w:r w:rsidR="00447856" w:rsidRPr="007F2045">
        <w:rPr>
          <w:rFonts w:ascii="Times New Roman" w:hAnsi="Times New Roman"/>
          <w:sz w:val="28"/>
          <w:szCs w:val="28"/>
          <w:lang w:val="es-CO"/>
        </w:rPr>
        <w:t xml:space="preserve">no </w:t>
      </w:r>
      <w:r w:rsidR="0094568D" w:rsidRPr="007F2045">
        <w:rPr>
          <w:rFonts w:ascii="Times New Roman" w:hAnsi="Times New Roman"/>
          <w:sz w:val="28"/>
          <w:szCs w:val="28"/>
          <w:lang w:val="es-CO"/>
        </w:rPr>
        <w:t xml:space="preserve">decantó </w:t>
      </w:r>
      <w:r w:rsidR="00403391" w:rsidRPr="007F2045">
        <w:rPr>
          <w:rFonts w:ascii="Times New Roman" w:hAnsi="Times New Roman"/>
          <w:sz w:val="28"/>
          <w:szCs w:val="28"/>
          <w:lang w:val="es-CO"/>
        </w:rPr>
        <w:t xml:space="preserve">por completo </w:t>
      </w:r>
      <w:r w:rsidR="0094568D" w:rsidRPr="007F2045">
        <w:rPr>
          <w:rFonts w:ascii="Times New Roman" w:hAnsi="Times New Roman"/>
          <w:sz w:val="28"/>
          <w:szCs w:val="28"/>
          <w:lang w:val="es-CO"/>
        </w:rPr>
        <w:t>la doctrina sobre la</w:t>
      </w:r>
      <w:r w:rsidR="00403391" w:rsidRPr="007F2045">
        <w:rPr>
          <w:rFonts w:ascii="Times New Roman" w:hAnsi="Times New Roman"/>
          <w:sz w:val="28"/>
          <w:szCs w:val="28"/>
          <w:lang w:val="es-CO"/>
        </w:rPr>
        <w:t xml:space="preserve"> </w:t>
      </w:r>
      <w:r w:rsidR="00C26E00" w:rsidRPr="007F2045">
        <w:rPr>
          <w:rFonts w:ascii="Times New Roman" w:hAnsi="Times New Roman"/>
          <w:sz w:val="28"/>
          <w:szCs w:val="28"/>
          <w:lang w:val="es-CO"/>
        </w:rPr>
        <w:t>suspensión provisional de normas sujetas a control de constitucionalidad</w:t>
      </w:r>
      <w:r w:rsidR="004D43C8" w:rsidRPr="007F2045">
        <w:rPr>
          <w:rFonts w:ascii="Times New Roman" w:hAnsi="Times New Roman"/>
          <w:sz w:val="28"/>
          <w:szCs w:val="28"/>
          <w:lang w:val="es-CO"/>
        </w:rPr>
        <w:t xml:space="preserve"> ni los presupuestos para </w:t>
      </w:r>
      <w:r w:rsidR="002E302A" w:rsidRPr="007F2045">
        <w:rPr>
          <w:rFonts w:ascii="Times New Roman" w:hAnsi="Times New Roman"/>
          <w:sz w:val="28"/>
          <w:szCs w:val="28"/>
          <w:lang w:val="es-CO"/>
        </w:rPr>
        <w:t>su</w:t>
      </w:r>
      <w:r w:rsidR="004D43C8" w:rsidRPr="007F2045">
        <w:rPr>
          <w:rFonts w:ascii="Times New Roman" w:hAnsi="Times New Roman"/>
          <w:sz w:val="28"/>
          <w:szCs w:val="28"/>
          <w:lang w:val="es-CO"/>
        </w:rPr>
        <w:t xml:space="preserve"> procedencia</w:t>
      </w:r>
      <w:r w:rsidR="00403391" w:rsidRPr="007F2045">
        <w:rPr>
          <w:rFonts w:ascii="Times New Roman" w:hAnsi="Times New Roman"/>
          <w:sz w:val="28"/>
          <w:szCs w:val="28"/>
          <w:lang w:val="es-CO"/>
        </w:rPr>
        <w:t xml:space="preserve">. </w:t>
      </w:r>
    </w:p>
    <w:p w14:paraId="20178021" w14:textId="77777777" w:rsidR="008643CB" w:rsidRPr="007F2045" w:rsidRDefault="008643CB" w:rsidP="001B5728">
      <w:pPr>
        <w:pStyle w:val="Prrafodelista"/>
        <w:spacing w:after="0" w:line="240" w:lineRule="auto"/>
        <w:rPr>
          <w:rFonts w:ascii="Times New Roman" w:hAnsi="Times New Roman"/>
          <w:sz w:val="28"/>
          <w:szCs w:val="28"/>
          <w:lang w:val="es-CO"/>
        </w:rPr>
      </w:pPr>
    </w:p>
    <w:p w14:paraId="409B3726" w14:textId="77777777" w:rsidR="00113EBB" w:rsidRPr="007F2045" w:rsidRDefault="005973D2"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Por el contrario, como ya se explicó, e</w:t>
      </w:r>
      <w:r w:rsidR="004E36AB" w:rsidRPr="007F2045">
        <w:rPr>
          <w:rFonts w:ascii="Times New Roman" w:hAnsi="Times New Roman"/>
          <w:sz w:val="28"/>
          <w:szCs w:val="28"/>
          <w:lang w:val="es-CO"/>
        </w:rPr>
        <w:t xml:space="preserve">se </w:t>
      </w:r>
      <w:r w:rsidRPr="007F2045">
        <w:rPr>
          <w:rFonts w:ascii="Times New Roman" w:hAnsi="Times New Roman"/>
          <w:sz w:val="28"/>
          <w:szCs w:val="28"/>
          <w:lang w:val="es-CO"/>
        </w:rPr>
        <w:t xml:space="preserve">auto marcó el inicio de una </w:t>
      </w:r>
      <w:r w:rsidR="00231314" w:rsidRPr="007F2045">
        <w:rPr>
          <w:rFonts w:ascii="Times New Roman" w:hAnsi="Times New Roman"/>
          <w:sz w:val="28"/>
          <w:szCs w:val="28"/>
          <w:lang w:val="es-CO"/>
        </w:rPr>
        <w:t xml:space="preserve">nueva orientación </w:t>
      </w:r>
      <w:r w:rsidRPr="007F2045">
        <w:rPr>
          <w:rFonts w:ascii="Times New Roman" w:hAnsi="Times New Roman"/>
          <w:sz w:val="28"/>
          <w:szCs w:val="28"/>
          <w:lang w:val="es-CO"/>
        </w:rPr>
        <w:t xml:space="preserve">jurisprudencial, pues </w:t>
      </w:r>
      <w:r w:rsidR="008E11BF" w:rsidRPr="007F2045">
        <w:rPr>
          <w:rFonts w:ascii="Times New Roman" w:hAnsi="Times New Roman"/>
          <w:sz w:val="28"/>
          <w:szCs w:val="28"/>
          <w:lang w:val="es-CO"/>
        </w:rPr>
        <w:t xml:space="preserve">allí </w:t>
      </w:r>
      <w:r w:rsidR="002B75C9" w:rsidRPr="007F2045">
        <w:rPr>
          <w:rFonts w:ascii="Times New Roman" w:hAnsi="Times New Roman"/>
          <w:sz w:val="28"/>
          <w:szCs w:val="28"/>
          <w:lang w:val="es-CO"/>
        </w:rPr>
        <w:t>la</w:t>
      </w:r>
      <w:r w:rsidR="008E11BF" w:rsidRPr="007F2045">
        <w:rPr>
          <w:rFonts w:ascii="Times New Roman" w:hAnsi="Times New Roman"/>
          <w:sz w:val="28"/>
          <w:szCs w:val="28"/>
          <w:lang w:val="es-CO"/>
        </w:rPr>
        <w:t xml:space="preserve"> Corte </w:t>
      </w:r>
      <w:r w:rsidRPr="007F2045">
        <w:rPr>
          <w:rFonts w:ascii="Times New Roman" w:hAnsi="Times New Roman"/>
          <w:sz w:val="28"/>
          <w:szCs w:val="28"/>
          <w:lang w:val="es-CO"/>
        </w:rPr>
        <w:t>admitió</w:t>
      </w:r>
      <w:r w:rsidR="00BC4B45" w:rsidRPr="007F2045">
        <w:rPr>
          <w:rFonts w:ascii="Times New Roman" w:hAnsi="Times New Roman"/>
          <w:sz w:val="28"/>
          <w:szCs w:val="28"/>
          <w:lang w:val="es-CO"/>
        </w:rPr>
        <w:t>,</w:t>
      </w:r>
      <w:r w:rsidRPr="007F2045">
        <w:rPr>
          <w:rFonts w:ascii="Times New Roman" w:hAnsi="Times New Roman"/>
          <w:sz w:val="28"/>
          <w:szCs w:val="28"/>
          <w:lang w:val="es-CO"/>
        </w:rPr>
        <w:t xml:space="preserve"> por primera vez</w:t>
      </w:r>
      <w:r w:rsidR="00BC4B45" w:rsidRPr="007F2045">
        <w:rPr>
          <w:rFonts w:ascii="Times New Roman" w:hAnsi="Times New Roman"/>
          <w:sz w:val="28"/>
          <w:szCs w:val="28"/>
          <w:lang w:val="es-CO"/>
        </w:rPr>
        <w:t>,</w:t>
      </w:r>
      <w:r w:rsidRPr="007F2045">
        <w:rPr>
          <w:rFonts w:ascii="Times New Roman" w:hAnsi="Times New Roman"/>
          <w:sz w:val="28"/>
          <w:szCs w:val="28"/>
          <w:lang w:val="es-CO"/>
        </w:rPr>
        <w:t xml:space="preserve"> que puede suspender provisionalmente</w:t>
      </w:r>
      <w:r w:rsidR="0086370F" w:rsidRPr="007F2045">
        <w:rPr>
          <w:rFonts w:ascii="Times New Roman" w:hAnsi="Times New Roman"/>
          <w:sz w:val="28"/>
          <w:szCs w:val="28"/>
          <w:lang w:val="es-CO"/>
        </w:rPr>
        <w:t>, de forma excepcional y restringida,</w:t>
      </w:r>
      <w:r w:rsidRPr="007F2045">
        <w:rPr>
          <w:rFonts w:ascii="Times New Roman" w:hAnsi="Times New Roman"/>
          <w:sz w:val="28"/>
          <w:szCs w:val="28"/>
          <w:lang w:val="es-CO"/>
        </w:rPr>
        <w:t xml:space="preserve"> </w:t>
      </w:r>
      <w:r w:rsidR="00A679A0" w:rsidRPr="007F2045">
        <w:rPr>
          <w:rFonts w:ascii="Times New Roman" w:hAnsi="Times New Roman"/>
          <w:sz w:val="28"/>
          <w:szCs w:val="28"/>
          <w:lang w:val="es-CO"/>
        </w:rPr>
        <w:t>leyes</w:t>
      </w:r>
      <w:r w:rsidR="005F0448" w:rsidRPr="007F2045">
        <w:rPr>
          <w:rFonts w:ascii="Times New Roman" w:hAnsi="Times New Roman"/>
          <w:sz w:val="28"/>
          <w:szCs w:val="28"/>
          <w:lang w:val="es-CO"/>
        </w:rPr>
        <w:t xml:space="preserve"> </w:t>
      </w:r>
      <w:r w:rsidRPr="007F2045">
        <w:rPr>
          <w:rFonts w:ascii="Times New Roman" w:hAnsi="Times New Roman"/>
          <w:sz w:val="28"/>
          <w:szCs w:val="28"/>
          <w:lang w:val="es-CO"/>
        </w:rPr>
        <w:t xml:space="preserve">sometidas </w:t>
      </w:r>
      <w:r w:rsidR="0086370F" w:rsidRPr="007F2045">
        <w:rPr>
          <w:rFonts w:ascii="Times New Roman" w:hAnsi="Times New Roman"/>
          <w:sz w:val="28"/>
          <w:szCs w:val="28"/>
          <w:lang w:val="es-CO"/>
        </w:rPr>
        <w:t xml:space="preserve">a </w:t>
      </w:r>
      <w:r w:rsidRPr="007F2045">
        <w:rPr>
          <w:rFonts w:ascii="Times New Roman" w:hAnsi="Times New Roman"/>
          <w:sz w:val="28"/>
          <w:szCs w:val="28"/>
          <w:lang w:val="es-CO"/>
        </w:rPr>
        <w:t>su control</w:t>
      </w:r>
      <w:r w:rsidR="008E11BF" w:rsidRPr="007F2045">
        <w:rPr>
          <w:rFonts w:ascii="Times New Roman" w:hAnsi="Times New Roman"/>
          <w:sz w:val="28"/>
          <w:szCs w:val="28"/>
          <w:lang w:val="es-CO"/>
        </w:rPr>
        <w:t xml:space="preserve">. </w:t>
      </w:r>
      <w:r w:rsidR="00121999" w:rsidRPr="007F2045">
        <w:rPr>
          <w:rFonts w:ascii="Times New Roman" w:hAnsi="Times New Roman"/>
          <w:sz w:val="28"/>
          <w:szCs w:val="28"/>
          <w:lang w:val="es-CO"/>
        </w:rPr>
        <w:t xml:space="preserve">En </w:t>
      </w:r>
      <w:r w:rsidR="00EB14A0" w:rsidRPr="007F2045">
        <w:rPr>
          <w:rFonts w:ascii="Times New Roman" w:hAnsi="Times New Roman"/>
          <w:sz w:val="28"/>
          <w:szCs w:val="28"/>
          <w:lang w:val="es-CO"/>
        </w:rPr>
        <w:t>esa etapa,</w:t>
      </w:r>
      <w:r w:rsidR="00121999" w:rsidRPr="007F2045">
        <w:rPr>
          <w:rFonts w:ascii="Times New Roman" w:hAnsi="Times New Roman"/>
          <w:sz w:val="28"/>
          <w:szCs w:val="28"/>
          <w:lang w:val="es-CO"/>
        </w:rPr>
        <w:t xml:space="preserve"> en </w:t>
      </w:r>
      <w:r w:rsidR="00EB14A0" w:rsidRPr="007F2045">
        <w:rPr>
          <w:rFonts w:ascii="Times New Roman" w:hAnsi="Times New Roman"/>
          <w:sz w:val="28"/>
          <w:szCs w:val="28"/>
          <w:lang w:val="es-CO"/>
        </w:rPr>
        <w:t>la</w:t>
      </w:r>
      <w:r w:rsidR="00121999" w:rsidRPr="007F2045">
        <w:rPr>
          <w:rFonts w:ascii="Times New Roman" w:hAnsi="Times New Roman"/>
          <w:sz w:val="28"/>
          <w:szCs w:val="28"/>
          <w:lang w:val="es-CO"/>
        </w:rPr>
        <w:t xml:space="preserve"> que </w:t>
      </w:r>
      <w:r w:rsidR="007C0D70" w:rsidRPr="007F2045">
        <w:rPr>
          <w:rFonts w:ascii="Times New Roman" w:hAnsi="Times New Roman"/>
          <w:sz w:val="28"/>
          <w:szCs w:val="28"/>
          <w:lang w:val="es-CO"/>
        </w:rPr>
        <w:t>aún no existía</w:t>
      </w:r>
      <w:r w:rsidR="000571D3" w:rsidRPr="007F2045">
        <w:rPr>
          <w:rFonts w:ascii="Times New Roman" w:hAnsi="Times New Roman"/>
          <w:sz w:val="28"/>
          <w:szCs w:val="28"/>
          <w:lang w:val="es-CO"/>
        </w:rPr>
        <w:t xml:space="preserve">n decisiones previas que permitieran </w:t>
      </w:r>
      <w:r w:rsidR="008E11BF" w:rsidRPr="007F2045">
        <w:rPr>
          <w:rFonts w:ascii="Times New Roman" w:hAnsi="Times New Roman"/>
          <w:sz w:val="28"/>
          <w:szCs w:val="28"/>
          <w:lang w:val="es-CO"/>
        </w:rPr>
        <w:t>delimitar definitivamente</w:t>
      </w:r>
      <w:r w:rsidR="00073CAE" w:rsidRPr="007F2045">
        <w:rPr>
          <w:rFonts w:ascii="Times New Roman" w:hAnsi="Times New Roman"/>
          <w:sz w:val="28"/>
          <w:szCs w:val="28"/>
          <w:lang w:val="es-CO"/>
        </w:rPr>
        <w:t xml:space="preserve"> el alcance de </w:t>
      </w:r>
      <w:r w:rsidR="00713778" w:rsidRPr="007F2045">
        <w:rPr>
          <w:rFonts w:ascii="Times New Roman" w:hAnsi="Times New Roman"/>
          <w:sz w:val="28"/>
          <w:szCs w:val="28"/>
          <w:lang w:val="es-CO"/>
        </w:rPr>
        <w:t>esa nueva</w:t>
      </w:r>
      <w:r w:rsidR="00073CAE" w:rsidRPr="007F2045">
        <w:rPr>
          <w:rFonts w:ascii="Times New Roman" w:hAnsi="Times New Roman"/>
          <w:sz w:val="28"/>
          <w:szCs w:val="28"/>
          <w:lang w:val="es-CO"/>
        </w:rPr>
        <w:t xml:space="preserve"> facultad</w:t>
      </w:r>
      <w:r w:rsidR="00121999" w:rsidRPr="007F2045">
        <w:rPr>
          <w:rFonts w:ascii="Times New Roman" w:hAnsi="Times New Roman"/>
          <w:sz w:val="28"/>
          <w:szCs w:val="28"/>
          <w:lang w:val="es-CO"/>
        </w:rPr>
        <w:t xml:space="preserve">, </w:t>
      </w:r>
      <w:r w:rsidR="002B75C9" w:rsidRPr="007F2045">
        <w:rPr>
          <w:rFonts w:ascii="Times New Roman" w:hAnsi="Times New Roman"/>
          <w:sz w:val="28"/>
          <w:szCs w:val="28"/>
          <w:lang w:val="es-CO"/>
        </w:rPr>
        <w:t xml:space="preserve">esta Corporación </w:t>
      </w:r>
      <w:r w:rsidR="00121999" w:rsidRPr="007F2045">
        <w:rPr>
          <w:rFonts w:ascii="Times New Roman" w:hAnsi="Times New Roman"/>
          <w:sz w:val="28"/>
          <w:szCs w:val="28"/>
          <w:lang w:val="es-CO"/>
        </w:rPr>
        <w:t>desarrolló</w:t>
      </w:r>
      <w:r w:rsidR="002B38F4" w:rsidRPr="007F2045">
        <w:rPr>
          <w:rFonts w:ascii="Times New Roman" w:hAnsi="Times New Roman"/>
          <w:sz w:val="28"/>
          <w:szCs w:val="28"/>
          <w:lang w:val="es-CO"/>
        </w:rPr>
        <w:t xml:space="preserve"> </w:t>
      </w:r>
      <w:r w:rsidR="00BC4B45" w:rsidRPr="007F2045">
        <w:rPr>
          <w:rFonts w:ascii="Times New Roman" w:hAnsi="Times New Roman"/>
          <w:sz w:val="28"/>
          <w:szCs w:val="28"/>
          <w:lang w:val="es-CO"/>
        </w:rPr>
        <w:t xml:space="preserve">ciertas exigencias </w:t>
      </w:r>
      <w:r w:rsidR="002B38F4" w:rsidRPr="007F2045">
        <w:rPr>
          <w:rFonts w:ascii="Times New Roman" w:hAnsi="Times New Roman"/>
          <w:sz w:val="28"/>
          <w:szCs w:val="28"/>
          <w:lang w:val="es-CO"/>
        </w:rPr>
        <w:t>para su procedencia</w:t>
      </w:r>
      <w:r w:rsidR="00226346" w:rsidRPr="007F2045">
        <w:rPr>
          <w:rFonts w:ascii="Times New Roman" w:hAnsi="Times New Roman"/>
          <w:sz w:val="28"/>
          <w:szCs w:val="28"/>
          <w:lang w:val="es-CO"/>
        </w:rPr>
        <w:t xml:space="preserve"> </w:t>
      </w:r>
      <w:r w:rsidR="00FE365D" w:rsidRPr="007F2045">
        <w:rPr>
          <w:rFonts w:ascii="Times New Roman" w:hAnsi="Times New Roman"/>
          <w:sz w:val="28"/>
          <w:szCs w:val="28"/>
          <w:lang w:val="es-CO"/>
        </w:rPr>
        <w:t xml:space="preserve">y, en el caso concreto, </w:t>
      </w:r>
      <w:r w:rsidR="009A4762" w:rsidRPr="007F2045">
        <w:rPr>
          <w:rFonts w:ascii="Times New Roman" w:hAnsi="Times New Roman"/>
          <w:sz w:val="28"/>
          <w:szCs w:val="28"/>
          <w:lang w:val="es-CO"/>
        </w:rPr>
        <w:t xml:space="preserve">no suspendió la </w:t>
      </w:r>
      <w:r w:rsidR="003249F5" w:rsidRPr="007F2045">
        <w:rPr>
          <w:rFonts w:ascii="Times New Roman" w:hAnsi="Times New Roman"/>
          <w:sz w:val="28"/>
          <w:szCs w:val="28"/>
          <w:lang w:val="es-CO"/>
        </w:rPr>
        <w:t>ley</w:t>
      </w:r>
      <w:r w:rsidR="009A4762" w:rsidRPr="007F2045">
        <w:rPr>
          <w:rFonts w:ascii="Times New Roman" w:hAnsi="Times New Roman"/>
          <w:sz w:val="28"/>
          <w:szCs w:val="28"/>
          <w:lang w:val="es-CO"/>
        </w:rPr>
        <w:t xml:space="preserve"> analizada, tras encontrar que el accionante no había demostrado </w:t>
      </w:r>
      <w:r w:rsidR="001E763A" w:rsidRPr="007F2045">
        <w:rPr>
          <w:rFonts w:ascii="Times New Roman" w:hAnsi="Times New Roman"/>
          <w:sz w:val="28"/>
          <w:szCs w:val="28"/>
          <w:lang w:val="es-CO"/>
        </w:rPr>
        <w:t xml:space="preserve">la superación de </w:t>
      </w:r>
      <w:r w:rsidR="00260C16" w:rsidRPr="007F2045">
        <w:rPr>
          <w:rFonts w:ascii="Times New Roman" w:hAnsi="Times New Roman"/>
          <w:sz w:val="28"/>
          <w:szCs w:val="28"/>
          <w:lang w:val="es-CO"/>
        </w:rPr>
        <w:t>un</w:t>
      </w:r>
      <w:r w:rsidR="00BC4B45" w:rsidRPr="007F2045">
        <w:rPr>
          <w:rFonts w:ascii="Times New Roman" w:hAnsi="Times New Roman"/>
          <w:sz w:val="28"/>
          <w:szCs w:val="28"/>
          <w:lang w:val="es-CO"/>
        </w:rPr>
        <w:t>a</w:t>
      </w:r>
      <w:r w:rsidR="00260C16" w:rsidRPr="007F2045">
        <w:rPr>
          <w:rFonts w:ascii="Times New Roman" w:hAnsi="Times New Roman"/>
          <w:sz w:val="28"/>
          <w:szCs w:val="28"/>
          <w:lang w:val="es-CO"/>
        </w:rPr>
        <w:t xml:space="preserve"> de ell</w:t>
      </w:r>
      <w:r w:rsidR="00BC4B45" w:rsidRPr="007F2045">
        <w:rPr>
          <w:rFonts w:ascii="Times New Roman" w:hAnsi="Times New Roman"/>
          <w:sz w:val="28"/>
          <w:szCs w:val="28"/>
          <w:lang w:val="es-CO"/>
        </w:rPr>
        <w:t>a</w:t>
      </w:r>
      <w:r w:rsidR="00260C16" w:rsidRPr="007F2045">
        <w:rPr>
          <w:rFonts w:ascii="Times New Roman" w:hAnsi="Times New Roman"/>
          <w:sz w:val="28"/>
          <w:szCs w:val="28"/>
          <w:lang w:val="es-CO"/>
        </w:rPr>
        <w:t>s</w:t>
      </w:r>
      <w:r w:rsidR="00EA1BC6" w:rsidRPr="007F2045">
        <w:rPr>
          <w:rFonts w:ascii="Times New Roman" w:hAnsi="Times New Roman"/>
          <w:sz w:val="28"/>
          <w:szCs w:val="28"/>
          <w:lang w:val="es-CO"/>
        </w:rPr>
        <w:t>,</w:t>
      </w:r>
      <w:r w:rsidR="003C052D" w:rsidRPr="007F2045">
        <w:rPr>
          <w:rFonts w:ascii="Times New Roman" w:hAnsi="Times New Roman"/>
          <w:sz w:val="28"/>
          <w:szCs w:val="28"/>
          <w:lang w:val="es-CO"/>
        </w:rPr>
        <w:t xml:space="preserve"> consistente en</w:t>
      </w:r>
      <w:r w:rsidR="001E763A" w:rsidRPr="007F2045">
        <w:rPr>
          <w:rFonts w:ascii="Times New Roman" w:hAnsi="Times New Roman"/>
          <w:sz w:val="28"/>
          <w:szCs w:val="28"/>
          <w:lang w:val="es-CO"/>
        </w:rPr>
        <w:t xml:space="preserve"> </w:t>
      </w:r>
      <w:r w:rsidR="009A4762" w:rsidRPr="007F2045">
        <w:rPr>
          <w:rFonts w:ascii="Times New Roman" w:hAnsi="Times New Roman"/>
          <w:sz w:val="28"/>
          <w:szCs w:val="28"/>
          <w:lang w:val="es-CO"/>
        </w:rPr>
        <w:t xml:space="preserve">que la aplicación de </w:t>
      </w:r>
      <w:r w:rsidR="003249F5" w:rsidRPr="007F2045">
        <w:rPr>
          <w:rFonts w:ascii="Times New Roman" w:hAnsi="Times New Roman"/>
          <w:sz w:val="28"/>
          <w:szCs w:val="28"/>
          <w:lang w:val="es-CO"/>
        </w:rPr>
        <w:t>esa</w:t>
      </w:r>
      <w:r w:rsidR="009A4762" w:rsidRPr="007F2045">
        <w:rPr>
          <w:rFonts w:ascii="Times New Roman" w:hAnsi="Times New Roman"/>
          <w:sz w:val="28"/>
          <w:szCs w:val="28"/>
          <w:lang w:val="es-CO"/>
        </w:rPr>
        <w:t xml:space="preserve"> norma pudiera causar efectos irreversibles</w:t>
      </w:r>
      <w:r w:rsidR="00260C16" w:rsidRPr="007F2045">
        <w:rPr>
          <w:rFonts w:ascii="Times New Roman" w:hAnsi="Times New Roman"/>
          <w:sz w:val="28"/>
          <w:szCs w:val="28"/>
          <w:lang w:val="es-CO"/>
        </w:rPr>
        <w:t xml:space="preserve">. </w:t>
      </w:r>
    </w:p>
    <w:p w14:paraId="1D9F7962" w14:textId="77777777" w:rsidR="000571D3" w:rsidRPr="007F2045" w:rsidRDefault="000571D3" w:rsidP="001B5728">
      <w:pPr>
        <w:pStyle w:val="Prrafodelista"/>
        <w:tabs>
          <w:tab w:val="left" w:pos="426"/>
          <w:tab w:val="left" w:pos="567"/>
        </w:tabs>
        <w:spacing w:after="0" w:line="240" w:lineRule="auto"/>
        <w:ind w:left="0"/>
        <w:rPr>
          <w:rFonts w:ascii="Times New Roman" w:hAnsi="Times New Roman"/>
          <w:sz w:val="28"/>
          <w:szCs w:val="28"/>
          <w:lang w:val="es-CO"/>
        </w:rPr>
      </w:pPr>
    </w:p>
    <w:p w14:paraId="0A007082" w14:textId="77777777" w:rsidR="00B26C6D" w:rsidRPr="007F2045" w:rsidRDefault="00FC51D8"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En</w:t>
      </w:r>
      <w:r w:rsidR="0095485A" w:rsidRPr="007F2045">
        <w:rPr>
          <w:rFonts w:ascii="Times New Roman" w:hAnsi="Times New Roman"/>
          <w:sz w:val="28"/>
          <w:szCs w:val="28"/>
          <w:lang w:val="es-CO"/>
        </w:rPr>
        <w:t xml:space="preserve"> ese contexto, </w:t>
      </w:r>
      <w:r w:rsidR="00B1058F" w:rsidRPr="007F2045">
        <w:rPr>
          <w:rFonts w:ascii="Times New Roman" w:hAnsi="Times New Roman"/>
          <w:sz w:val="28"/>
          <w:szCs w:val="28"/>
          <w:lang w:val="es-CO"/>
        </w:rPr>
        <w:t xml:space="preserve">el auto 272 de 2023 </w:t>
      </w:r>
      <w:r w:rsidR="00722766" w:rsidRPr="007F2045">
        <w:rPr>
          <w:rFonts w:ascii="Times New Roman" w:hAnsi="Times New Roman"/>
          <w:sz w:val="28"/>
          <w:szCs w:val="28"/>
          <w:lang w:val="es-CO"/>
        </w:rPr>
        <w:t>–que, de hecho, fue</w:t>
      </w:r>
      <w:r w:rsidR="00231314" w:rsidRPr="007F2045">
        <w:rPr>
          <w:rFonts w:ascii="Times New Roman" w:hAnsi="Times New Roman"/>
          <w:sz w:val="28"/>
          <w:szCs w:val="28"/>
          <w:lang w:val="es-CO"/>
        </w:rPr>
        <w:t xml:space="preserve"> adoptado</w:t>
      </w:r>
      <w:r w:rsidR="00722766" w:rsidRPr="007F2045">
        <w:rPr>
          <w:rFonts w:ascii="Times New Roman" w:hAnsi="Times New Roman"/>
          <w:sz w:val="28"/>
          <w:szCs w:val="28"/>
          <w:lang w:val="es-CO"/>
        </w:rPr>
        <w:t xml:space="preserve"> en el marco de un proceso que terminó finalmente con una inhibición por ineptitud sustantiva de la demanda</w:t>
      </w:r>
      <w:r w:rsidR="00722766" w:rsidRPr="007F2045">
        <w:rPr>
          <w:rFonts w:ascii="Times New Roman" w:hAnsi="Times New Roman"/>
          <w:szCs w:val="28"/>
          <w:vertAlign w:val="superscript"/>
          <w:lang w:val="es-CO"/>
        </w:rPr>
        <w:footnoteReference w:id="97"/>
      </w:r>
      <w:r w:rsidR="00722766" w:rsidRPr="007F2045">
        <w:rPr>
          <w:rFonts w:ascii="Times New Roman" w:hAnsi="Times New Roman"/>
          <w:sz w:val="28"/>
          <w:szCs w:val="28"/>
          <w:lang w:val="es-CO"/>
        </w:rPr>
        <w:t>–, debe ser interpretado como</w:t>
      </w:r>
      <w:r w:rsidR="005416DA" w:rsidRPr="007F2045">
        <w:rPr>
          <w:rFonts w:ascii="Times New Roman" w:hAnsi="Times New Roman"/>
          <w:sz w:val="28"/>
          <w:szCs w:val="28"/>
          <w:lang w:val="es-CO"/>
        </w:rPr>
        <w:t xml:space="preserve"> un</w:t>
      </w:r>
      <w:r w:rsidR="00722766" w:rsidRPr="007F2045">
        <w:rPr>
          <w:rFonts w:ascii="Times New Roman" w:hAnsi="Times New Roman"/>
          <w:sz w:val="28"/>
          <w:szCs w:val="28"/>
          <w:lang w:val="es-CO"/>
        </w:rPr>
        <w:t xml:space="preserve"> </w:t>
      </w:r>
      <w:r w:rsidR="005973D2" w:rsidRPr="007F2045">
        <w:rPr>
          <w:rFonts w:ascii="Times New Roman" w:hAnsi="Times New Roman"/>
          <w:sz w:val="28"/>
          <w:szCs w:val="28"/>
          <w:lang w:val="es-CO"/>
        </w:rPr>
        <w:t>punto de partida</w:t>
      </w:r>
      <w:r w:rsidR="00BA2E65" w:rsidRPr="007F2045">
        <w:rPr>
          <w:rFonts w:ascii="Times New Roman" w:hAnsi="Times New Roman"/>
          <w:sz w:val="28"/>
          <w:szCs w:val="28"/>
          <w:lang w:val="es-CO"/>
        </w:rPr>
        <w:t xml:space="preserve"> </w:t>
      </w:r>
      <w:r w:rsidR="00231314" w:rsidRPr="007F2045">
        <w:rPr>
          <w:rFonts w:ascii="Times New Roman" w:hAnsi="Times New Roman"/>
          <w:sz w:val="28"/>
          <w:szCs w:val="28"/>
          <w:lang w:val="es-CO"/>
        </w:rPr>
        <w:t>que</w:t>
      </w:r>
      <w:r w:rsidR="00BC4B45" w:rsidRPr="007F2045">
        <w:rPr>
          <w:rFonts w:ascii="Times New Roman" w:hAnsi="Times New Roman"/>
          <w:sz w:val="28"/>
          <w:szCs w:val="28"/>
          <w:lang w:val="es-CO"/>
        </w:rPr>
        <w:t>, sin duda por la naturaleza propia de la jurisprudencia,</w:t>
      </w:r>
      <w:r w:rsidR="00231314" w:rsidRPr="007F2045">
        <w:rPr>
          <w:rFonts w:ascii="Times New Roman" w:hAnsi="Times New Roman"/>
          <w:sz w:val="28"/>
          <w:szCs w:val="28"/>
          <w:lang w:val="es-CO"/>
        </w:rPr>
        <w:t xml:space="preserve"> requiere de precisiones sucesivas</w:t>
      </w:r>
      <w:r w:rsidR="00DE4241" w:rsidRPr="007F2045">
        <w:rPr>
          <w:rFonts w:ascii="Times New Roman" w:hAnsi="Times New Roman"/>
          <w:sz w:val="28"/>
          <w:szCs w:val="28"/>
          <w:lang w:val="es-CO"/>
        </w:rPr>
        <w:t xml:space="preserve">, en consideración </w:t>
      </w:r>
      <w:r w:rsidR="00E97158" w:rsidRPr="007F2045">
        <w:rPr>
          <w:rFonts w:ascii="Times New Roman" w:hAnsi="Times New Roman"/>
          <w:sz w:val="28"/>
          <w:szCs w:val="28"/>
          <w:lang w:val="es-CO"/>
        </w:rPr>
        <w:t>a</w:t>
      </w:r>
      <w:r w:rsidR="00DE4241" w:rsidRPr="007F2045">
        <w:rPr>
          <w:rFonts w:ascii="Times New Roman" w:hAnsi="Times New Roman"/>
          <w:sz w:val="28"/>
          <w:szCs w:val="28"/>
          <w:lang w:val="es-CO"/>
        </w:rPr>
        <w:t xml:space="preserve"> las circunstancias particulares de cada norma sometida a control de constitucionalidad</w:t>
      </w:r>
      <w:r w:rsidR="007B24D0" w:rsidRPr="007F2045">
        <w:rPr>
          <w:rFonts w:ascii="Times New Roman" w:hAnsi="Times New Roman"/>
          <w:sz w:val="28"/>
          <w:szCs w:val="28"/>
          <w:lang w:val="es-CO"/>
        </w:rPr>
        <w:t>.</w:t>
      </w:r>
      <w:r w:rsidR="00722766" w:rsidRPr="007F2045">
        <w:rPr>
          <w:rFonts w:ascii="Times New Roman" w:hAnsi="Times New Roman"/>
          <w:sz w:val="28"/>
          <w:szCs w:val="28"/>
          <w:lang w:val="es-CO"/>
        </w:rPr>
        <w:t xml:space="preserve"> Así,</w:t>
      </w:r>
      <w:r w:rsidR="007B24D0" w:rsidRPr="007F2045">
        <w:rPr>
          <w:rFonts w:ascii="Times New Roman" w:hAnsi="Times New Roman"/>
          <w:sz w:val="28"/>
          <w:szCs w:val="28"/>
          <w:lang w:val="es-CO"/>
        </w:rPr>
        <w:t xml:space="preserve"> </w:t>
      </w:r>
      <w:r w:rsidR="00722766" w:rsidRPr="007F2045">
        <w:rPr>
          <w:rFonts w:ascii="Times New Roman" w:hAnsi="Times New Roman"/>
          <w:sz w:val="28"/>
          <w:szCs w:val="28"/>
          <w:lang w:val="es-CO"/>
        </w:rPr>
        <w:t>e</w:t>
      </w:r>
      <w:r w:rsidR="002D07A5" w:rsidRPr="007F2045">
        <w:rPr>
          <w:rFonts w:ascii="Times New Roman" w:hAnsi="Times New Roman"/>
          <w:sz w:val="28"/>
          <w:szCs w:val="28"/>
          <w:lang w:val="es-CO"/>
        </w:rPr>
        <w:t>n dicha providencia</w:t>
      </w:r>
      <w:r w:rsidR="005F0448" w:rsidRPr="007F2045">
        <w:rPr>
          <w:rFonts w:ascii="Times New Roman" w:hAnsi="Times New Roman"/>
          <w:sz w:val="28"/>
          <w:szCs w:val="28"/>
          <w:lang w:val="es-CO"/>
        </w:rPr>
        <w:t xml:space="preserve">, </w:t>
      </w:r>
      <w:r w:rsidR="002D07A5" w:rsidRPr="007F2045">
        <w:rPr>
          <w:rFonts w:ascii="Times New Roman" w:hAnsi="Times New Roman"/>
          <w:sz w:val="28"/>
          <w:szCs w:val="28"/>
          <w:lang w:val="es-CO"/>
        </w:rPr>
        <w:t>la Sala Plena no pretendió</w:t>
      </w:r>
      <w:r w:rsidR="00F735D4" w:rsidRPr="007F2045">
        <w:rPr>
          <w:rFonts w:ascii="Times New Roman" w:hAnsi="Times New Roman"/>
          <w:sz w:val="28"/>
          <w:szCs w:val="28"/>
          <w:lang w:val="es-CO"/>
        </w:rPr>
        <w:t xml:space="preserve"> agotar la discusión </w:t>
      </w:r>
      <w:r w:rsidR="0020385B" w:rsidRPr="007F2045">
        <w:rPr>
          <w:rFonts w:ascii="Times New Roman" w:hAnsi="Times New Roman"/>
          <w:sz w:val="28"/>
          <w:szCs w:val="28"/>
          <w:lang w:val="es-CO"/>
        </w:rPr>
        <w:t>ni plasmar criterios acabados</w:t>
      </w:r>
      <w:r w:rsidR="00EB59A7" w:rsidRPr="007F2045">
        <w:rPr>
          <w:rFonts w:ascii="Times New Roman" w:hAnsi="Times New Roman"/>
          <w:sz w:val="28"/>
          <w:szCs w:val="28"/>
          <w:lang w:val="es-CO"/>
        </w:rPr>
        <w:t xml:space="preserve"> y definitivos</w:t>
      </w:r>
      <w:r w:rsidR="0020385B" w:rsidRPr="007F2045">
        <w:rPr>
          <w:rFonts w:ascii="Times New Roman" w:hAnsi="Times New Roman"/>
          <w:sz w:val="28"/>
          <w:szCs w:val="28"/>
          <w:lang w:val="es-CO"/>
        </w:rPr>
        <w:t xml:space="preserve"> </w:t>
      </w:r>
      <w:r w:rsidR="00D26B72" w:rsidRPr="007F2045">
        <w:rPr>
          <w:rFonts w:ascii="Times New Roman" w:hAnsi="Times New Roman"/>
          <w:sz w:val="28"/>
          <w:szCs w:val="28"/>
          <w:lang w:val="es-CO"/>
        </w:rPr>
        <w:t xml:space="preserve">de procedencia de la suspensión </w:t>
      </w:r>
      <w:r w:rsidR="00DE4241" w:rsidRPr="007F2045">
        <w:rPr>
          <w:rFonts w:ascii="Times New Roman" w:hAnsi="Times New Roman"/>
          <w:sz w:val="28"/>
          <w:szCs w:val="28"/>
          <w:lang w:val="es-CO"/>
        </w:rPr>
        <w:t xml:space="preserve">provisional. </w:t>
      </w:r>
    </w:p>
    <w:p w14:paraId="4DE8DEC7" w14:textId="77777777" w:rsidR="00DE4241" w:rsidRPr="007F2045" w:rsidRDefault="00DE4241" w:rsidP="001B5728">
      <w:pPr>
        <w:tabs>
          <w:tab w:val="left" w:pos="284"/>
          <w:tab w:val="left" w:pos="426"/>
        </w:tabs>
        <w:spacing w:after="0" w:line="240" w:lineRule="auto"/>
        <w:rPr>
          <w:rFonts w:ascii="Times New Roman" w:hAnsi="Times New Roman"/>
          <w:sz w:val="28"/>
          <w:szCs w:val="28"/>
          <w:lang w:val="es-CO"/>
        </w:rPr>
      </w:pPr>
    </w:p>
    <w:p w14:paraId="79B750EE" w14:textId="77777777" w:rsidR="005416DA" w:rsidRPr="007F2045" w:rsidRDefault="00B26C6D"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Precisamente, en e</w:t>
      </w:r>
      <w:r w:rsidR="005E2636" w:rsidRPr="007F2045">
        <w:rPr>
          <w:rFonts w:ascii="Times New Roman" w:hAnsi="Times New Roman"/>
          <w:sz w:val="28"/>
          <w:szCs w:val="28"/>
          <w:lang w:val="es-CO"/>
        </w:rPr>
        <w:t>st</w:t>
      </w:r>
      <w:r w:rsidR="005F0448" w:rsidRPr="007F2045">
        <w:rPr>
          <w:rFonts w:ascii="Times New Roman" w:hAnsi="Times New Roman"/>
          <w:sz w:val="28"/>
          <w:szCs w:val="28"/>
          <w:lang w:val="es-CO"/>
        </w:rPr>
        <w:t>a oportunidad</w:t>
      </w:r>
      <w:r w:rsidR="00653C37" w:rsidRPr="007F2045">
        <w:rPr>
          <w:rFonts w:ascii="Times New Roman" w:hAnsi="Times New Roman"/>
          <w:sz w:val="28"/>
          <w:szCs w:val="28"/>
          <w:lang w:val="es-CO"/>
        </w:rPr>
        <w:t>, la norma objeto de las solicitudes de suspensión</w:t>
      </w:r>
      <w:r w:rsidR="005E2636" w:rsidRPr="007F2045">
        <w:rPr>
          <w:rFonts w:ascii="Times New Roman" w:hAnsi="Times New Roman"/>
          <w:sz w:val="28"/>
          <w:szCs w:val="28"/>
          <w:lang w:val="es-CO"/>
        </w:rPr>
        <w:t xml:space="preserve"> provisional</w:t>
      </w:r>
      <w:r w:rsidR="00653C37" w:rsidRPr="007F2045">
        <w:rPr>
          <w:rFonts w:ascii="Times New Roman" w:hAnsi="Times New Roman"/>
          <w:sz w:val="28"/>
          <w:szCs w:val="28"/>
          <w:lang w:val="es-CO"/>
        </w:rPr>
        <w:t xml:space="preserve"> </w:t>
      </w:r>
      <w:r w:rsidR="005E2636" w:rsidRPr="007F2045">
        <w:rPr>
          <w:rFonts w:ascii="Times New Roman" w:hAnsi="Times New Roman"/>
          <w:sz w:val="28"/>
          <w:szCs w:val="28"/>
          <w:lang w:val="es-CO"/>
        </w:rPr>
        <w:t>corresponde a</w:t>
      </w:r>
      <w:r w:rsidR="00653C37" w:rsidRPr="007F2045">
        <w:rPr>
          <w:rFonts w:ascii="Times New Roman" w:hAnsi="Times New Roman"/>
          <w:sz w:val="28"/>
          <w:szCs w:val="28"/>
          <w:lang w:val="es-CO"/>
        </w:rPr>
        <w:t xml:space="preserve"> un decreto declaratorio de un estado de emergencia </w:t>
      </w:r>
      <w:r w:rsidR="00635191" w:rsidRPr="007F2045">
        <w:rPr>
          <w:rFonts w:ascii="Times New Roman" w:hAnsi="Times New Roman"/>
          <w:sz w:val="28"/>
          <w:szCs w:val="28"/>
          <w:lang w:val="es-CO"/>
        </w:rPr>
        <w:t>económic</w:t>
      </w:r>
      <w:r w:rsidR="005E2636" w:rsidRPr="007F2045">
        <w:rPr>
          <w:rFonts w:ascii="Times New Roman" w:hAnsi="Times New Roman"/>
          <w:sz w:val="28"/>
          <w:szCs w:val="28"/>
          <w:lang w:val="es-CO"/>
        </w:rPr>
        <w:t>a</w:t>
      </w:r>
      <w:r w:rsidR="0058599A" w:rsidRPr="007F2045">
        <w:rPr>
          <w:rFonts w:ascii="Times New Roman" w:hAnsi="Times New Roman"/>
          <w:sz w:val="28"/>
          <w:szCs w:val="28"/>
          <w:lang w:val="es-CO"/>
        </w:rPr>
        <w:t xml:space="preserve"> y</w:t>
      </w:r>
      <w:r w:rsidR="00231314" w:rsidRPr="007F2045">
        <w:rPr>
          <w:rFonts w:ascii="Times New Roman" w:hAnsi="Times New Roman"/>
          <w:sz w:val="28"/>
          <w:szCs w:val="28"/>
          <w:lang w:val="es-CO"/>
        </w:rPr>
        <w:t xml:space="preserve"> social</w:t>
      </w:r>
      <w:r w:rsidR="00333BFD" w:rsidRPr="007F2045">
        <w:rPr>
          <w:rFonts w:ascii="Times New Roman" w:hAnsi="Times New Roman"/>
          <w:sz w:val="28"/>
          <w:szCs w:val="28"/>
          <w:lang w:val="es-CO"/>
        </w:rPr>
        <w:t xml:space="preserve">. Como se explicó previamente, </w:t>
      </w:r>
      <w:r w:rsidR="009D3D15" w:rsidRPr="007F2045">
        <w:rPr>
          <w:rFonts w:ascii="Times New Roman" w:hAnsi="Times New Roman"/>
          <w:sz w:val="28"/>
          <w:szCs w:val="28"/>
          <w:lang w:val="es-CO"/>
        </w:rPr>
        <w:t xml:space="preserve">los decretos </w:t>
      </w:r>
      <w:r w:rsidR="00940824" w:rsidRPr="007F2045">
        <w:rPr>
          <w:rFonts w:ascii="Times New Roman" w:hAnsi="Times New Roman"/>
          <w:sz w:val="28"/>
          <w:szCs w:val="28"/>
          <w:lang w:val="es-CO"/>
        </w:rPr>
        <w:t xml:space="preserve">atados a </w:t>
      </w:r>
      <w:r w:rsidR="00ED4791" w:rsidRPr="007F2045">
        <w:rPr>
          <w:rFonts w:ascii="Times New Roman" w:hAnsi="Times New Roman"/>
          <w:sz w:val="28"/>
          <w:szCs w:val="28"/>
          <w:lang w:val="es-CO"/>
        </w:rPr>
        <w:t xml:space="preserve">los </w:t>
      </w:r>
      <w:r w:rsidR="00BE0D08" w:rsidRPr="007F2045">
        <w:rPr>
          <w:rFonts w:ascii="Times New Roman" w:hAnsi="Times New Roman"/>
          <w:sz w:val="28"/>
          <w:szCs w:val="28"/>
          <w:lang w:val="es-CO"/>
        </w:rPr>
        <w:t xml:space="preserve">estados de excepción </w:t>
      </w:r>
      <w:r w:rsidR="0079024A" w:rsidRPr="007F2045">
        <w:rPr>
          <w:rFonts w:ascii="Times New Roman" w:hAnsi="Times New Roman"/>
          <w:sz w:val="28"/>
          <w:szCs w:val="28"/>
          <w:lang w:val="es-CO"/>
        </w:rPr>
        <w:t xml:space="preserve">suponen el ejercicio excepcional de potestades normativas en cabeza del </w:t>
      </w:r>
      <w:r w:rsidR="00C50C4E" w:rsidRPr="007F2045">
        <w:rPr>
          <w:rFonts w:ascii="Times New Roman" w:hAnsi="Times New Roman"/>
          <w:sz w:val="28"/>
          <w:szCs w:val="28"/>
          <w:lang w:val="es-CO"/>
        </w:rPr>
        <w:t xml:space="preserve">ejecutivo </w:t>
      </w:r>
      <w:r w:rsidR="00BC161E" w:rsidRPr="007F2045">
        <w:rPr>
          <w:rFonts w:ascii="Times New Roman" w:hAnsi="Times New Roman"/>
          <w:sz w:val="28"/>
          <w:szCs w:val="28"/>
          <w:lang w:val="es-CO"/>
        </w:rPr>
        <w:t>para afron</w:t>
      </w:r>
      <w:r w:rsidR="00C6585E" w:rsidRPr="007F2045">
        <w:rPr>
          <w:rFonts w:ascii="Times New Roman" w:hAnsi="Times New Roman"/>
          <w:sz w:val="28"/>
          <w:szCs w:val="28"/>
          <w:lang w:val="es-CO"/>
        </w:rPr>
        <w:t>tar situaciones de grave crisis</w:t>
      </w:r>
      <w:r w:rsidR="00BE0D08" w:rsidRPr="007F2045">
        <w:rPr>
          <w:rFonts w:ascii="Times New Roman" w:hAnsi="Times New Roman"/>
          <w:sz w:val="28"/>
          <w:szCs w:val="28"/>
          <w:lang w:val="es-CO"/>
        </w:rPr>
        <w:t xml:space="preserve"> </w:t>
      </w:r>
      <w:r w:rsidR="00E826A1" w:rsidRPr="007F2045">
        <w:rPr>
          <w:rFonts w:ascii="Times New Roman" w:hAnsi="Times New Roman"/>
          <w:sz w:val="28"/>
          <w:szCs w:val="28"/>
          <w:lang w:val="es-CO"/>
        </w:rPr>
        <w:t>por medio</w:t>
      </w:r>
      <w:r w:rsidR="005416DA" w:rsidRPr="007F2045">
        <w:rPr>
          <w:rFonts w:ascii="Times New Roman" w:hAnsi="Times New Roman"/>
          <w:sz w:val="28"/>
          <w:szCs w:val="28"/>
          <w:lang w:val="es-CO"/>
        </w:rPr>
        <w:t xml:space="preserve"> de la adopción de </w:t>
      </w:r>
      <w:r w:rsidR="00BE0D08" w:rsidRPr="007F2045">
        <w:rPr>
          <w:rFonts w:ascii="Times New Roman" w:hAnsi="Times New Roman"/>
          <w:sz w:val="28"/>
          <w:szCs w:val="28"/>
          <w:lang w:val="es-CO"/>
        </w:rPr>
        <w:t>medidas urgentes y extraordinarias</w:t>
      </w:r>
      <w:r w:rsidR="00C6585E" w:rsidRPr="007F2045">
        <w:rPr>
          <w:rFonts w:ascii="Times New Roman" w:hAnsi="Times New Roman"/>
          <w:sz w:val="28"/>
          <w:szCs w:val="28"/>
          <w:lang w:val="es-CO"/>
        </w:rPr>
        <w:t xml:space="preserve">. En consecuencia, por el tipo de norma que ahora se analiza, </w:t>
      </w:r>
      <w:r w:rsidR="00E826A1" w:rsidRPr="007F2045">
        <w:rPr>
          <w:rFonts w:ascii="Times New Roman" w:hAnsi="Times New Roman"/>
          <w:sz w:val="28"/>
          <w:szCs w:val="28"/>
          <w:lang w:val="es-CO"/>
        </w:rPr>
        <w:t xml:space="preserve">ante </w:t>
      </w:r>
      <w:r w:rsidR="00474DDA" w:rsidRPr="007F2045">
        <w:rPr>
          <w:rFonts w:ascii="Times New Roman" w:hAnsi="Times New Roman"/>
          <w:sz w:val="28"/>
          <w:szCs w:val="28"/>
          <w:lang w:val="es-CO"/>
        </w:rPr>
        <w:t xml:space="preserve">la Corte se </w:t>
      </w:r>
      <w:r w:rsidR="00E826A1" w:rsidRPr="007F2045">
        <w:rPr>
          <w:rFonts w:ascii="Times New Roman" w:hAnsi="Times New Roman"/>
          <w:sz w:val="28"/>
          <w:szCs w:val="28"/>
          <w:lang w:val="es-CO"/>
        </w:rPr>
        <w:t>present</w:t>
      </w:r>
      <w:r w:rsidR="00DE4241" w:rsidRPr="007F2045">
        <w:rPr>
          <w:rFonts w:ascii="Times New Roman" w:hAnsi="Times New Roman"/>
          <w:sz w:val="28"/>
          <w:szCs w:val="28"/>
          <w:lang w:val="es-CO"/>
        </w:rPr>
        <w:t>a</w:t>
      </w:r>
      <w:r w:rsidR="00E826A1" w:rsidRPr="007F2045">
        <w:rPr>
          <w:rFonts w:ascii="Times New Roman" w:hAnsi="Times New Roman"/>
          <w:sz w:val="28"/>
          <w:szCs w:val="28"/>
          <w:lang w:val="es-CO"/>
        </w:rPr>
        <w:t xml:space="preserve"> </w:t>
      </w:r>
      <w:r w:rsidR="00474DDA" w:rsidRPr="007F2045">
        <w:rPr>
          <w:rFonts w:ascii="Times New Roman" w:hAnsi="Times New Roman"/>
          <w:sz w:val="28"/>
          <w:szCs w:val="28"/>
          <w:lang w:val="es-CO"/>
        </w:rPr>
        <w:t>un</w:t>
      </w:r>
      <w:r w:rsidR="005416DA" w:rsidRPr="007F2045">
        <w:rPr>
          <w:rFonts w:ascii="Times New Roman" w:hAnsi="Times New Roman"/>
          <w:sz w:val="28"/>
          <w:szCs w:val="28"/>
          <w:lang w:val="es-CO"/>
        </w:rPr>
        <w:t xml:space="preserve"> nuevo</w:t>
      </w:r>
      <w:r w:rsidR="00474DDA" w:rsidRPr="007F2045">
        <w:rPr>
          <w:rFonts w:ascii="Times New Roman" w:hAnsi="Times New Roman"/>
          <w:sz w:val="28"/>
          <w:szCs w:val="28"/>
          <w:lang w:val="es-CO"/>
        </w:rPr>
        <w:t xml:space="preserve"> escenario</w:t>
      </w:r>
      <w:r w:rsidR="006D262A" w:rsidRPr="007F2045">
        <w:rPr>
          <w:rFonts w:ascii="Times New Roman" w:hAnsi="Times New Roman"/>
          <w:sz w:val="28"/>
          <w:szCs w:val="28"/>
          <w:lang w:val="es-CO"/>
        </w:rPr>
        <w:t xml:space="preserve">, </w:t>
      </w:r>
      <w:r w:rsidR="00E826A1" w:rsidRPr="007F2045">
        <w:rPr>
          <w:rFonts w:ascii="Times New Roman" w:hAnsi="Times New Roman"/>
          <w:sz w:val="28"/>
          <w:szCs w:val="28"/>
          <w:lang w:val="es-CO"/>
        </w:rPr>
        <w:t xml:space="preserve">que </w:t>
      </w:r>
      <w:r w:rsidR="006D262A" w:rsidRPr="007F2045">
        <w:rPr>
          <w:rFonts w:ascii="Times New Roman" w:hAnsi="Times New Roman"/>
          <w:sz w:val="28"/>
          <w:szCs w:val="28"/>
          <w:lang w:val="es-CO"/>
        </w:rPr>
        <w:t>le permite</w:t>
      </w:r>
      <w:r w:rsidR="005416DA" w:rsidRPr="007F2045">
        <w:rPr>
          <w:rFonts w:ascii="Times New Roman" w:hAnsi="Times New Roman"/>
          <w:sz w:val="28"/>
          <w:szCs w:val="28"/>
          <w:lang w:val="es-CO"/>
        </w:rPr>
        <w:t xml:space="preserve"> </w:t>
      </w:r>
      <w:r w:rsidR="00E826A1" w:rsidRPr="007F2045">
        <w:rPr>
          <w:rFonts w:ascii="Times New Roman" w:hAnsi="Times New Roman"/>
          <w:sz w:val="28"/>
          <w:szCs w:val="28"/>
          <w:lang w:val="es-CO"/>
        </w:rPr>
        <w:t xml:space="preserve">ajustar </w:t>
      </w:r>
      <w:r w:rsidR="00ED4791" w:rsidRPr="007F2045">
        <w:rPr>
          <w:rFonts w:ascii="Times New Roman" w:hAnsi="Times New Roman"/>
          <w:sz w:val="28"/>
          <w:szCs w:val="28"/>
          <w:lang w:val="es-CO"/>
        </w:rPr>
        <w:t xml:space="preserve">de forma </w:t>
      </w:r>
      <w:r w:rsidR="005416DA" w:rsidRPr="007F2045">
        <w:rPr>
          <w:rFonts w:ascii="Times New Roman" w:hAnsi="Times New Roman"/>
          <w:sz w:val="28"/>
          <w:szCs w:val="28"/>
          <w:lang w:val="es-CO"/>
        </w:rPr>
        <w:t>más clara la facultad de suspensión provisional de normas objeto de control de constitucionalidad</w:t>
      </w:r>
      <w:r w:rsidR="00E826A1" w:rsidRPr="007F2045">
        <w:rPr>
          <w:rFonts w:ascii="Times New Roman" w:hAnsi="Times New Roman"/>
          <w:sz w:val="28"/>
          <w:szCs w:val="28"/>
          <w:lang w:val="es-CO"/>
        </w:rPr>
        <w:t xml:space="preserve">, sin perjuicio de la competencia del </w:t>
      </w:r>
      <w:r w:rsidR="00DE4241" w:rsidRPr="007F2045">
        <w:rPr>
          <w:rFonts w:ascii="Times New Roman" w:hAnsi="Times New Roman"/>
          <w:sz w:val="28"/>
          <w:szCs w:val="28"/>
          <w:lang w:val="es-CO"/>
        </w:rPr>
        <w:t>l</w:t>
      </w:r>
      <w:r w:rsidR="00E826A1" w:rsidRPr="007F2045">
        <w:rPr>
          <w:rFonts w:ascii="Times New Roman" w:hAnsi="Times New Roman"/>
          <w:sz w:val="28"/>
          <w:szCs w:val="28"/>
          <w:lang w:val="es-CO"/>
        </w:rPr>
        <w:t xml:space="preserve">egislador en </w:t>
      </w:r>
      <w:r w:rsidR="00DE4241" w:rsidRPr="007F2045">
        <w:rPr>
          <w:rFonts w:ascii="Times New Roman" w:hAnsi="Times New Roman"/>
          <w:sz w:val="28"/>
          <w:szCs w:val="28"/>
          <w:lang w:val="es-CO"/>
        </w:rPr>
        <w:t>esta</w:t>
      </w:r>
      <w:r w:rsidR="00E826A1" w:rsidRPr="007F2045">
        <w:rPr>
          <w:rFonts w:ascii="Times New Roman" w:hAnsi="Times New Roman"/>
          <w:sz w:val="28"/>
          <w:szCs w:val="28"/>
          <w:lang w:val="es-CO"/>
        </w:rPr>
        <w:t xml:space="preserve"> materia</w:t>
      </w:r>
      <w:r w:rsidR="005416DA" w:rsidRPr="007F2045">
        <w:rPr>
          <w:rFonts w:ascii="Times New Roman" w:hAnsi="Times New Roman"/>
          <w:sz w:val="28"/>
          <w:szCs w:val="28"/>
          <w:lang w:val="es-CO"/>
        </w:rPr>
        <w:t>.</w:t>
      </w:r>
    </w:p>
    <w:p w14:paraId="08A8B619" w14:textId="77777777" w:rsidR="001B3B02" w:rsidRPr="007F2045" w:rsidRDefault="001B3B02" w:rsidP="001B5728">
      <w:pPr>
        <w:pStyle w:val="Prrafodelista"/>
        <w:spacing w:after="0" w:line="240" w:lineRule="auto"/>
        <w:rPr>
          <w:rFonts w:ascii="Times New Roman" w:hAnsi="Times New Roman"/>
          <w:sz w:val="28"/>
          <w:szCs w:val="28"/>
          <w:lang w:val="es-CO"/>
        </w:rPr>
      </w:pPr>
    </w:p>
    <w:p w14:paraId="4B5E8578" w14:textId="77777777" w:rsidR="001F49BD" w:rsidRPr="007F2045" w:rsidRDefault="001B3B02"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Por las razones antes expuestas, a continuación, la Corte</w:t>
      </w:r>
      <w:r w:rsidR="005416DA" w:rsidRPr="007F2045">
        <w:rPr>
          <w:rFonts w:ascii="Times New Roman" w:hAnsi="Times New Roman"/>
          <w:sz w:val="28"/>
          <w:szCs w:val="28"/>
          <w:lang w:val="es-CO"/>
        </w:rPr>
        <w:t xml:space="preserve"> precisará las características específicas de </w:t>
      </w:r>
      <w:r w:rsidRPr="007F2045">
        <w:rPr>
          <w:rFonts w:ascii="Times New Roman" w:hAnsi="Times New Roman"/>
          <w:sz w:val="28"/>
          <w:szCs w:val="28"/>
          <w:lang w:val="es-CO"/>
        </w:rPr>
        <w:t xml:space="preserve">la suspensión provisional </w:t>
      </w:r>
      <w:r w:rsidR="005416DA" w:rsidRPr="007F2045">
        <w:rPr>
          <w:rFonts w:ascii="Times New Roman" w:hAnsi="Times New Roman"/>
          <w:sz w:val="28"/>
          <w:szCs w:val="28"/>
          <w:lang w:val="es-CO"/>
        </w:rPr>
        <w:t>y ajustará los criterios para su procedencia</w:t>
      </w:r>
      <w:r w:rsidR="00E826A1" w:rsidRPr="007F2045">
        <w:rPr>
          <w:rFonts w:ascii="Times New Roman" w:hAnsi="Times New Roman"/>
          <w:sz w:val="28"/>
          <w:szCs w:val="28"/>
          <w:lang w:val="es-CO"/>
        </w:rPr>
        <w:t xml:space="preserve">, en atención al carácter </w:t>
      </w:r>
      <w:r w:rsidR="00DE4241" w:rsidRPr="007F2045">
        <w:rPr>
          <w:rFonts w:ascii="Times New Roman" w:hAnsi="Times New Roman"/>
          <w:sz w:val="28"/>
          <w:szCs w:val="28"/>
          <w:lang w:val="es-CO"/>
        </w:rPr>
        <w:t>dinámico</w:t>
      </w:r>
      <w:r w:rsidR="00E826A1" w:rsidRPr="007F2045">
        <w:rPr>
          <w:rFonts w:ascii="Times New Roman" w:hAnsi="Times New Roman"/>
          <w:sz w:val="28"/>
          <w:szCs w:val="28"/>
          <w:lang w:val="es-CO"/>
        </w:rPr>
        <w:t xml:space="preserve"> de la jurisprudencia</w:t>
      </w:r>
      <w:r w:rsidR="005416DA" w:rsidRPr="007F2045">
        <w:rPr>
          <w:rFonts w:ascii="Times New Roman" w:hAnsi="Times New Roman"/>
          <w:sz w:val="28"/>
          <w:szCs w:val="28"/>
          <w:lang w:val="es-CO"/>
        </w:rPr>
        <w:t>.</w:t>
      </w:r>
      <w:r w:rsidRPr="007F2045">
        <w:rPr>
          <w:rFonts w:ascii="Times New Roman" w:hAnsi="Times New Roman"/>
          <w:sz w:val="28"/>
          <w:szCs w:val="28"/>
          <w:lang w:val="es-CO"/>
        </w:rPr>
        <w:t xml:space="preserve"> </w:t>
      </w:r>
    </w:p>
    <w:p w14:paraId="043322C4" w14:textId="77777777" w:rsidR="001F49BD" w:rsidRPr="007F2045" w:rsidRDefault="001F49BD" w:rsidP="001B5728">
      <w:pPr>
        <w:pStyle w:val="Prrafodelista"/>
        <w:spacing w:after="0" w:line="240" w:lineRule="auto"/>
        <w:rPr>
          <w:rFonts w:ascii="Times New Roman" w:hAnsi="Times New Roman"/>
          <w:color w:val="000000" w:themeColor="text1"/>
          <w:sz w:val="28"/>
          <w:szCs w:val="28"/>
          <w:lang w:val="es-CO"/>
        </w:rPr>
      </w:pPr>
    </w:p>
    <w:p w14:paraId="38C96855" w14:textId="77777777" w:rsidR="005F6D8B" w:rsidRPr="007F2045" w:rsidRDefault="0065176C" w:rsidP="001B5728">
      <w:pPr>
        <w:pStyle w:val="Prrafodelista"/>
        <w:numPr>
          <w:ilvl w:val="0"/>
          <w:numId w:val="2"/>
        </w:numPr>
        <w:tabs>
          <w:tab w:val="left" w:pos="284"/>
          <w:tab w:val="left" w:pos="426"/>
        </w:tabs>
        <w:spacing w:after="0" w:line="240" w:lineRule="auto"/>
        <w:ind w:left="0" w:firstLine="0"/>
        <w:rPr>
          <w:rFonts w:ascii="Times New Roman" w:hAnsi="Times New Roman"/>
          <w:i/>
          <w:sz w:val="28"/>
          <w:szCs w:val="28"/>
          <w:lang w:val="es-CO"/>
        </w:rPr>
      </w:pPr>
      <w:r w:rsidRPr="007F2045">
        <w:rPr>
          <w:rFonts w:ascii="Times New Roman" w:hAnsi="Times New Roman"/>
          <w:color w:val="000000" w:themeColor="text1"/>
          <w:sz w:val="28"/>
          <w:szCs w:val="28"/>
          <w:lang w:val="es-CO"/>
        </w:rPr>
        <w:lastRenderedPageBreak/>
        <w:t>En cuanto a lo primero, esta Corporación destaca que</w:t>
      </w:r>
      <w:r w:rsidR="008D767A" w:rsidRPr="007F2045">
        <w:rPr>
          <w:rFonts w:ascii="Times New Roman" w:hAnsi="Times New Roman"/>
          <w:color w:val="000000" w:themeColor="text1"/>
          <w:sz w:val="28"/>
          <w:szCs w:val="28"/>
          <w:lang w:val="es-CO"/>
        </w:rPr>
        <w:t xml:space="preserve"> esta figura procede</w:t>
      </w:r>
      <w:r w:rsidR="00113796" w:rsidRPr="007F2045">
        <w:rPr>
          <w:rFonts w:ascii="Times New Roman" w:hAnsi="Times New Roman"/>
          <w:color w:val="000000" w:themeColor="text1"/>
          <w:sz w:val="28"/>
          <w:szCs w:val="28"/>
          <w:lang w:val="es-CO"/>
        </w:rPr>
        <w:t xml:space="preserve">: (i) </w:t>
      </w:r>
      <w:r w:rsidRPr="007F2045">
        <w:rPr>
          <w:rFonts w:ascii="Times New Roman" w:hAnsi="Times New Roman"/>
          <w:color w:val="000000" w:themeColor="text1"/>
          <w:sz w:val="28"/>
          <w:szCs w:val="28"/>
          <w:lang w:val="es-CO"/>
        </w:rPr>
        <w:t>frente a leyes, decretos declaratorios de un estado de excepción y decretos de desarrollo proferidos al amparo de los artículos 212 a 215 de la Constitución</w:t>
      </w:r>
      <w:r w:rsidR="000242FA" w:rsidRPr="007F2045">
        <w:rPr>
          <w:rFonts w:ascii="Times New Roman" w:hAnsi="Times New Roman"/>
          <w:color w:val="000000" w:themeColor="text1"/>
          <w:sz w:val="28"/>
          <w:szCs w:val="28"/>
          <w:lang w:val="es-CO"/>
        </w:rPr>
        <w:t>, sin perjuicio de las discusiones que puedan surgir en el ámbito de otros procesos de control de constitucionalidad</w:t>
      </w:r>
      <w:r w:rsidRPr="007F2045">
        <w:rPr>
          <w:rFonts w:ascii="Times New Roman" w:hAnsi="Times New Roman"/>
          <w:color w:val="000000" w:themeColor="text1"/>
          <w:sz w:val="28"/>
          <w:szCs w:val="28"/>
          <w:lang w:val="es-CO"/>
        </w:rPr>
        <w:t>; y (</w:t>
      </w:r>
      <w:proofErr w:type="spellStart"/>
      <w:r w:rsidRPr="007F2045">
        <w:rPr>
          <w:rFonts w:ascii="Times New Roman" w:hAnsi="Times New Roman"/>
          <w:color w:val="000000" w:themeColor="text1"/>
          <w:sz w:val="28"/>
          <w:szCs w:val="28"/>
          <w:lang w:val="es-CO"/>
        </w:rPr>
        <w:t>ii</w:t>
      </w:r>
      <w:proofErr w:type="spellEnd"/>
      <w:r w:rsidRPr="007F2045">
        <w:rPr>
          <w:rFonts w:ascii="Times New Roman" w:hAnsi="Times New Roman"/>
          <w:color w:val="000000" w:themeColor="text1"/>
          <w:sz w:val="28"/>
          <w:szCs w:val="28"/>
          <w:lang w:val="es-CO"/>
        </w:rPr>
        <w:t xml:space="preserve">) únicamente </w:t>
      </w:r>
      <w:r w:rsidRPr="007F2045">
        <w:rPr>
          <w:rFonts w:ascii="Times New Roman" w:hAnsi="Times New Roman"/>
          <w:i/>
          <w:iCs/>
          <w:color w:val="000000" w:themeColor="text1"/>
          <w:sz w:val="28"/>
          <w:szCs w:val="28"/>
          <w:lang w:val="es-CO"/>
        </w:rPr>
        <w:t>previa petición</w:t>
      </w:r>
      <w:r w:rsidRPr="007F2045">
        <w:rPr>
          <w:rFonts w:ascii="Times New Roman" w:hAnsi="Times New Roman"/>
          <w:color w:val="000000" w:themeColor="text1"/>
          <w:sz w:val="28"/>
          <w:szCs w:val="28"/>
          <w:lang w:val="es-CO"/>
        </w:rPr>
        <w:t xml:space="preserve"> de alguna magistrada o de algún magistrado de la Sala Plena de la Corte Constitucional, sin que ello implique la sustitución de las competencias de la sustanciadora o del sustanciador. Por ello, la solicitud de la magistrada o del magistrado constituye únicamente un mecanismo de activación del debate al interior de la Sala Plena, cuyo eventual estudio y decisión deberá adoptarse respetando la distribución legal y reglamentaria de funciones, así como las garantías propias del procedimiento colegiado</w:t>
      </w:r>
      <w:r w:rsidR="005F6D8B" w:rsidRPr="007F2045">
        <w:rPr>
          <w:rFonts w:ascii="Times New Roman" w:hAnsi="Times New Roman"/>
          <w:sz w:val="28"/>
          <w:szCs w:val="28"/>
          <w:lang w:val="es-CO"/>
        </w:rPr>
        <w:t>.</w:t>
      </w:r>
    </w:p>
    <w:p w14:paraId="21B46863" w14:textId="77777777" w:rsidR="005F6D8B" w:rsidRPr="007F2045" w:rsidRDefault="005F6D8B" w:rsidP="001B5728">
      <w:pPr>
        <w:pStyle w:val="Prrafodelista"/>
        <w:tabs>
          <w:tab w:val="left" w:pos="426"/>
          <w:tab w:val="left" w:pos="567"/>
        </w:tabs>
        <w:spacing w:after="0" w:line="240" w:lineRule="auto"/>
        <w:ind w:left="0"/>
        <w:rPr>
          <w:rFonts w:ascii="Times New Roman" w:hAnsi="Times New Roman"/>
          <w:sz w:val="28"/>
          <w:szCs w:val="28"/>
          <w:lang w:val="es-CO"/>
        </w:rPr>
      </w:pPr>
    </w:p>
    <w:p w14:paraId="211559D6" w14:textId="77777777" w:rsidR="00B8629C" w:rsidRPr="007F2045" w:rsidRDefault="00B8629C"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Asimismo, se trata de una figura </w:t>
      </w:r>
      <w:r w:rsidR="009C3871" w:rsidRPr="007F2045">
        <w:rPr>
          <w:rFonts w:ascii="Times New Roman" w:hAnsi="Times New Roman"/>
          <w:sz w:val="28"/>
          <w:szCs w:val="28"/>
          <w:lang w:val="es-CO"/>
        </w:rPr>
        <w:t>que tiene</w:t>
      </w:r>
      <w:r w:rsidR="009C3871" w:rsidRPr="007F2045">
        <w:rPr>
          <w:rFonts w:ascii="Times New Roman" w:hAnsi="Times New Roman"/>
          <w:i/>
          <w:iCs/>
          <w:sz w:val="28"/>
          <w:szCs w:val="28"/>
          <w:lang w:val="es-CO"/>
        </w:rPr>
        <w:t xml:space="preserve"> </w:t>
      </w:r>
      <w:r w:rsidRPr="007F2045">
        <w:rPr>
          <w:rFonts w:ascii="Times New Roman" w:hAnsi="Times New Roman"/>
          <w:i/>
          <w:iCs/>
          <w:sz w:val="28"/>
          <w:szCs w:val="28"/>
          <w:lang w:val="es-CO"/>
        </w:rPr>
        <w:t>(</w:t>
      </w:r>
      <w:proofErr w:type="spellStart"/>
      <w:r w:rsidRPr="007F2045">
        <w:rPr>
          <w:rFonts w:ascii="Times New Roman" w:hAnsi="Times New Roman"/>
          <w:i/>
          <w:iCs/>
          <w:sz w:val="28"/>
          <w:szCs w:val="28"/>
          <w:lang w:val="es-CO"/>
        </w:rPr>
        <w:t>i</w:t>
      </w:r>
      <w:r w:rsidR="009C3871" w:rsidRPr="007F2045">
        <w:rPr>
          <w:rFonts w:ascii="Times New Roman" w:hAnsi="Times New Roman"/>
          <w:i/>
          <w:iCs/>
          <w:sz w:val="28"/>
          <w:szCs w:val="28"/>
          <w:lang w:val="es-CO"/>
        </w:rPr>
        <w:t>ii</w:t>
      </w:r>
      <w:proofErr w:type="spellEnd"/>
      <w:r w:rsidRPr="007F2045">
        <w:rPr>
          <w:rFonts w:ascii="Times New Roman" w:hAnsi="Times New Roman"/>
          <w:i/>
          <w:iCs/>
          <w:sz w:val="28"/>
          <w:szCs w:val="28"/>
          <w:lang w:val="es-CO"/>
        </w:rPr>
        <w:t>)</w:t>
      </w:r>
      <w:r w:rsidRPr="007F2045">
        <w:rPr>
          <w:rFonts w:ascii="Times New Roman" w:hAnsi="Times New Roman"/>
          <w:sz w:val="28"/>
          <w:szCs w:val="28"/>
          <w:lang w:val="es-CO"/>
        </w:rPr>
        <w:t xml:space="preserve"> un </w:t>
      </w:r>
      <w:r w:rsidRPr="007F2045">
        <w:rPr>
          <w:rFonts w:ascii="Times New Roman" w:hAnsi="Times New Roman"/>
          <w:i/>
          <w:iCs/>
          <w:sz w:val="28"/>
          <w:szCs w:val="28"/>
          <w:lang w:val="es-CO"/>
        </w:rPr>
        <w:t>carácter excepcional</w:t>
      </w:r>
      <w:r w:rsidRPr="007F2045">
        <w:rPr>
          <w:rFonts w:ascii="Times New Roman" w:hAnsi="Times New Roman"/>
          <w:sz w:val="28"/>
          <w:szCs w:val="28"/>
          <w:lang w:val="es-CO"/>
        </w:rPr>
        <w:t xml:space="preserve">, pues la Corte solo la puede decretar </w:t>
      </w:r>
      <w:r w:rsidRPr="007F2045">
        <w:rPr>
          <w:rStyle w:val="eop"/>
          <w:rFonts w:ascii="Times New Roman" w:hAnsi="Times New Roman"/>
          <w:color w:val="000000" w:themeColor="text1"/>
          <w:sz w:val="28"/>
          <w:szCs w:val="28"/>
          <w:lang w:val="es-CO"/>
        </w:rPr>
        <w:t>cuando concurran de manera estricta y verificable los presupuestos constitucionales que la justifican, razón por la cual esta Corporación debe actuar con especial autocontención judicial y máxima moderación. En este contexto, la decisión exige un análisis riguroso, cuidadoso y motivado de los requisitos aplicables, de modo que se garantice la eficacia del control de constitucionalidad, pero sin desconocer</w:t>
      </w:r>
      <w:r w:rsidR="004409A5" w:rsidRPr="007F2045">
        <w:rPr>
          <w:rStyle w:val="eop"/>
          <w:rFonts w:ascii="Times New Roman" w:hAnsi="Times New Roman"/>
          <w:color w:val="000000" w:themeColor="text1"/>
          <w:sz w:val="28"/>
          <w:szCs w:val="28"/>
          <w:lang w:val="es-CO"/>
        </w:rPr>
        <w:t xml:space="preserve"> elementos importantes, tales como</w:t>
      </w:r>
      <w:r w:rsidR="001C40F7" w:rsidRPr="007F2045">
        <w:rPr>
          <w:rStyle w:val="eop"/>
          <w:rFonts w:ascii="Times New Roman" w:hAnsi="Times New Roman"/>
          <w:color w:val="000000" w:themeColor="text1"/>
          <w:sz w:val="28"/>
          <w:szCs w:val="28"/>
          <w:lang w:val="es-CO"/>
        </w:rPr>
        <w:t xml:space="preserve"> la </w:t>
      </w:r>
      <w:r w:rsidR="001C40F7" w:rsidRPr="007F2045">
        <w:rPr>
          <w:rFonts w:ascii="Times New Roman" w:hAnsi="Times New Roman"/>
          <w:sz w:val="28"/>
          <w:szCs w:val="28"/>
          <w:lang w:val="es-CO"/>
        </w:rPr>
        <w:t>legitim</w:t>
      </w:r>
      <w:r w:rsidR="00991C22" w:rsidRPr="007F2045">
        <w:rPr>
          <w:rFonts w:ascii="Times New Roman" w:hAnsi="Times New Roman"/>
          <w:sz w:val="28"/>
          <w:szCs w:val="28"/>
          <w:lang w:val="es-CO"/>
        </w:rPr>
        <w:t>idad</w:t>
      </w:r>
      <w:r w:rsidR="00991C22" w:rsidRPr="007F2045">
        <w:rPr>
          <w:rStyle w:val="eop"/>
          <w:rFonts w:ascii="Times New Roman" w:hAnsi="Times New Roman"/>
          <w:color w:val="000000" w:themeColor="text1"/>
          <w:sz w:val="28"/>
          <w:szCs w:val="28"/>
          <w:lang w:val="es-CO"/>
        </w:rPr>
        <w:t xml:space="preserve"> democrática en el caso de las leyes; o </w:t>
      </w:r>
      <w:r w:rsidRPr="007F2045">
        <w:rPr>
          <w:rStyle w:val="eop"/>
          <w:rFonts w:ascii="Times New Roman" w:hAnsi="Times New Roman"/>
          <w:color w:val="000000" w:themeColor="text1"/>
          <w:sz w:val="28"/>
          <w:szCs w:val="28"/>
          <w:lang w:val="es-CO"/>
        </w:rPr>
        <w:t xml:space="preserve">el </w:t>
      </w:r>
      <w:r w:rsidRPr="007F2045">
        <w:rPr>
          <w:rFonts w:ascii="Times New Roman" w:hAnsi="Times New Roman"/>
          <w:sz w:val="28"/>
          <w:szCs w:val="28"/>
          <w:lang w:val="es-CO"/>
        </w:rPr>
        <w:t xml:space="preserve">margen de valoración y la capacidad de acción urgente que la Constitución le otorga al </w:t>
      </w:r>
      <w:r w:rsidR="00F3702A" w:rsidRPr="007F2045">
        <w:rPr>
          <w:rFonts w:ascii="Times New Roman" w:hAnsi="Times New Roman"/>
          <w:sz w:val="28"/>
          <w:szCs w:val="28"/>
          <w:lang w:val="es-CO"/>
        </w:rPr>
        <w:t>ejecutivo</w:t>
      </w:r>
      <w:r w:rsidRPr="007F2045">
        <w:rPr>
          <w:rFonts w:ascii="Times New Roman" w:hAnsi="Times New Roman"/>
          <w:sz w:val="28"/>
          <w:szCs w:val="28"/>
          <w:lang w:val="es-CO"/>
        </w:rPr>
        <w:t>, ante situaciones de violencia, o crisis económicas, sociales y ecológicas</w:t>
      </w:r>
      <w:r w:rsidR="00991C22" w:rsidRPr="007F2045">
        <w:rPr>
          <w:rFonts w:ascii="Times New Roman" w:hAnsi="Times New Roman"/>
          <w:sz w:val="28"/>
          <w:szCs w:val="28"/>
          <w:lang w:val="es-CO"/>
        </w:rPr>
        <w:t xml:space="preserve">, </w:t>
      </w:r>
      <w:r w:rsidR="00991C22" w:rsidRPr="007F2045">
        <w:rPr>
          <w:rStyle w:val="eop"/>
          <w:rFonts w:ascii="Times New Roman" w:hAnsi="Times New Roman"/>
          <w:color w:val="000000" w:themeColor="text1"/>
          <w:sz w:val="28"/>
          <w:szCs w:val="28"/>
          <w:lang w:val="es-CO"/>
        </w:rPr>
        <w:t xml:space="preserve">en el caso de los estados de excepción. </w:t>
      </w:r>
    </w:p>
    <w:p w14:paraId="4B241F3D" w14:textId="77777777" w:rsidR="00B8629C" w:rsidRPr="007F2045" w:rsidRDefault="00B8629C" w:rsidP="001B5728">
      <w:pPr>
        <w:pStyle w:val="Prrafodelista"/>
        <w:spacing w:after="0" w:line="240" w:lineRule="auto"/>
        <w:rPr>
          <w:rFonts w:ascii="Times New Roman" w:hAnsi="Times New Roman"/>
          <w:sz w:val="28"/>
          <w:szCs w:val="28"/>
          <w:lang w:val="es-CO"/>
        </w:rPr>
      </w:pPr>
    </w:p>
    <w:p w14:paraId="43CF3F5A" w14:textId="77777777" w:rsidR="00B8629C" w:rsidRPr="007F2045" w:rsidRDefault="00B8629C"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Adicionalmente, la suspensión provisional de </w:t>
      </w:r>
      <w:r w:rsidR="004409A5" w:rsidRPr="007F2045">
        <w:rPr>
          <w:rFonts w:ascii="Times New Roman" w:hAnsi="Times New Roman"/>
          <w:sz w:val="28"/>
          <w:szCs w:val="28"/>
          <w:lang w:val="es-CO"/>
        </w:rPr>
        <w:t xml:space="preserve">normas sometidas a control de </w:t>
      </w:r>
      <w:r w:rsidR="004409A5" w:rsidRPr="007F2045">
        <w:rPr>
          <w:rFonts w:ascii="Times New Roman" w:hAnsi="Times New Roman"/>
          <w:color w:val="000000" w:themeColor="text1"/>
          <w:sz w:val="28"/>
          <w:szCs w:val="28"/>
          <w:lang w:val="es-CO"/>
        </w:rPr>
        <w:t>constitucionalidad</w:t>
      </w:r>
      <w:r w:rsidR="004409A5" w:rsidRPr="007F2045">
        <w:rPr>
          <w:rFonts w:ascii="Times New Roman" w:hAnsi="Times New Roman"/>
          <w:sz w:val="28"/>
          <w:szCs w:val="28"/>
          <w:lang w:val="es-CO"/>
        </w:rPr>
        <w:t xml:space="preserve"> </w:t>
      </w:r>
      <w:r w:rsidRPr="007F2045">
        <w:rPr>
          <w:rFonts w:ascii="Times New Roman" w:hAnsi="Times New Roman"/>
          <w:sz w:val="28"/>
          <w:szCs w:val="28"/>
          <w:lang w:val="es-CO"/>
        </w:rPr>
        <w:t xml:space="preserve">es una figura </w:t>
      </w:r>
      <w:r w:rsidRPr="007F2045">
        <w:rPr>
          <w:rFonts w:ascii="Times New Roman" w:hAnsi="Times New Roman"/>
          <w:i/>
          <w:sz w:val="28"/>
          <w:szCs w:val="28"/>
          <w:lang w:val="es-CO"/>
        </w:rPr>
        <w:t>(</w:t>
      </w:r>
      <w:proofErr w:type="spellStart"/>
      <w:r w:rsidR="009C3871" w:rsidRPr="007F2045">
        <w:rPr>
          <w:rFonts w:ascii="Times New Roman" w:hAnsi="Times New Roman"/>
          <w:i/>
          <w:sz w:val="28"/>
          <w:szCs w:val="28"/>
          <w:lang w:val="es-CO"/>
        </w:rPr>
        <w:t>i</w:t>
      </w:r>
      <w:r w:rsidRPr="007F2045">
        <w:rPr>
          <w:rFonts w:ascii="Times New Roman" w:hAnsi="Times New Roman"/>
          <w:i/>
          <w:sz w:val="28"/>
          <w:szCs w:val="28"/>
          <w:lang w:val="es-CO"/>
        </w:rPr>
        <w:t>v</w:t>
      </w:r>
      <w:proofErr w:type="spellEnd"/>
      <w:r w:rsidRPr="007F2045">
        <w:rPr>
          <w:rFonts w:ascii="Times New Roman" w:hAnsi="Times New Roman"/>
          <w:i/>
          <w:sz w:val="28"/>
          <w:szCs w:val="28"/>
          <w:lang w:val="es-CO"/>
        </w:rPr>
        <w:t>)</w:t>
      </w:r>
      <w:r w:rsidRPr="007F2045">
        <w:rPr>
          <w:rFonts w:ascii="Times New Roman" w:hAnsi="Times New Roman"/>
          <w:sz w:val="28"/>
          <w:szCs w:val="28"/>
          <w:lang w:val="es-CO"/>
        </w:rPr>
        <w:t xml:space="preserve"> de </w:t>
      </w:r>
      <w:r w:rsidRPr="007F2045">
        <w:rPr>
          <w:rFonts w:ascii="Times New Roman" w:hAnsi="Times New Roman"/>
          <w:i/>
          <w:iCs/>
          <w:sz w:val="28"/>
          <w:szCs w:val="28"/>
          <w:lang w:val="es-CO"/>
        </w:rPr>
        <w:t>jerarquía constitucional</w:t>
      </w:r>
      <w:r w:rsidR="00E826A1" w:rsidRPr="007F2045">
        <w:rPr>
          <w:rFonts w:ascii="Times New Roman" w:hAnsi="Times New Roman"/>
          <w:sz w:val="28"/>
          <w:szCs w:val="28"/>
          <w:lang w:val="es-CO"/>
        </w:rPr>
        <w:t>,</w:t>
      </w:r>
      <w:r w:rsidRPr="007F2045">
        <w:rPr>
          <w:rFonts w:ascii="Times New Roman" w:hAnsi="Times New Roman"/>
          <w:sz w:val="28"/>
          <w:szCs w:val="28"/>
          <w:lang w:val="es-CO"/>
        </w:rPr>
        <w:t xml:space="preserve"> porque se desprende del marco funcional atribuido a la Corte; </w:t>
      </w:r>
      <w:r w:rsidRPr="007F2045">
        <w:rPr>
          <w:rFonts w:ascii="Times New Roman" w:hAnsi="Times New Roman"/>
          <w:i/>
          <w:sz w:val="28"/>
          <w:szCs w:val="28"/>
          <w:lang w:val="es-CO"/>
        </w:rPr>
        <w:t>(v)</w:t>
      </w:r>
      <w:r w:rsidRPr="007F2045">
        <w:rPr>
          <w:rFonts w:ascii="Times New Roman" w:hAnsi="Times New Roman"/>
          <w:sz w:val="28"/>
          <w:szCs w:val="28"/>
          <w:lang w:val="es-CO"/>
        </w:rPr>
        <w:t xml:space="preserve"> </w:t>
      </w:r>
      <w:r w:rsidRPr="007F2045">
        <w:rPr>
          <w:rFonts w:ascii="Times New Roman" w:hAnsi="Times New Roman"/>
          <w:i/>
          <w:iCs/>
          <w:sz w:val="28"/>
          <w:szCs w:val="28"/>
          <w:lang w:val="es-CO"/>
        </w:rPr>
        <w:t>accesoria</w:t>
      </w:r>
      <w:r w:rsidRPr="007F2045">
        <w:rPr>
          <w:rFonts w:ascii="Times New Roman" w:hAnsi="Times New Roman"/>
          <w:sz w:val="28"/>
          <w:szCs w:val="28"/>
          <w:lang w:val="es-CO"/>
        </w:rPr>
        <w:t xml:space="preserve">, en tanto carece de autonomía propia y depende de otro procedimiento principal de control abstracto de constitucionalidad; </w:t>
      </w:r>
      <w:r w:rsidRPr="007F2045">
        <w:rPr>
          <w:rFonts w:ascii="Times New Roman" w:hAnsi="Times New Roman"/>
          <w:i/>
          <w:sz w:val="28"/>
          <w:szCs w:val="28"/>
          <w:lang w:val="es-CO"/>
        </w:rPr>
        <w:t>(vi)</w:t>
      </w:r>
      <w:r w:rsidRPr="007F2045">
        <w:rPr>
          <w:rFonts w:ascii="Times New Roman" w:hAnsi="Times New Roman"/>
          <w:sz w:val="28"/>
          <w:szCs w:val="28"/>
          <w:lang w:val="es-CO"/>
        </w:rPr>
        <w:t xml:space="preserve"> </w:t>
      </w:r>
      <w:r w:rsidRPr="007F2045">
        <w:rPr>
          <w:rFonts w:ascii="Times New Roman" w:hAnsi="Times New Roman"/>
          <w:i/>
          <w:iCs/>
          <w:sz w:val="28"/>
          <w:szCs w:val="28"/>
          <w:lang w:val="es-CO"/>
        </w:rPr>
        <w:t>provisoria</w:t>
      </w:r>
      <w:r w:rsidRPr="007F2045">
        <w:rPr>
          <w:rFonts w:ascii="Times New Roman" w:hAnsi="Times New Roman"/>
          <w:sz w:val="28"/>
          <w:szCs w:val="28"/>
          <w:lang w:val="es-CO"/>
        </w:rPr>
        <w:t>, ya que su finalidad es</w:t>
      </w:r>
      <w:r w:rsidR="001E7480" w:rsidRPr="007F2045">
        <w:rPr>
          <w:rFonts w:ascii="Times New Roman" w:hAnsi="Times New Roman"/>
          <w:sz w:val="28"/>
          <w:szCs w:val="28"/>
          <w:lang w:val="es-CO"/>
        </w:rPr>
        <w:t xml:space="preserve"> temporal</w:t>
      </w:r>
      <w:r w:rsidRPr="007F2045">
        <w:rPr>
          <w:rFonts w:ascii="Times New Roman" w:hAnsi="Times New Roman"/>
          <w:sz w:val="28"/>
          <w:szCs w:val="28"/>
          <w:lang w:val="es-CO"/>
        </w:rPr>
        <w:t>, no de carácter definitivo, por lo que su objeto se cumple al suspender los efectos de la norma sometida al examen de constitucionalidad, hasta cuando culmine el respectivo trámite, de tal suerte que no constituye un prejuzgamiento</w:t>
      </w:r>
      <w:r w:rsidR="009C3871" w:rsidRPr="007F2045">
        <w:rPr>
          <w:rFonts w:ascii="Times New Roman" w:hAnsi="Times New Roman"/>
          <w:sz w:val="28"/>
          <w:szCs w:val="28"/>
          <w:lang w:val="es-CO"/>
        </w:rPr>
        <w:t xml:space="preserve"> sobre la constitucionalidad de la medida</w:t>
      </w:r>
      <w:r w:rsidRPr="007F2045">
        <w:rPr>
          <w:rFonts w:ascii="Times New Roman" w:hAnsi="Times New Roman"/>
          <w:sz w:val="28"/>
          <w:szCs w:val="28"/>
          <w:lang w:val="es-CO"/>
        </w:rPr>
        <w:t xml:space="preserve">; y </w:t>
      </w:r>
      <w:r w:rsidRPr="007F2045">
        <w:rPr>
          <w:rFonts w:ascii="Times New Roman" w:hAnsi="Times New Roman"/>
          <w:i/>
          <w:sz w:val="28"/>
          <w:szCs w:val="28"/>
          <w:lang w:val="es-CO"/>
        </w:rPr>
        <w:t>(</w:t>
      </w:r>
      <w:proofErr w:type="spellStart"/>
      <w:r w:rsidRPr="007F2045">
        <w:rPr>
          <w:rFonts w:ascii="Times New Roman" w:hAnsi="Times New Roman"/>
          <w:i/>
          <w:sz w:val="28"/>
          <w:szCs w:val="28"/>
          <w:lang w:val="es-CO"/>
        </w:rPr>
        <w:t>vii</w:t>
      </w:r>
      <w:proofErr w:type="spellEnd"/>
      <w:r w:rsidRPr="007F2045">
        <w:rPr>
          <w:rFonts w:ascii="Times New Roman" w:hAnsi="Times New Roman"/>
          <w:i/>
          <w:sz w:val="28"/>
          <w:szCs w:val="28"/>
          <w:lang w:val="es-CO"/>
        </w:rPr>
        <w:t>)</w:t>
      </w:r>
      <w:r w:rsidRPr="007F2045">
        <w:rPr>
          <w:rFonts w:ascii="Times New Roman" w:hAnsi="Times New Roman"/>
          <w:sz w:val="28"/>
          <w:szCs w:val="28"/>
          <w:lang w:val="es-CO"/>
        </w:rPr>
        <w:t xml:space="preserve"> </w:t>
      </w:r>
      <w:r w:rsidRPr="007F2045">
        <w:rPr>
          <w:rFonts w:ascii="Times New Roman" w:hAnsi="Times New Roman"/>
          <w:i/>
          <w:iCs/>
          <w:sz w:val="28"/>
          <w:szCs w:val="28"/>
          <w:lang w:val="es-CO"/>
        </w:rPr>
        <w:t>cautelar</w:t>
      </w:r>
      <w:r w:rsidRPr="007F2045">
        <w:rPr>
          <w:rFonts w:ascii="Times New Roman" w:hAnsi="Times New Roman"/>
          <w:sz w:val="28"/>
          <w:szCs w:val="28"/>
          <w:lang w:val="es-CO"/>
        </w:rPr>
        <w:t xml:space="preserve">, en </w:t>
      </w:r>
      <w:r w:rsidR="00820EAB" w:rsidRPr="007F2045">
        <w:rPr>
          <w:rFonts w:ascii="Times New Roman" w:hAnsi="Times New Roman"/>
          <w:sz w:val="28"/>
          <w:szCs w:val="28"/>
          <w:lang w:val="es-CO"/>
        </w:rPr>
        <w:t>cuanto</w:t>
      </w:r>
      <w:r w:rsidRPr="007F2045">
        <w:rPr>
          <w:rFonts w:ascii="Times New Roman" w:hAnsi="Times New Roman"/>
          <w:sz w:val="28"/>
          <w:szCs w:val="28"/>
          <w:lang w:val="es-CO"/>
        </w:rPr>
        <w:t xml:space="preserve"> previene </w:t>
      </w:r>
      <w:r w:rsidR="00716042" w:rsidRPr="007F2045">
        <w:rPr>
          <w:rFonts w:ascii="Times New Roman" w:hAnsi="Times New Roman"/>
          <w:sz w:val="28"/>
          <w:szCs w:val="28"/>
          <w:lang w:val="es-CO"/>
        </w:rPr>
        <w:t>que se causen</w:t>
      </w:r>
      <w:r w:rsidRPr="007F2045">
        <w:rPr>
          <w:rFonts w:ascii="Times New Roman" w:hAnsi="Times New Roman"/>
          <w:sz w:val="28"/>
          <w:szCs w:val="28"/>
          <w:lang w:val="es-CO"/>
        </w:rPr>
        <w:t xml:space="preserve"> efectos graves</w:t>
      </w:r>
      <w:r w:rsidR="00F83C1F" w:rsidRPr="007F2045">
        <w:rPr>
          <w:rFonts w:ascii="Times New Roman" w:hAnsi="Times New Roman"/>
          <w:sz w:val="28"/>
          <w:szCs w:val="28"/>
          <w:lang w:val="es-CO"/>
        </w:rPr>
        <w:t xml:space="preserve"> desde la perspectiva constitucional</w:t>
      </w:r>
      <w:r w:rsidRPr="007F2045">
        <w:rPr>
          <w:rFonts w:ascii="Times New Roman" w:hAnsi="Times New Roman"/>
          <w:sz w:val="28"/>
          <w:szCs w:val="28"/>
          <w:lang w:val="es-CO"/>
        </w:rPr>
        <w:t xml:space="preserve">, imposibles de revertir o </w:t>
      </w:r>
      <w:r w:rsidRPr="007F2045">
        <w:rPr>
          <w:rFonts w:ascii="Times New Roman" w:hAnsi="Times New Roman"/>
          <w:color w:val="000000" w:themeColor="text1"/>
          <w:sz w:val="28"/>
          <w:szCs w:val="28"/>
          <w:lang w:val="es-CO"/>
        </w:rPr>
        <w:t>difícilmente reversibles.</w:t>
      </w:r>
    </w:p>
    <w:p w14:paraId="00BE3185" w14:textId="77777777" w:rsidR="005F6D8B" w:rsidRPr="007F2045" w:rsidRDefault="005F6D8B" w:rsidP="001B5728">
      <w:pPr>
        <w:pStyle w:val="Prrafodelista"/>
        <w:spacing w:after="0" w:line="240" w:lineRule="auto"/>
        <w:rPr>
          <w:rFonts w:ascii="Times New Roman" w:hAnsi="Times New Roman"/>
          <w:sz w:val="28"/>
          <w:szCs w:val="28"/>
          <w:lang w:val="es-CO"/>
        </w:rPr>
      </w:pPr>
    </w:p>
    <w:p w14:paraId="1B7E7C48" w14:textId="77777777" w:rsidR="001F49BD" w:rsidRPr="007F2045" w:rsidRDefault="00820EAB" w:rsidP="001B5728">
      <w:pPr>
        <w:pStyle w:val="Prrafodelista"/>
        <w:numPr>
          <w:ilvl w:val="0"/>
          <w:numId w:val="2"/>
        </w:numPr>
        <w:tabs>
          <w:tab w:val="left" w:pos="284"/>
          <w:tab w:val="left" w:pos="426"/>
        </w:tabs>
        <w:spacing w:after="0" w:line="240" w:lineRule="auto"/>
        <w:ind w:left="0" w:firstLine="0"/>
        <w:rPr>
          <w:rFonts w:ascii="Times New Roman" w:hAnsi="Times New Roman"/>
          <w:color w:val="000000" w:themeColor="text1"/>
          <w:sz w:val="28"/>
          <w:szCs w:val="28"/>
          <w:lang w:val="es-CO"/>
        </w:rPr>
      </w:pPr>
      <w:r w:rsidRPr="007F2045">
        <w:rPr>
          <w:rFonts w:ascii="Times New Roman" w:hAnsi="Times New Roman"/>
          <w:color w:val="000000" w:themeColor="text1"/>
          <w:sz w:val="28"/>
          <w:szCs w:val="28"/>
          <w:lang w:val="es-CO"/>
        </w:rPr>
        <w:t>Respecto de</w:t>
      </w:r>
      <w:r w:rsidR="003249F5" w:rsidRPr="007F2045">
        <w:rPr>
          <w:rFonts w:ascii="Times New Roman" w:hAnsi="Times New Roman"/>
          <w:color w:val="000000" w:themeColor="text1"/>
          <w:sz w:val="28"/>
          <w:szCs w:val="28"/>
          <w:lang w:val="es-CO"/>
        </w:rPr>
        <w:t xml:space="preserve"> lo segundo</w:t>
      </w:r>
      <w:r w:rsidR="005F6D8B" w:rsidRPr="007F2045">
        <w:rPr>
          <w:rFonts w:ascii="Times New Roman" w:hAnsi="Times New Roman"/>
          <w:color w:val="000000" w:themeColor="text1"/>
          <w:sz w:val="28"/>
          <w:szCs w:val="28"/>
          <w:lang w:val="es-CO"/>
        </w:rPr>
        <w:t>,</w:t>
      </w:r>
      <w:r w:rsidR="009C3871" w:rsidRPr="007F2045">
        <w:rPr>
          <w:rFonts w:ascii="Times New Roman" w:hAnsi="Times New Roman"/>
          <w:color w:val="000000" w:themeColor="text1"/>
          <w:sz w:val="28"/>
          <w:szCs w:val="28"/>
          <w:lang w:val="es-CO"/>
        </w:rPr>
        <w:t xml:space="preserve"> la Corte formulará </w:t>
      </w:r>
      <w:r w:rsidR="002E465B" w:rsidRPr="007F2045">
        <w:rPr>
          <w:rFonts w:ascii="Times New Roman" w:hAnsi="Times New Roman"/>
          <w:color w:val="000000" w:themeColor="text1"/>
          <w:sz w:val="28"/>
          <w:szCs w:val="28"/>
          <w:lang w:val="es-CO"/>
        </w:rPr>
        <w:t xml:space="preserve">un </w:t>
      </w:r>
      <w:r w:rsidR="00986FEB" w:rsidRPr="007F2045">
        <w:rPr>
          <w:rFonts w:ascii="Times New Roman" w:hAnsi="Times New Roman"/>
          <w:color w:val="000000" w:themeColor="text1"/>
          <w:sz w:val="28"/>
          <w:szCs w:val="28"/>
          <w:lang w:val="es-CO"/>
        </w:rPr>
        <w:t xml:space="preserve">examen o </w:t>
      </w:r>
      <w:r w:rsidR="009C3871" w:rsidRPr="007F2045">
        <w:rPr>
          <w:rFonts w:ascii="Times New Roman" w:hAnsi="Times New Roman"/>
          <w:color w:val="000000" w:themeColor="text1"/>
          <w:sz w:val="28"/>
          <w:szCs w:val="28"/>
          <w:lang w:val="es-CO"/>
        </w:rPr>
        <w:t>test orientad</w:t>
      </w:r>
      <w:r w:rsidR="002E465B" w:rsidRPr="007F2045">
        <w:rPr>
          <w:rFonts w:ascii="Times New Roman" w:hAnsi="Times New Roman"/>
          <w:color w:val="000000" w:themeColor="text1"/>
          <w:sz w:val="28"/>
          <w:szCs w:val="28"/>
          <w:lang w:val="es-CO"/>
        </w:rPr>
        <w:t>o</w:t>
      </w:r>
      <w:r w:rsidR="009C3871" w:rsidRPr="007F2045">
        <w:rPr>
          <w:rFonts w:ascii="Times New Roman" w:hAnsi="Times New Roman"/>
          <w:color w:val="000000" w:themeColor="text1"/>
          <w:sz w:val="28"/>
          <w:szCs w:val="28"/>
          <w:lang w:val="es-CO"/>
        </w:rPr>
        <w:t xml:space="preserve"> a sistematizar</w:t>
      </w:r>
      <w:r w:rsidR="00ED4791" w:rsidRPr="007F2045">
        <w:rPr>
          <w:rFonts w:ascii="Times New Roman" w:hAnsi="Times New Roman"/>
          <w:color w:val="000000" w:themeColor="text1"/>
          <w:sz w:val="28"/>
          <w:szCs w:val="28"/>
          <w:lang w:val="es-CO"/>
        </w:rPr>
        <w:t xml:space="preserve"> y</w:t>
      </w:r>
      <w:r w:rsidR="009C3871" w:rsidRPr="007F2045">
        <w:rPr>
          <w:rFonts w:ascii="Times New Roman" w:hAnsi="Times New Roman"/>
          <w:color w:val="000000" w:themeColor="text1"/>
          <w:sz w:val="28"/>
          <w:szCs w:val="28"/>
          <w:lang w:val="es-CO"/>
        </w:rPr>
        <w:t xml:space="preserve"> delimitar</w:t>
      </w:r>
      <w:r w:rsidR="003C4BBA" w:rsidRPr="007F2045">
        <w:rPr>
          <w:rFonts w:ascii="Times New Roman" w:hAnsi="Times New Roman"/>
          <w:color w:val="000000" w:themeColor="text1"/>
          <w:sz w:val="28"/>
          <w:szCs w:val="28"/>
          <w:lang w:val="es-CO"/>
        </w:rPr>
        <w:t xml:space="preserve"> </w:t>
      </w:r>
      <w:r w:rsidR="009C3871" w:rsidRPr="007F2045">
        <w:rPr>
          <w:rFonts w:ascii="Times New Roman" w:hAnsi="Times New Roman"/>
          <w:color w:val="000000" w:themeColor="text1"/>
          <w:sz w:val="28"/>
          <w:szCs w:val="28"/>
          <w:lang w:val="es-CO"/>
        </w:rPr>
        <w:t xml:space="preserve">los presupuestos </w:t>
      </w:r>
      <w:r w:rsidR="00EB59A7" w:rsidRPr="007F2045">
        <w:rPr>
          <w:rFonts w:ascii="Times New Roman" w:hAnsi="Times New Roman"/>
          <w:color w:val="000000" w:themeColor="text1"/>
          <w:sz w:val="28"/>
          <w:szCs w:val="28"/>
          <w:lang w:val="es-CO"/>
        </w:rPr>
        <w:t>de procedencia de</w:t>
      </w:r>
      <w:r w:rsidR="009C3871" w:rsidRPr="007F2045">
        <w:rPr>
          <w:rFonts w:ascii="Times New Roman" w:hAnsi="Times New Roman"/>
          <w:color w:val="000000" w:themeColor="text1"/>
          <w:sz w:val="28"/>
          <w:szCs w:val="28"/>
          <w:lang w:val="es-CO"/>
        </w:rPr>
        <w:t xml:space="preserve"> la suspensión provisional</w:t>
      </w:r>
      <w:r w:rsidR="001F49BD" w:rsidRPr="007F2045">
        <w:rPr>
          <w:rFonts w:ascii="Times New Roman" w:hAnsi="Times New Roman"/>
          <w:color w:val="000000" w:themeColor="text1"/>
          <w:sz w:val="28"/>
          <w:szCs w:val="28"/>
          <w:lang w:val="es-CO"/>
        </w:rPr>
        <w:t>, que permiten al juez hacer explícitas sus consideraciones y le ayud</w:t>
      </w:r>
      <w:r w:rsidR="001E7480" w:rsidRPr="007F2045">
        <w:rPr>
          <w:rFonts w:ascii="Times New Roman" w:hAnsi="Times New Roman"/>
          <w:color w:val="000000" w:themeColor="text1"/>
          <w:sz w:val="28"/>
          <w:szCs w:val="28"/>
          <w:lang w:val="es-CO"/>
        </w:rPr>
        <w:t>a</w:t>
      </w:r>
      <w:r w:rsidR="001F49BD" w:rsidRPr="007F2045">
        <w:rPr>
          <w:rFonts w:ascii="Times New Roman" w:hAnsi="Times New Roman"/>
          <w:color w:val="000000" w:themeColor="text1"/>
          <w:sz w:val="28"/>
          <w:szCs w:val="28"/>
          <w:lang w:val="es-CO"/>
        </w:rPr>
        <w:t xml:space="preserve"> a vislumbrar de manera comprensiva las implicaciones de su decisión. </w:t>
      </w:r>
      <w:r w:rsidR="00E826A1" w:rsidRPr="007F2045">
        <w:rPr>
          <w:rFonts w:ascii="Times New Roman" w:hAnsi="Times New Roman"/>
          <w:color w:val="000000" w:themeColor="text1"/>
          <w:sz w:val="28"/>
          <w:szCs w:val="28"/>
          <w:lang w:val="es-CO"/>
        </w:rPr>
        <w:t>En todo caso</w:t>
      </w:r>
      <w:r w:rsidR="009C3871" w:rsidRPr="007F2045">
        <w:rPr>
          <w:rFonts w:ascii="Times New Roman" w:hAnsi="Times New Roman"/>
          <w:color w:val="000000" w:themeColor="text1"/>
          <w:sz w:val="28"/>
          <w:szCs w:val="28"/>
          <w:lang w:val="es-CO"/>
        </w:rPr>
        <w:t>, se aclara</w:t>
      </w:r>
      <w:r w:rsidR="009C3871" w:rsidRPr="007F2045">
        <w:rPr>
          <w:rFonts w:ascii="Times New Roman" w:hAnsi="Times New Roman"/>
          <w:sz w:val="28"/>
          <w:szCs w:val="28"/>
          <w:lang w:val="es-CO"/>
        </w:rPr>
        <w:t xml:space="preserve"> </w:t>
      </w:r>
      <w:r w:rsidR="005F6D8B" w:rsidRPr="007F2045">
        <w:rPr>
          <w:rFonts w:ascii="Times New Roman" w:hAnsi="Times New Roman"/>
          <w:color w:val="000000" w:themeColor="text1"/>
          <w:sz w:val="28"/>
          <w:szCs w:val="28"/>
          <w:lang w:val="es-CO"/>
        </w:rPr>
        <w:t>que</w:t>
      </w:r>
      <w:r w:rsidR="00FD32C3" w:rsidRPr="007F2045">
        <w:rPr>
          <w:rFonts w:ascii="Times New Roman" w:hAnsi="Times New Roman"/>
          <w:color w:val="000000" w:themeColor="text1"/>
          <w:sz w:val="28"/>
          <w:szCs w:val="28"/>
          <w:lang w:val="es-CO"/>
        </w:rPr>
        <w:t>,</w:t>
      </w:r>
      <w:r w:rsidR="001F49BD" w:rsidRPr="007F2045">
        <w:rPr>
          <w:rFonts w:ascii="Times New Roman" w:hAnsi="Times New Roman"/>
          <w:color w:val="000000" w:themeColor="text1"/>
          <w:sz w:val="28"/>
          <w:szCs w:val="28"/>
          <w:lang w:val="es-CO"/>
        </w:rPr>
        <w:t xml:space="preserve"> como todo test, es un tamiz de argumentación, y no una regla autónoma de decisión</w:t>
      </w:r>
      <w:r w:rsidR="005F6D8B" w:rsidRPr="007F2045">
        <w:rPr>
          <w:rFonts w:ascii="Times New Roman" w:hAnsi="Times New Roman"/>
          <w:color w:val="000000" w:themeColor="text1"/>
          <w:sz w:val="28"/>
          <w:szCs w:val="28"/>
          <w:lang w:val="es-CO"/>
        </w:rPr>
        <w:t xml:space="preserve">. </w:t>
      </w:r>
      <w:r w:rsidR="001F49BD" w:rsidRPr="007F2045">
        <w:rPr>
          <w:rFonts w:ascii="Times New Roman" w:hAnsi="Times New Roman"/>
          <w:color w:val="000000" w:themeColor="text1"/>
          <w:sz w:val="28"/>
          <w:szCs w:val="28"/>
          <w:lang w:val="es-CO"/>
        </w:rPr>
        <w:t xml:space="preserve">En otras palabras, se </w:t>
      </w:r>
      <w:r w:rsidR="005F6D8B" w:rsidRPr="007F2045">
        <w:rPr>
          <w:rFonts w:ascii="Times New Roman" w:hAnsi="Times New Roman"/>
          <w:color w:val="000000" w:themeColor="text1"/>
          <w:sz w:val="28"/>
          <w:szCs w:val="28"/>
          <w:lang w:val="es-CO"/>
        </w:rPr>
        <w:t xml:space="preserve">trata de </w:t>
      </w:r>
      <w:r w:rsidR="001F49BD" w:rsidRPr="007F2045">
        <w:rPr>
          <w:rFonts w:ascii="Times New Roman" w:hAnsi="Times New Roman"/>
          <w:color w:val="000000" w:themeColor="text1"/>
          <w:sz w:val="28"/>
          <w:szCs w:val="28"/>
          <w:lang w:val="es-CO"/>
        </w:rPr>
        <w:t xml:space="preserve">una </w:t>
      </w:r>
      <w:r w:rsidR="005F6D8B" w:rsidRPr="007F2045">
        <w:rPr>
          <w:rFonts w:ascii="Times New Roman" w:hAnsi="Times New Roman"/>
          <w:color w:val="000000" w:themeColor="text1"/>
          <w:sz w:val="28"/>
          <w:szCs w:val="28"/>
          <w:lang w:val="es-CO"/>
        </w:rPr>
        <w:t>herramienta metodológica que ordena y hace explícito el razonamiento constitucional, con el fin de garantizar</w:t>
      </w:r>
      <w:r w:rsidR="00E826A1" w:rsidRPr="007F2045">
        <w:rPr>
          <w:rFonts w:ascii="Times New Roman" w:hAnsi="Times New Roman"/>
          <w:color w:val="000000" w:themeColor="text1"/>
          <w:sz w:val="28"/>
          <w:szCs w:val="28"/>
          <w:lang w:val="es-CO"/>
        </w:rPr>
        <w:t>, en la mayor medida de lo posible, estándares</w:t>
      </w:r>
      <w:r w:rsidR="005F6D8B" w:rsidRPr="007F2045">
        <w:rPr>
          <w:rFonts w:ascii="Times New Roman" w:hAnsi="Times New Roman"/>
          <w:color w:val="000000" w:themeColor="text1"/>
          <w:sz w:val="28"/>
          <w:szCs w:val="28"/>
          <w:lang w:val="es-CO"/>
        </w:rPr>
        <w:t xml:space="preserve"> </w:t>
      </w:r>
      <w:r w:rsidR="00E97158" w:rsidRPr="007F2045">
        <w:rPr>
          <w:rFonts w:ascii="Times New Roman" w:hAnsi="Times New Roman"/>
          <w:color w:val="000000" w:themeColor="text1"/>
          <w:sz w:val="28"/>
          <w:szCs w:val="28"/>
          <w:lang w:val="es-CO"/>
        </w:rPr>
        <w:t xml:space="preserve">de </w:t>
      </w:r>
      <w:r w:rsidR="005F6D8B" w:rsidRPr="007F2045">
        <w:rPr>
          <w:rFonts w:ascii="Times New Roman" w:hAnsi="Times New Roman"/>
          <w:color w:val="000000" w:themeColor="text1"/>
          <w:sz w:val="28"/>
          <w:szCs w:val="28"/>
          <w:lang w:val="es-CO"/>
        </w:rPr>
        <w:t>coherencia, transparencia y control argumentativo en la adopción de la medida.</w:t>
      </w:r>
      <w:r w:rsidR="00D514A6" w:rsidRPr="007F2045">
        <w:rPr>
          <w:rFonts w:ascii="Times New Roman" w:hAnsi="Times New Roman"/>
          <w:color w:val="000000" w:themeColor="text1"/>
          <w:sz w:val="28"/>
          <w:szCs w:val="28"/>
          <w:lang w:val="es-CO"/>
        </w:rPr>
        <w:t xml:space="preserve"> </w:t>
      </w:r>
    </w:p>
    <w:p w14:paraId="5E729C24" w14:textId="77777777" w:rsidR="001F49BD" w:rsidRPr="007F2045" w:rsidRDefault="001F49BD" w:rsidP="001B5728">
      <w:pPr>
        <w:pStyle w:val="Prrafodelista"/>
        <w:spacing w:after="0" w:line="240" w:lineRule="auto"/>
        <w:rPr>
          <w:rFonts w:ascii="Times New Roman" w:hAnsi="Times New Roman"/>
          <w:color w:val="000000" w:themeColor="text1"/>
          <w:sz w:val="28"/>
          <w:szCs w:val="28"/>
          <w:lang w:val="es-CO"/>
        </w:rPr>
      </w:pPr>
    </w:p>
    <w:p w14:paraId="6DDCE914" w14:textId="77777777" w:rsidR="001C2196" w:rsidRPr="007F2045" w:rsidRDefault="001F49BD" w:rsidP="001B5728">
      <w:pPr>
        <w:pStyle w:val="Prrafodelista"/>
        <w:numPr>
          <w:ilvl w:val="0"/>
          <w:numId w:val="2"/>
        </w:numPr>
        <w:tabs>
          <w:tab w:val="left" w:pos="284"/>
          <w:tab w:val="left" w:pos="426"/>
        </w:tabs>
        <w:spacing w:after="0" w:line="240" w:lineRule="auto"/>
        <w:ind w:left="0" w:firstLine="0"/>
        <w:rPr>
          <w:rFonts w:ascii="Times New Roman" w:hAnsi="Times New Roman"/>
          <w:color w:val="000000" w:themeColor="text1"/>
          <w:sz w:val="28"/>
          <w:szCs w:val="28"/>
          <w:lang w:val="es-CO"/>
        </w:rPr>
      </w:pPr>
      <w:r w:rsidRPr="007F2045">
        <w:rPr>
          <w:rFonts w:ascii="Times New Roman" w:hAnsi="Times New Roman"/>
          <w:color w:val="000000" w:themeColor="text1"/>
          <w:sz w:val="28"/>
          <w:szCs w:val="28"/>
          <w:lang w:val="es-CO"/>
        </w:rPr>
        <w:t>Así, p</w:t>
      </w:r>
      <w:r w:rsidR="00D514A6" w:rsidRPr="007F2045">
        <w:rPr>
          <w:rFonts w:ascii="Times New Roman" w:hAnsi="Times New Roman"/>
          <w:color w:val="000000" w:themeColor="text1"/>
          <w:sz w:val="28"/>
          <w:szCs w:val="28"/>
          <w:lang w:val="es-CO"/>
        </w:rPr>
        <w:t xml:space="preserve">ara mayor claridad, </w:t>
      </w:r>
      <w:r w:rsidR="007138F9" w:rsidRPr="007F2045">
        <w:rPr>
          <w:rFonts w:ascii="Times New Roman" w:hAnsi="Times New Roman"/>
          <w:color w:val="000000" w:themeColor="text1"/>
          <w:sz w:val="28"/>
          <w:szCs w:val="28"/>
          <w:lang w:val="es-CO"/>
        </w:rPr>
        <w:t xml:space="preserve">en la siguiente tabla, </w:t>
      </w:r>
      <w:r w:rsidR="001C2196" w:rsidRPr="007F2045">
        <w:rPr>
          <w:rFonts w:ascii="Times New Roman" w:hAnsi="Times New Roman"/>
          <w:sz w:val="28"/>
          <w:szCs w:val="28"/>
          <w:lang w:val="es-CO"/>
        </w:rPr>
        <w:t xml:space="preserve">se resume </w:t>
      </w:r>
      <w:r w:rsidR="007E4847" w:rsidRPr="007F2045">
        <w:rPr>
          <w:rFonts w:ascii="Times New Roman" w:hAnsi="Times New Roman"/>
          <w:sz w:val="28"/>
          <w:szCs w:val="28"/>
          <w:lang w:val="es-CO"/>
        </w:rPr>
        <w:t>e</w:t>
      </w:r>
      <w:r w:rsidR="00ED6CBC" w:rsidRPr="007F2045">
        <w:rPr>
          <w:rFonts w:ascii="Times New Roman" w:hAnsi="Times New Roman"/>
          <w:sz w:val="28"/>
          <w:szCs w:val="28"/>
          <w:lang w:val="es-CO"/>
        </w:rPr>
        <w:t>l</w:t>
      </w:r>
      <w:r w:rsidR="00ED4791" w:rsidRPr="007F2045">
        <w:rPr>
          <w:rFonts w:ascii="Times New Roman" w:hAnsi="Times New Roman"/>
          <w:sz w:val="28"/>
          <w:szCs w:val="28"/>
          <w:lang w:val="es-CO"/>
        </w:rPr>
        <w:t xml:space="preserve"> examen</w:t>
      </w:r>
      <w:r w:rsidR="001E7480" w:rsidRPr="007F2045">
        <w:rPr>
          <w:rFonts w:ascii="Times New Roman" w:hAnsi="Times New Roman"/>
          <w:sz w:val="28"/>
          <w:szCs w:val="28"/>
          <w:lang w:val="es-CO"/>
        </w:rPr>
        <w:t xml:space="preserve"> establecido</w:t>
      </w:r>
      <w:r w:rsidR="00E826A1" w:rsidRPr="007F2045">
        <w:rPr>
          <w:rFonts w:ascii="Times New Roman" w:hAnsi="Times New Roman"/>
          <w:sz w:val="28"/>
          <w:szCs w:val="28"/>
          <w:lang w:val="es-CO"/>
        </w:rPr>
        <w:t xml:space="preserve"> en </w:t>
      </w:r>
      <w:r w:rsidR="00ED6CBC" w:rsidRPr="007F2045">
        <w:rPr>
          <w:rFonts w:ascii="Times New Roman" w:hAnsi="Times New Roman"/>
          <w:sz w:val="28"/>
          <w:szCs w:val="28"/>
          <w:lang w:val="es-CO"/>
        </w:rPr>
        <w:t xml:space="preserve">esta jurisprudencia </w:t>
      </w:r>
      <w:r w:rsidR="001E7480" w:rsidRPr="007F2045">
        <w:rPr>
          <w:rFonts w:ascii="Times New Roman" w:hAnsi="Times New Roman"/>
          <w:sz w:val="28"/>
          <w:szCs w:val="28"/>
          <w:lang w:val="es-CO"/>
        </w:rPr>
        <w:t xml:space="preserve">que se </w:t>
      </w:r>
      <w:r w:rsidR="00ED6CBC" w:rsidRPr="007F2045">
        <w:rPr>
          <w:rFonts w:ascii="Times New Roman" w:hAnsi="Times New Roman"/>
          <w:sz w:val="28"/>
          <w:szCs w:val="28"/>
          <w:lang w:val="es-CO"/>
        </w:rPr>
        <w:t xml:space="preserve">anuncia. </w:t>
      </w:r>
    </w:p>
    <w:p w14:paraId="4EE69E40" w14:textId="77777777" w:rsidR="00227F68" w:rsidRPr="007F2045" w:rsidRDefault="00227F68" w:rsidP="001B5728">
      <w:pPr>
        <w:pStyle w:val="Prrafodelista"/>
        <w:tabs>
          <w:tab w:val="left" w:pos="426"/>
          <w:tab w:val="left" w:pos="567"/>
        </w:tabs>
        <w:spacing w:after="0" w:line="240" w:lineRule="auto"/>
        <w:ind w:left="0"/>
        <w:rPr>
          <w:rFonts w:ascii="Times New Roman" w:hAnsi="Times New Roman"/>
          <w:sz w:val="28"/>
          <w:szCs w:val="28"/>
          <w:lang w:val="es-CO"/>
        </w:rPr>
      </w:pPr>
    </w:p>
    <w:tbl>
      <w:tblPr>
        <w:tblStyle w:val="Tablaconcuadrcula"/>
        <w:tblW w:w="8926" w:type="dxa"/>
        <w:tblLook w:val="04A0" w:firstRow="1" w:lastRow="0" w:firstColumn="1" w:lastColumn="0" w:noHBand="0" w:noVBand="1"/>
      </w:tblPr>
      <w:tblGrid>
        <w:gridCol w:w="8926"/>
      </w:tblGrid>
      <w:tr w:rsidR="007E4847" w:rsidRPr="007F2045" w14:paraId="5D0BF22B" w14:textId="77777777" w:rsidTr="007E4847">
        <w:trPr>
          <w:tblHeader/>
        </w:trPr>
        <w:tc>
          <w:tcPr>
            <w:tcW w:w="8926" w:type="dxa"/>
            <w:shd w:val="clear" w:color="auto" w:fill="E7E6E6" w:themeFill="background2"/>
          </w:tcPr>
          <w:p w14:paraId="0051CC01" w14:textId="77777777" w:rsidR="007E4847" w:rsidRPr="007F2045" w:rsidRDefault="007E4847" w:rsidP="001B5728">
            <w:pPr>
              <w:spacing w:line="240" w:lineRule="auto"/>
              <w:jc w:val="center"/>
              <w:rPr>
                <w:rFonts w:ascii="Times New Roman" w:hAnsi="Times New Roman"/>
                <w:b/>
                <w:lang w:val="es-CO"/>
              </w:rPr>
            </w:pPr>
            <w:r w:rsidRPr="007F2045">
              <w:rPr>
                <w:rFonts w:ascii="Times New Roman" w:hAnsi="Times New Roman"/>
                <w:b/>
                <w:lang w:val="es-CO"/>
              </w:rPr>
              <w:t>Test anunciado</w:t>
            </w:r>
          </w:p>
        </w:tc>
      </w:tr>
      <w:tr w:rsidR="007E4847" w:rsidRPr="007F2045" w14:paraId="3FE612AC" w14:textId="77777777" w:rsidTr="007E4847">
        <w:tc>
          <w:tcPr>
            <w:tcW w:w="8926" w:type="dxa"/>
          </w:tcPr>
          <w:p w14:paraId="2E56311E" w14:textId="77777777" w:rsidR="007E4847" w:rsidRPr="007F2045" w:rsidRDefault="007E4847" w:rsidP="001B5728">
            <w:pPr>
              <w:pStyle w:val="Prrafodelista"/>
              <w:tabs>
                <w:tab w:val="left" w:pos="426"/>
                <w:tab w:val="left" w:pos="567"/>
              </w:tabs>
              <w:spacing w:line="240" w:lineRule="auto"/>
              <w:ind w:left="0"/>
              <w:rPr>
                <w:rFonts w:ascii="Times New Roman" w:hAnsi="Times New Roman"/>
                <w:color w:val="000000" w:themeColor="text1"/>
                <w:lang w:val="es-CO"/>
              </w:rPr>
            </w:pPr>
            <w:r w:rsidRPr="007F2045">
              <w:rPr>
                <w:rFonts w:ascii="Times New Roman" w:hAnsi="Times New Roman"/>
                <w:color w:val="000000" w:themeColor="text1"/>
                <w:lang w:val="es-CO"/>
              </w:rPr>
              <w:t>Para que proceda la suspensión provisional,</w:t>
            </w:r>
            <w:r w:rsidRPr="007F2045">
              <w:rPr>
                <w:rFonts w:ascii="Times New Roman" w:hAnsi="Times New Roman"/>
                <w:b/>
                <w:color w:val="000000" w:themeColor="text1"/>
                <w:lang w:val="es-CO"/>
              </w:rPr>
              <w:t xml:space="preserve"> </w:t>
            </w:r>
            <w:r w:rsidRPr="007F2045">
              <w:rPr>
                <w:rFonts w:ascii="Times New Roman" w:hAnsi="Times New Roman"/>
                <w:color w:val="000000" w:themeColor="text1"/>
                <w:lang w:val="es-CO"/>
              </w:rPr>
              <w:t xml:space="preserve">la Corte deberá aplicar un test conformado por tres etapas. </w:t>
            </w:r>
          </w:p>
          <w:p w14:paraId="3BA7176D" w14:textId="77777777" w:rsidR="007E4847" w:rsidRPr="007F2045" w:rsidRDefault="007E4847" w:rsidP="001B5728">
            <w:pPr>
              <w:pStyle w:val="Prrafodelista"/>
              <w:tabs>
                <w:tab w:val="left" w:pos="426"/>
                <w:tab w:val="left" w:pos="567"/>
              </w:tabs>
              <w:spacing w:line="240" w:lineRule="auto"/>
              <w:ind w:left="0"/>
              <w:rPr>
                <w:rFonts w:ascii="Times New Roman" w:hAnsi="Times New Roman"/>
                <w:color w:val="000000" w:themeColor="text1"/>
                <w:lang w:val="es-CO"/>
              </w:rPr>
            </w:pPr>
          </w:p>
          <w:p w14:paraId="143A8E09" w14:textId="77777777" w:rsidR="007E4847" w:rsidRPr="007F2045" w:rsidRDefault="007E4847" w:rsidP="001B5728">
            <w:pPr>
              <w:pStyle w:val="Prrafodelista"/>
              <w:tabs>
                <w:tab w:val="left" w:pos="426"/>
                <w:tab w:val="left" w:pos="567"/>
              </w:tabs>
              <w:spacing w:line="240" w:lineRule="auto"/>
              <w:ind w:left="0"/>
              <w:rPr>
                <w:rFonts w:ascii="Times New Roman" w:hAnsi="Times New Roman"/>
                <w:b/>
                <w:color w:val="000000" w:themeColor="text1"/>
                <w:lang w:val="es-CO"/>
              </w:rPr>
            </w:pPr>
            <w:r w:rsidRPr="007F2045">
              <w:rPr>
                <w:rFonts w:ascii="Times New Roman" w:hAnsi="Times New Roman"/>
                <w:b/>
                <w:bCs/>
                <w:color w:val="000000" w:themeColor="text1"/>
                <w:lang w:val="es-CO"/>
              </w:rPr>
              <w:lastRenderedPageBreak/>
              <w:t xml:space="preserve">Primera etapa: verificación de </w:t>
            </w:r>
            <w:r w:rsidRPr="007F2045">
              <w:rPr>
                <w:rFonts w:ascii="Times New Roman" w:hAnsi="Times New Roman"/>
                <w:b/>
                <w:color w:val="000000" w:themeColor="text1"/>
                <w:lang w:val="es-CO"/>
              </w:rPr>
              <w:t>supuestos habilitantes</w:t>
            </w:r>
          </w:p>
          <w:p w14:paraId="2567B627" w14:textId="77777777" w:rsidR="007E4847" w:rsidRPr="007F2045" w:rsidRDefault="007E4847" w:rsidP="001B5728">
            <w:pPr>
              <w:pStyle w:val="Prrafodelista"/>
              <w:tabs>
                <w:tab w:val="left" w:pos="426"/>
                <w:tab w:val="left" w:pos="567"/>
              </w:tabs>
              <w:spacing w:line="240" w:lineRule="auto"/>
              <w:ind w:left="0"/>
              <w:rPr>
                <w:rFonts w:ascii="Times New Roman" w:hAnsi="Times New Roman"/>
                <w:color w:val="000000" w:themeColor="text1"/>
                <w:lang w:val="es-CO"/>
              </w:rPr>
            </w:pPr>
          </w:p>
          <w:p w14:paraId="16C3C991" w14:textId="77777777" w:rsidR="007E4847" w:rsidRPr="007F2045" w:rsidRDefault="007E4847" w:rsidP="001B5728">
            <w:pPr>
              <w:pStyle w:val="Prrafodelista"/>
              <w:tabs>
                <w:tab w:val="left" w:pos="426"/>
                <w:tab w:val="left" w:pos="567"/>
              </w:tabs>
              <w:spacing w:line="240" w:lineRule="auto"/>
              <w:ind w:left="0"/>
              <w:rPr>
                <w:rFonts w:ascii="Times New Roman" w:hAnsi="Times New Roman"/>
                <w:lang w:val="es-CO"/>
              </w:rPr>
            </w:pPr>
            <w:r w:rsidRPr="007F2045">
              <w:rPr>
                <w:rFonts w:ascii="Times New Roman" w:hAnsi="Times New Roman"/>
                <w:color w:val="000000" w:themeColor="text1"/>
                <w:lang w:val="es-CO"/>
              </w:rPr>
              <w:t>La Corte deberá constatar si se configura alguna de las siguientes hipótesis:</w:t>
            </w:r>
          </w:p>
          <w:p w14:paraId="70187985" w14:textId="77777777" w:rsidR="007E4847" w:rsidRPr="007F2045" w:rsidRDefault="007E4847" w:rsidP="001B5728">
            <w:pPr>
              <w:pStyle w:val="Prrafodelista"/>
              <w:spacing w:line="240" w:lineRule="auto"/>
              <w:ind w:left="0"/>
              <w:rPr>
                <w:rFonts w:ascii="Times New Roman" w:hAnsi="Times New Roman"/>
                <w:color w:val="000000" w:themeColor="text1"/>
                <w:lang w:val="es-CO"/>
              </w:rPr>
            </w:pPr>
          </w:p>
          <w:p w14:paraId="75FAC5D8" w14:textId="77777777" w:rsidR="007E4847" w:rsidRPr="007F2045" w:rsidRDefault="007E4847" w:rsidP="001B5728">
            <w:pPr>
              <w:pStyle w:val="Prrafodelista"/>
              <w:numPr>
                <w:ilvl w:val="0"/>
                <w:numId w:val="39"/>
              </w:numPr>
              <w:spacing w:line="240" w:lineRule="auto"/>
              <w:rPr>
                <w:rFonts w:ascii="Times New Roman" w:hAnsi="Times New Roman"/>
                <w:color w:val="000000" w:themeColor="text1"/>
                <w:lang w:val="es-CO"/>
              </w:rPr>
            </w:pPr>
            <w:r w:rsidRPr="007F2045">
              <w:rPr>
                <w:rFonts w:ascii="Times New Roman" w:hAnsi="Times New Roman"/>
                <w:color w:val="000000" w:themeColor="text1"/>
                <w:lang w:val="es-CO"/>
              </w:rPr>
              <w:t>Existencia de evidencia preliminar seria de elusión del control de constitucionalidad.</w:t>
            </w:r>
          </w:p>
          <w:p w14:paraId="3084EA47" w14:textId="77777777" w:rsidR="007E4847" w:rsidRPr="007F2045" w:rsidRDefault="007E4847" w:rsidP="001B5728">
            <w:pPr>
              <w:pStyle w:val="Prrafodelista"/>
              <w:numPr>
                <w:ilvl w:val="0"/>
                <w:numId w:val="39"/>
              </w:numPr>
              <w:spacing w:line="240" w:lineRule="auto"/>
              <w:rPr>
                <w:rFonts w:ascii="Times New Roman" w:hAnsi="Times New Roman"/>
                <w:color w:val="000000" w:themeColor="text1"/>
                <w:lang w:val="es-CO"/>
              </w:rPr>
            </w:pPr>
            <w:r w:rsidRPr="007F2045">
              <w:rPr>
                <w:rFonts w:ascii="Times New Roman" w:hAnsi="Times New Roman"/>
                <w:color w:val="000000" w:themeColor="text1"/>
                <w:lang w:val="es-CO"/>
              </w:rPr>
              <w:t>Existencia</w:t>
            </w:r>
            <w:r w:rsidRPr="007F2045">
              <w:rPr>
                <w:rFonts w:ascii="Times New Roman" w:hAnsi="Times New Roman"/>
                <w:lang w:val="es-CO"/>
              </w:rPr>
              <w:t xml:space="preserve"> de evidencia preliminar seria sobre anulación de </w:t>
            </w:r>
            <w:r w:rsidRPr="007F2045">
              <w:rPr>
                <w:rFonts w:ascii="Times New Roman" w:hAnsi="Times New Roman"/>
                <w:color w:val="000000" w:themeColor="text1"/>
                <w:lang w:val="es-CO"/>
              </w:rPr>
              <w:t>competencias</w:t>
            </w:r>
            <w:r w:rsidRPr="007F2045">
              <w:rPr>
                <w:rFonts w:ascii="Times New Roman" w:hAnsi="Times New Roman"/>
                <w:lang w:val="es-CO"/>
              </w:rPr>
              <w:t xml:space="preserve"> de alguna de las ramas del poder público. </w:t>
            </w:r>
          </w:p>
          <w:p w14:paraId="761C748A" w14:textId="77777777" w:rsidR="007E4847" w:rsidRPr="007F2045" w:rsidRDefault="007E4847" w:rsidP="001B5728">
            <w:pPr>
              <w:pStyle w:val="Prrafodelista"/>
              <w:numPr>
                <w:ilvl w:val="0"/>
                <w:numId w:val="39"/>
              </w:numPr>
              <w:spacing w:line="240" w:lineRule="auto"/>
              <w:rPr>
                <w:rFonts w:ascii="Times New Roman" w:hAnsi="Times New Roman"/>
                <w:color w:val="000000" w:themeColor="text1"/>
                <w:lang w:val="es-CO"/>
              </w:rPr>
            </w:pPr>
            <w:r w:rsidRPr="007F2045">
              <w:rPr>
                <w:rFonts w:ascii="Times New Roman" w:hAnsi="Times New Roman"/>
                <w:color w:val="000000" w:themeColor="text1"/>
                <w:lang w:val="es-CO"/>
              </w:rPr>
              <w:t>Existencia</w:t>
            </w:r>
            <w:r w:rsidRPr="007F2045">
              <w:rPr>
                <w:rFonts w:ascii="Times New Roman" w:hAnsi="Times New Roman"/>
                <w:lang w:val="es-CO"/>
              </w:rPr>
              <w:t xml:space="preserve"> de evidencia preliminar seria sobre afectaciones intensas de derechos fundamentales, procesos democráticos o libertades públicas</w:t>
            </w:r>
            <w:r w:rsidRPr="007F2045">
              <w:rPr>
                <w:rFonts w:ascii="Times New Roman" w:hAnsi="Times New Roman"/>
                <w:color w:val="000000" w:themeColor="text1"/>
                <w:lang w:val="es-CO"/>
              </w:rPr>
              <w:t>.</w:t>
            </w:r>
          </w:p>
          <w:p w14:paraId="3CAFCEAA" w14:textId="77777777" w:rsidR="00FD07D7" w:rsidRPr="007F2045" w:rsidRDefault="00FD07D7" w:rsidP="001B5728">
            <w:pPr>
              <w:pStyle w:val="Prrafodelista"/>
              <w:spacing w:line="240" w:lineRule="auto"/>
              <w:rPr>
                <w:rFonts w:ascii="Times New Roman" w:hAnsi="Times New Roman"/>
                <w:color w:val="000000" w:themeColor="text1"/>
                <w:lang w:val="es-CO"/>
              </w:rPr>
            </w:pPr>
          </w:p>
          <w:p w14:paraId="3F982567" w14:textId="77777777" w:rsidR="007E4847" w:rsidRPr="007F2045" w:rsidRDefault="007E4847" w:rsidP="001B5728">
            <w:pPr>
              <w:spacing w:line="240" w:lineRule="auto"/>
              <w:rPr>
                <w:rFonts w:ascii="Times New Roman" w:hAnsi="Times New Roman"/>
                <w:i/>
                <w:iCs/>
                <w:color w:val="000000" w:themeColor="text1"/>
                <w:lang w:val="es-CO"/>
              </w:rPr>
            </w:pPr>
            <w:r w:rsidRPr="007F2045">
              <w:rPr>
                <w:rFonts w:ascii="Times New Roman" w:hAnsi="Times New Roman"/>
                <w:i/>
                <w:iCs/>
                <w:color w:val="000000" w:themeColor="text1"/>
                <w:lang w:val="es-CO"/>
              </w:rPr>
              <w:t>Regla:</w:t>
            </w:r>
          </w:p>
          <w:p w14:paraId="4ADFAB7F" w14:textId="77777777" w:rsidR="00FD07D7" w:rsidRPr="007F2045" w:rsidRDefault="00FD07D7" w:rsidP="001B5728">
            <w:pPr>
              <w:spacing w:line="240" w:lineRule="auto"/>
              <w:rPr>
                <w:rFonts w:ascii="Times New Roman" w:hAnsi="Times New Roman"/>
                <w:i/>
                <w:iCs/>
                <w:color w:val="000000" w:themeColor="text1"/>
                <w:lang w:val="es-CO"/>
              </w:rPr>
            </w:pPr>
          </w:p>
          <w:p w14:paraId="01C30121" w14:textId="77777777" w:rsidR="007E4847" w:rsidRPr="007F2045" w:rsidRDefault="007E4847" w:rsidP="001B5728">
            <w:pPr>
              <w:pStyle w:val="Prrafodelista"/>
              <w:numPr>
                <w:ilvl w:val="0"/>
                <w:numId w:val="39"/>
              </w:numPr>
              <w:spacing w:line="240" w:lineRule="auto"/>
              <w:rPr>
                <w:rFonts w:ascii="Times New Roman" w:hAnsi="Times New Roman"/>
                <w:color w:val="000000" w:themeColor="text1"/>
                <w:lang w:val="es-CO"/>
              </w:rPr>
            </w:pPr>
            <w:r w:rsidRPr="007F2045">
              <w:rPr>
                <w:rFonts w:ascii="Times New Roman" w:hAnsi="Times New Roman"/>
                <w:color w:val="000000" w:themeColor="text1"/>
                <w:lang w:val="es-CO"/>
              </w:rPr>
              <w:t>Si no se configura ninguna de estas hipótesis, no procede la suspensión.</w:t>
            </w:r>
          </w:p>
          <w:p w14:paraId="310F083C" w14:textId="77777777" w:rsidR="007E4847" w:rsidRPr="007F2045" w:rsidRDefault="007E4847" w:rsidP="001B5728">
            <w:pPr>
              <w:pStyle w:val="Prrafodelista"/>
              <w:numPr>
                <w:ilvl w:val="0"/>
                <w:numId w:val="39"/>
              </w:numPr>
              <w:spacing w:line="240" w:lineRule="auto"/>
              <w:rPr>
                <w:rFonts w:ascii="Times New Roman" w:hAnsi="Times New Roman"/>
                <w:color w:val="000000" w:themeColor="text1"/>
                <w:lang w:val="es-CO"/>
              </w:rPr>
            </w:pPr>
            <w:r w:rsidRPr="007F2045">
              <w:rPr>
                <w:rFonts w:ascii="Times New Roman" w:hAnsi="Times New Roman"/>
                <w:color w:val="000000" w:themeColor="text1"/>
                <w:lang w:val="es-CO"/>
              </w:rPr>
              <w:t>Si se configura al menos una, se pasa a la segunda etapa.</w:t>
            </w:r>
          </w:p>
          <w:p w14:paraId="28BBB6F3" w14:textId="77777777" w:rsidR="007E4847" w:rsidRPr="007F2045" w:rsidRDefault="007E4847" w:rsidP="001B5728">
            <w:pPr>
              <w:pStyle w:val="Prrafodelista"/>
              <w:tabs>
                <w:tab w:val="left" w:pos="426"/>
                <w:tab w:val="left" w:pos="567"/>
              </w:tabs>
              <w:spacing w:line="240" w:lineRule="auto"/>
              <w:rPr>
                <w:rFonts w:ascii="Times New Roman" w:hAnsi="Times New Roman"/>
                <w:b/>
                <w:bCs/>
                <w:color w:val="000000" w:themeColor="text1"/>
                <w:lang w:val="es-CO"/>
              </w:rPr>
            </w:pPr>
          </w:p>
          <w:p w14:paraId="446647E4" w14:textId="77777777" w:rsidR="007E4847" w:rsidRPr="007F2045" w:rsidRDefault="007E4847" w:rsidP="001B5728">
            <w:pPr>
              <w:pStyle w:val="Prrafodelista"/>
              <w:tabs>
                <w:tab w:val="left" w:pos="426"/>
                <w:tab w:val="left" w:pos="567"/>
              </w:tabs>
              <w:spacing w:line="240" w:lineRule="auto"/>
              <w:ind w:left="0"/>
              <w:rPr>
                <w:rFonts w:ascii="Times New Roman" w:hAnsi="Times New Roman"/>
                <w:b/>
                <w:bCs/>
                <w:color w:val="000000" w:themeColor="text1"/>
                <w:lang w:val="es-CO"/>
              </w:rPr>
            </w:pPr>
            <w:r w:rsidRPr="007F2045">
              <w:rPr>
                <w:rFonts w:ascii="Times New Roman" w:hAnsi="Times New Roman"/>
                <w:b/>
                <w:bCs/>
                <w:color w:val="000000" w:themeColor="text1"/>
                <w:lang w:val="es-CO"/>
              </w:rPr>
              <w:t>Segunda etapa: gravedad e irreversibilidad de efectos.</w:t>
            </w:r>
          </w:p>
          <w:p w14:paraId="22E0D7D6" w14:textId="77777777" w:rsidR="007E4847" w:rsidRPr="007F2045" w:rsidRDefault="007E4847" w:rsidP="001B5728">
            <w:pPr>
              <w:pStyle w:val="Prrafodelista"/>
              <w:tabs>
                <w:tab w:val="left" w:pos="426"/>
                <w:tab w:val="left" w:pos="567"/>
              </w:tabs>
              <w:spacing w:line="240" w:lineRule="auto"/>
              <w:ind w:left="0"/>
              <w:rPr>
                <w:rFonts w:ascii="Times New Roman" w:hAnsi="Times New Roman"/>
                <w:color w:val="000000" w:themeColor="text1"/>
                <w:lang w:val="es-CO"/>
              </w:rPr>
            </w:pPr>
          </w:p>
          <w:p w14:paraId="26C4F6B3" w14:textId="77777777" w:rsidR="00FD07D7" w:rsidRPr="007F2045" w:rsidRDefault="007E4847" w:rsidP="001B5728">
            <w:pPr>
              <w:tabs>
                <w:tab w:val="left" w:pos="426"/>
                <w:tab w:val="left" w:pos="567"/>
              </w:tabs>
              <w:spacing w:line="240" w:lineRule="auto"/>
              <w:rPr>
                <w:rFonts w:ascii="Times New Roman" w:hAnsi="Times New Roman"/>
                <w:color w:val="000000" w:themeColor="text1"/>
                <w:lang w:val="es-CO"/>
              </w:rPr>
            </w:pPr>
            <w:r w:rsidRPr="007F2045">
              <w:rPr>
                <w:rFonts w:ascii="Times New Roman" w:hAnsi="Times New Roman"/>
                <w:color w:val="000000" w:themeColor="text1"/>
                <w:lang w:val="es-CO"/>
              </w:rPr>
              <w:t>La Corte deberá aplicar un segundo filtro y preguntarse de forma preliminar si:</w:t>
            </w:r>
          </w:p>
          <w:p w14:paraId="6D38EF37" w14:textId="77777777" w:rsidR="00FD07D7" w:rsidRPr="007F2045" w:rsidRDefault="00FD07D7" w:rsidP="001B5728">
            <w:pPr>
              <w:tabs>
                <w:tab w:val="left" w:pos="426"/>
                <w:tab w:val="left" w:pos="567"/>
              </w:tabs>
              <w:spacing w:line="240" w:lineRule="auto"/>
              <w:rPr>
                <w:rFonts w:ascii="Times New Roman" w:hAnsi="Times New Roman"/>
                <w:color w:val="000000" w:themeColor="text1"/>
                <w:lang w:val="es-CO"/>
              </w:rPr>
            </w:pPr>
          </w:p>
          <w:p w14:paraId="3C3E080B" w14:textId="77777777" w:rsidR="007E4847" w:rsidRPr="007F2045" w:rsidRDefault="007E4847" w:rsidP="001B5728">
            <w:pPr>
              <w:pStyle w:val="Prrafodelista"/>
              <w:numPr>
                <w:ilvl w:val="0"/>
                <w:numId w:val="39"/>
              </w:numPr>
              <w:spacing w:line="240" w:lineRule="auto"/>
              <w:rPr>
                <w:rFonts w:ascii="Times New Roman" w:hAnsi="Times New Roman"/>
                <w:color w:val="000000" w:themeColor="text1"/>
                <w:lang w:val="es-CO"/>
              </w:rPr>
            </w:pPr>
            <w:r w:rsidRPr="007F2045">
              <w:rPr>
                <w:rFonts w:ascii="Times New Roman" w:hAnsi="Times New Roman"/>
                <w:color w:val="000000" w:themeColor="text1"/>
                <w:lang w:val="es-CO"/>
              </w:rPr>
              <w:t xml:space="preserve">¿Puede la norma objeto de control generar consecuencias de tal magnitud que tornen inocuo o simplemente simbólico el control de constitucionalidad, incluso si el fallo definitivo llegare a modular sus efectos? </w:t>
            </w:r>
          </w:p>
          <w:p w14:paraId="32C7599A" w14:textId="77777777" w:rsidR="007E4847" w:rsidRPr="007F2045" w:rsidRDefault="007E4847" w:rsidP="001B5728">
            <w:pPr>
              <w:tabs>
                <w:tab w:val="left" w:pos="426"/>
                <w:tab w:val="left" w:pos="567"/>
              </w:tabs>
              <w:spacing w:line="240" w:lineRule="auto"/>
              <w:rPr>
                <w:rFonts w:ascii="Times New Roman" w:hAnsi="Times New Roman"/>
                <w:color w:val="000000" w:themeColor="text1"/>
                <w:lang w:val="es-CO"/>
              </w:rPr>
            </w:pPr>
          </w:p>
          <w:p w14:paraId="24C526FD" w14:textId="77777777" w:rsidR="007E4847" w:rsidRPr="007F2045" w:rsidRDefault="007E4847" w:rsidP="001B5728">
            <w:pPr>
              <w:tabs>
                <w:tab w:val="left" w:pos="426"/>
                <w:tab w:val="left" w:pos="567"/>
              </w:tabs>
              <w:spacing w:line="240" w:lineRule="auto"/>
              <w:rPr>
                <w:rFonts w:ascii="Times New Roman" w:hAnsi="Times New Roman"/>
                <w:color w:val="000000" w:themeColor="text1"/>
                <w:lang w:val="es-CO"/>
              </w:rPr>
            </w:pPr>
            <w:r w:rsidRPr="007F2045">
              <w:rPr>
                <w:rFonts w:ascii="Times New Roman" w:hAnsi="Times New Roman"/>
                <w:color w:val="000000" w:themeColor="text1"/>
                <w:lang w:val="es-CO"/>
              </w:rPr>
              <w:t>A título ilustrativo, la aplicación de la norma, mientras se espera la sentencia, puede generar efectos graves difícilmente reversibles como:</w:t>
            </w:r>
          </w:p>
          <w:p w14:paraId="3A757AAC" w14:textId="77777777" w:rsidR="007E4847" w:rsidRPr="007F2045" w:rsidRDefault="007E4847" w:rsidP="001B5728">
            <w:pPr>
              <w:tabs>
                <w:tab w:val="left" w:pos="426"/>
                <w:tab w:val="left" w:pos="567"/>
              </w:tabs>
              <w:spacing w:line="240" w:lineRule="auto"/>
              <w:rPr>
                <w:rFonts w:ascii="Times New Roman" w:hAnsi="Times New Roman"/>
                <w:color w:val="000000" w:themeColor="text1"/>
                <w:lang w:val="es-CO"/>
              </w:rPr>
            </w:pPr>
          </w:p>
          <w:p w14:paraId="47EFEC41" w14:textId="77777777" w:rsidR="007E4847" w:rsidRPr="007F2045" w:rsidRDefault="007E4847" w:rsidP="001B5728">
            <w:pPr>
              <w:pStyle w:val="Prrafodelista"/>
              <w:numPr>
                <w:ilvl w:val="0"/>
                <w:numId w:val="39"/>
              </w:numPr>
              <w:spacing w:line="240" w:lineRule="auto"/>
              <w:rPr>
                <w:rFonts w:ascii="Times New Roman" w:hAnsi="Times New Roman"/>
                <w:color w:val="000000" w:themeColor="text1"/>
                <w:lang w:val="es-CO"/>
              </w:rPr>
            </w:pPr>
            <w:r w:rsidRPr="007F2045">
              <w:rPr>
                <w:rFonts w:ascii="Times New Roman" w:hAnsi="Times New Roman"/>
                <w:color w:val="000000" w:themeColor="text1"/>
                <w:lang w:val="es-CO"/>
              </w:rPr>
              <w:t>Serias vulneraciones a los derechos fundamentales (por ejemplo, privaciones indebidas de la libertad, uso ilegítimo de la fuerza o desactivaciones forzadas de una huelga).</w:t>
            </w:r>
          </w:p>
          <w:p w14:paraId="5A47564C" w14:textId="77777777" w:rsidR="007E4847" w:rsidRPr="007F2045" w:rsidRDefault="007E4847" w:rsidP="001B5728">
            <w:pPr>
              <w:pStyle w:val="Prrafodelista"/>
              <w:numPr>
                <w:ilvl w:val="0"/>
                <w:numId w:val="39"/>
              </w:numPr>
              <w:spacing w:line="240" w:lineRule="auto"/>
              <w:rPr>
                <w:rFonts w:ascii="Times New Roman" w:hAnsi="Times New Roman"/>
                <w:color w:val="000000" w:themeColor="text1"/>
                <w:lang w:val="es-CO"/>
              </w:rPr>
            </w:pPr>
            <w:r w:rsidRPr="007F2045">
              <w:rPr>
                <w:rFonts w:ascii="Times New Roman" w:hAnsi="Times New Roman"/>
                <w:color w:val="000000" w:themeColor="text1"/>
                <w:lang w:val="es-CO"/>
              </w:rPr>
              <w:t>Alteraciones del equilibrio entre las ramas del poder público, con efectos materiales y jurídicos definitivos.</w:t>
            </w:r>
          </w:p>
          <w:p w14:paraId="7DC695E5" w14:textId="77777777" w:rsidR="007E4847" w:rsidRPr="007F2045" w:rsidRDefault="007E4847" w:rsidP="001B5728">
            <w:pPr>
              <w:pStyle w:val="Prrafodelista"/>
              <w:numPr>
                <w:ilvl w:val="0"/>
                <w:numId w:val="39"/>
              </w:numPr>
              <w:spacing w:line="240" w:lineRule="auto"/>
              <w:rPr>
                <w:rFonts w:ascii="Times New Roman" w:hAnsi="Times New Roman"/>
                <w:color w:val="000000" w:themeColor="text1"/>
                <w:lang w:val="es-CO"/>
              </w:rPr>
            </w:pPr>
            <w:r w:rsidRPr="007F2045">
              <w:rPr>
                <w:rFonts w:ascii="Times New Roman" w:hAnsi="Times New Roman"/>
                <w:color w:val="000000" w:themeColor="text1"/>
                <w:lang w:val="es-CO"/>
              </w:rPr>
              <w:t>Apropiaciones indebidas de competencias constitucionales en contravía de los principios democrático y de separación de poderes por medio de ejercicio abusivo de poderes excepcionales.</w:t>
            </w:r>
          </w:p>
          <w:p w14:paraId="46716ECC" w14:textId="77777777" w:rsidR="007E4847" w:rsidRPr="007F2045" w:rsidRDefault="007E4847" w:rsidP="001B5728">
            <w:pPr>
              <w:pStyle w:val="Prrafodelista"/>
              <w:numPr>
                <w:ilvl w:val="0"/>
                <w:numId w:val="39"/>
              </w:numPr>
              <w:spacing w:line="240" w:lineRule="auto"/>
              <w:rPr>
                <w:rFonts w:ascii="Times New Roman" w:hAnsi="Times New Roman"/>
                <w:color w:val="000000" w:themeColor="text1"/>
                <w:lang w:val="es-CO"/>
              </w:rPr>
            </w:pPr>
            <w:r w:rsidRPr="007F2045">
              <w:rPr>
                <w:rFonts w:ascii="Times New Roman" w:hAnsi="Times New Roman"/>
                <w:color w:val="000000" w:themeColor="text1"/>
                <w:lang w:val="es-CO"/>
              </w:rPr>
              <w:t>Afectaciones a procesos electorales en condiciones de igualdad.</w:t>
            </w:r>
          </w:p>
          <w:p w14:paraId="08B464A6" w14:textId="77777777" w:rsidR="00E0509C" w:rsidRPr="007F2045" w:rsidRDefault="00176F58" w:rsidP="001B5728">
            <w:pPr>
              <w:pStyle w:val="Prrafodelista"/>
              <w:numPr>
                <w:ilvl w:val="0"/>
                <w:numId w:val="39"/>
              </w:numPr>
              <w:spacing w:line="240" w:lineRule="auto"/>
              <w:rPr>
                <w:rFonts w:ascii="Times New Roman" w:hAnsi="Times New Roman"/>
                <w:color w:val="000000" w:themeColor="text1"/>
                <w:lang w:val="es-CO"/>
              </w:rPr>
            </w:pPr>
            <w:r w:rsidRPr="007F2045">
              <w:rPr>
                <w:rFonts w:ascii="Times New Roman" w:hAnsi="Times New Roman"/>
                <w:color w:val="000000" w:themeColor="text1"/>
                <w:lang w:val="es-CO"/>
              </w:rPr>
              <w:t xml:space="preserve">Serias </w:t>
            </w:r>
            <w:r w:rsidR="00E0509C" w:rsidRPr="007F2045">
              <w:rPr>
                <w:rFonts w:ascii="Times New Roman" w:hAnsi="Times New Roman"/>
                <w:color w:val="000000" w:themeColor="text1"/>
                <w:lang w:val="es-CO"/>
              </w:rPr>
              <w:t>afectaciones al patrimonio público</w:t>
            </w:r>
            <w:r w:rsidRPr="007F2045">
              <w:rPr>
                <w:rFonts w:ascii="Times New Roman" w:hAnsi="Times New Roman"/>
                <w:color w:val="000000" w:themeColor="text1"/>
                <w:lang w:val="es-CO"/>
              </w:rPr>
              <w:t xml:space="preserve"> (por ejemplo, </w:t>
            </w:r>
            <w:r w:rsidR="00343AC7" w:rsidRPr="007F2045">
              <w:rPr>
                <w:rFonts w:ascii="Times New Roman" w:hAnsi="Times New Roman"/>
                <w:color w:val="000000" w:themeColor="text1"/>
                <w:lang w:val="es-CO"/>
              </w:rPr>
              <w:t xml:space="preserve">mediante la </w:t>
            </w:r>
            <w:r w:rsidRPr="007F2045">
              <w:rPr>
                <w:rFonts w:ascii="Times New Roman" w:hAnsi="Times New Roman"/>
                <w:color w:val="000000" w:themeColor="text1"/>
                <w:lang w:val="es-CO"/>
              </w:rPr>
              <w:t>transferencia</w:t>
            </w:r>
            <w:r w:rsidR="00343AC7" w:rsidRPr="007F2045">
              <w:rPr>
                <w:rFonts w:ascii="Times New Roman" w:hAnsi="Times New Roman"/>
                <w:color w:val="000000" w:themeColor="text1"/>
                <w:lang w:val="es-CO"/>
              </w:rPr>
              <w:t>, el compromiso</w:t>
            </w:r>
            <w:r w:rsidRPr="007F2045">
              <w:rPr>
                <w:rFonts w:ascii="Times New Roman" w:hAnsi="Times New Roman"/>
                <w:color w:val="000000" w:themeColor="text1"/>
                <w:lang w:val="es-CO"/>
              </w:rPr>
              <w:t xml:space="preserve"> </w:t>
            </w:r>
            <w:r w:rsidR="00343AC7" w:rsidRPr="007F2045">
              <w:rPr>
                <w:rFonts w:ascii="Times New Roman" w:hAnsi="Times New Roman"/>
                <w:color w:val="000000" w:themeColor="text1"/>
                <w:lang w:val="es-CO"/>
              </w:rPr>
              <w:t>o</w:t>
            </w:r>
            <w:r w:rsidRPr="007F2045">
              <w:rPr>
                <w:rFonts w:ascii="Times New Roman" w:hAnsi="Times New Roman"/>
                <w:color w:val="000000" w:themeColor="text1"/>
                <w:lang w:val="es-CO"/>
              </w:rPr>
              <w:t xml:space="preserve"> </w:t>
            </w:r>
            <w:r w:rsidR="00343AC7" w:rsidRPr="007F2045">
              <w:rPr>
                <w:rFonts w:ascii="Times New Roman" w:hAnsi="Times New Roman"/>
                <w:color w:val="000000" w:themeColor="text1"/>
                <w:lang w:val="es-CO"/>
              </w:rPr>
              <w:t xml:space="preserve">la </w:t>
            </w:r>
            <w:r w:rsidRPr="007F2045">
              <w:rPr>
                <w:rFonts w:ascii="Times New Roman" w:hAnsi="Times New Roman"/>
                <w:color w:val="000000" w:themeColor="text1"/>
                <w:lang w:val="es-CO"/>
              </w:rPr>
              <w:t>ejecución de recurso</w:t>
            </w:r>
            <w:r w:rsidR="00343AC7" w:rsidRPr="007F2045">
              <w:rPr>
                <w:rFonts w:ascii="Times New Roman" w:hAnsi="Times New Roman"/>
                <w:color w:val="000000" w:themeColor="text1"/>
                <w:lang w:val="es-CO"/>
              </w:rPr>
              <w:t xml:space="preserve">s </w:t>
            </w:r>
            <w:r w:rsidR="0046504E" w:rsidRPr="007F2045">
              <w:rPr>
                <w:rFonts w:ascii="Times New Roman" w:hAnsi="Times New Roman"/>
                <w:color w:val="000000" w:themeColor="text1"/>
                <w:lang w:val="es-CO"/>
              </w:rPr>
              <w:t>públicos</w:t>
            </w:r>
            <w:r w:rsidR="0008023C" w:rsidRPr="007F2045">
              <w:rPr>
                <w:rFonts w:ascii="Times New Roman" w:hAnsi="Times New Roman"/>
                <w:color w:val="000000" w:themeColor="text1"/>
                <w:lang w:val="es-CO"/>
              </w:rPr>
              <w:t>,</w:t>
            </w:r>
            <w:r w:rsidR="0046504E" w:rsidRPr="007F2045">
              <w:rPr>
                <w:rFonts w:ascii="Times New Roman" w:hAnsi="Times New Roman"/>
                <w:color w:val="000000" w:themeColor="text1"/>
                <w:lang w:val="es-CO"/>
              </w:rPr>
              <w:t xml:space="preserve"> la asunción de</w:t>
            </w:r>
            <w:r w:rsidR="0008023C" w:rsidRPr="007F2045">
              <w:rPr>
                <w:rFonts w:ascii="Times New Roman" w:hAnsi="Times New Roman"/>
                <w:color w:val="000000" w:themeColor="text1"/>
                <w:lang w:val="es-CO"/>
              </w:rPr>
              <w:t xml:space="preserve"> obligaciones crediticias a cargo del Estado</w:t>
            </w:r>
            <w:r w:rsidR="00BF4767" w:rsidRPr="007F2045">
              <w:rPr>
                <w:rFonts w:ascii="Times New Roman" w:hAnsi="Times New Roman"/>
                <w:color w:val="000000" w:themeColor="text1"/>
                <w:lang w:val="es-CO"/>
              </w:rPr>
              <w:t xml:space="preserve"> o</w:t>
            </w:r>
            <w:r w:rsidR="00C07423" w:rsidRPr="007F2045">
              <w:rPr>
                <w:rFonts w:ascii="Times New Roman" w:hAnsi="Times New Roman"/>
                <w:color w:val="000000" w:themeColor="text1"/>
                <w:lang w:val="es-CO"/>
              </w:rPr>
              <w:t xml:space="preserve"> la venta de activos estatales</w:t>
            </w:r>
            <w:r w:rsidRPr="007F2045">
              <w:rPr>
                <w:rFonts w:ascii="Times New Roman" w:hAnsi="Times New Roman"/>
                <w:color w:val="000000" w:themeColor="text1"/>
                <w:lang w:val="es-CO"/>
              </w:rPr>
              <w:t>)</w:t>
            </w:r>
            <w:r w:rsidR="0046504E" w:rsidRPr="007F2045">
              <w:rPr>
                <w:rFonts w:ascii="Times New Roman" w:hAnsi="Times New Roman"/>
                <w:color w:val="000000" w:themeColor="text1"/>
                <w:lang w:val="es-CO"/>
              </w:rPr>
              <w:t xml:space="preserve">. </w:t>
            </w:r>
          </w:p>
          <w:p w14:paraId="0B85F44C" w14:textId="77777777" w:rsidR="00343AC7" w:rsidRPr="007F2045" w:rsidRDefault="00343AC7" w:rsidP="001B5728">
            <w:pPr>
              <w:pStyle w:val="Prrafodelista"/>
              <w:tabs>
                <w:tab w:val="left" w:pos="426"/>
                <w:tab w:val="left" w:pos="567"/>
              </w:tabs>
              <w:spacing w:line="240" w:lineRule="auto"/>
              <w:ind w:left="0"/>
              <w:rPr>
                <w:rFonts w:ascii="Times New Roman" w:hAnsi="Times New Roman"/>
                <w:b/>
                <w:bCs/>
                <w:color w:val="000000" w:themeColor="text1"/>
                <w:lang w:val="es-CO"/>
              </w:rPr>
            </w:pPr>
          </w:p>
          <w:p w14:paraId="2CF9BFBB" w14:textId="77777777" w:rsidR="007E4847" w:rsidRPr="007F2045" w:rsidRDefault="007E4847" w:rsidP="001B5728">
            <w:pPr>
              <w:pStyle w:val="Prrafodelista"/>
              <w:tabs>
                <w:tab w:val="left" w:pos="426"/>
                <w:tab w:val="left" w:pos="567"/>
              </w:tabs>
              <w:spacing w:line="240" w:lineRule="auto"/>
              <w:ind w:left="0"/>
              <w:rPr>
                <w:rFonts w:ascii="Times New Roman" w:hAnsi="Times New Roman"/>
                <w:i/>
                <w:iCs/>
                <w:color w:val="000000" w:themeColor="text1"/>
                <w:lang w:val="es-CO"/>
              </w:rPr>
            </w:pPr>
            <w:r w:rsidRPr="007F2045">
              <w:rPr>
                <w:rFonts w:ascii="Times New Roman" w:hAnsi="Times New Roman"/>
                <w:i/>
                <w:iCs/>
                <w:color w:val="000000" w:themeColor="text1"/>
                <w:lang w:val="es-CO"/>
              </w:rPr>
              <w:t xml:space="preserve">Regla: </w:t>
            </w:r>
          </w:p>
          <w:p w14:paraId="043D44A6" w14:textId="77777777" w:rsidR="007E4847" w:rsidRPr="007F2045" w:rsidRDefault="007E4847" w:rsidP="001B5728">
            <w:pPr>
              <w:pStyle w:val="Prrafodelista"/>
              <w:tabs>
                <w:tab w:val="left" w:pos="426"/>
                <w:tab w:val="left" w:pos="567"/>
              </w:tabs>
              <w:spacing w:line="240" w:lineRule="auto"/>
              <w:ind w:left="0"/>
              <w:rPr>
                <w:rFonts w:ascii="Times New Roman" w:hAnsi="Times New Roman"/>
                <w:color w:val="000000" w:themeColor="text1"/>
                <w:lang w:val="es-CO"/>
              </w:rPr>
            </w:pPr>
          </w:p>
          <w:p w14:paraId="3D7F545E" w14:textId="77777777" w:rsidR="007E4847" w:rsidRPr="007F2045" w:rsidRDefault="007E4847" w:rsidP="001B5728">
            <w:pPr>
              <w:pStyle w:val="Prrafodelista"/>
              <w:numPr>
                <w:ilvl w:val="0"/>
                <w:numId w:val="39"/>
              </w:numPr>
              <w:spacing w:line="240" w:lineRule="auto"/>
              <w:rPr>
                <w:rFonts w:ascii="Times New Roman" w:hAnsi="Times New Roman"/>
                <w:color w:val="000000" w:themeColor="text1"/>
                <w:lang w:val="es-CO"/>
              </w:rPr>
            </w:pPr>
            <w:r w:rsidRPr="007F2045">
              <w:rPr>
                <w:rFonts w:ascii="Times New Roman" w:hAnsi="Times New Roman"/>
                <w:color w:val="000000" w:themeColor="text1"/>
                <w:lang w:val="es-CO"/>
              </w:rPr>
              <w:t>Si la respuesta es negativa, no procede la suspensión.</w:t>
            </w:r>
          </w:p>
          <w:p w14:paraId="58D47F9A" w14:textId="77777777" w:rsidR="007E4847" w:rsidRPr="007F2045" w:rsidRDefault="007E4847" w:rsidP="001B5728">
            <w:pPr>
              <w:pStyle w:val="Prrafodelista"/>
              <w:numPr>
                <w:ilvl w:val="0"/>
                <w:numId w:val="39"/>
              </w:numPr>
              <w:spacing w:line="240" w:lineRule="auto"/>
              <w:rPr>
                <w:rFonts w:ascii="Times New Roman" w:hAnsi="Times New Roman"/>
                <w:color w:val="000000" w:themeColor="text1"/>
                <w:lang w:val="es-CO"/>
              </w:rPr>
            </w:pPr>
            <w:r w:rsidRPr="007F2045">
              <w:rPr>
                <w:rFonts w:ascii="Times New Roman" w:hAnsi="Times New Roman"/>
                <w:color w:val="000000" w:themeColor="text1"/>
                <w:lang w:val="es-CO"/>
              </w:rPr>
              <w:t>Si la respuesta es afirmativa, se avanza a la tercera etapa.</w:t>
            </w:r>
          </w:p>
          <w:p w14:paraId="6B300E89" w14:textId="77777777" w:rsidR="007E4847" w:rsidRPr="007F2045" w:rsidRDefault="007E4847" w:rsidP="001B5728">
            <w:pPr>
              <w:pStyle w:val="Prrafodelista"/>
              <w:tabs>
                <w:tab w:val="left" w:pos="426"/>
                <w:tab w:val="left" w:pos="567"/>
              </w:tabs>
              <w:spacing w:line="240" w:lineRule="auto"/>
              <w:ind w:left="0"/>
              <w:rPr>
                <w:rFonts w:ascii="Times New Roman" w:hAnsi="Times New Roman"/>
                <w:color w:val="000000" w:themeColor="text1"/>
                <w:lang w:val="es-CO"/>
              </w:rPr>
            </w:pPr>
          </w:p>
          <w:p w14:paraId="2DAA8493" w14:textId="77777777" w:rsidR="007E4847" w:rsidRPr="007F2045" w:rsidRDefault="007E4847" w:rsidP="001B5728">
            <w:pPr>
              <w:pStyle w:val="Prrafodelista"/>
              <w:tabs>
                <w:tab w:val="left" w:pos="426"/>
                <w:tab w:val="left" w:pos="567"/>
              </w:tabs>
              <w:spacing w:line="240" w:lineRule="auto"/>
              <w:ind w:left="0"/>
              <w:rPr>
                <w:rFonts w:ascii="Times New Roman" w:hAnsi="Times New Roman"/>
                <w:color w:val="000000" w:themeColor="text1"/>
                <w:lang w:val="es-CO"/>
              </w:rPr>
            </w:pPr>
            <w:r w:rsidRPr="007F2045">
              <w:rPr>
                <w:rFonts w:ascii="Times New Roman" w:hAnsi="Times New Roman"/>
                <w:b/>
                <w:bCs/>
                <w:color w:val="000000" w:themeColor="text1"/>
                <w:lang w:val="es-CO"/>
              </w:rPr>
              <w:t>Tercera etapa: ponderación de escenarios</w:t>
            </w:r>
            <w:r w:rsidRPr="007F2045">
              <w:rPr>
                <w:rFonts w:ascii="Times New Roman" w:hAnsi="Times New Roman"/>
                <w:b/>
                <w:bCs/>
                <w:color w:val="000000" w:themeColor="text1"/>
                <w:vertAlign w:val="superscript"/>
                <w:lang w:val="es-CO"/>
              </w:rPr>
              <w:footnoteReference w:id="98"/>
            </w:r>
            <w:r w:rsidRPr="007F2045">
              <w:rPr>
                <w:rFonts w:ascii="Times New Roman" w:hAnsi="Times New Roman"/>
                <w:b/>
                <w:color w:val="000000" w:themeColor="text1"/>
                <w:lang w:val="es-CO"/>
              </w:rPr>
              <w:t>.</w:t>
            </w:r>
            <w:r w:rsidRPr="007F2045">
              <w:rPr>
                <w:rFonts w:ascii="Times New Roman" w:hAnsi="Times New Roman"/>
                <w:color w:val="000000" w:themeColor="text1"/>
                <w:lang w:val="es-CO"/>
              </w:rPr>
              <w:t xml:space="preserve"> </w:t>
            </w:r>
          </w:p>
          <w:p w14:paraId="01ACB6F9" w14:textId="77777777" w:rsidR="007E4847" w:rsidRPr="007F2045" w:rsidRDefault="007E4847" w:rsidP="001B5728">
            <w:pPr>
              <w:pStyle w:val="Prrafodelista"/>
              <w:tabs>
                <w:tab w:val="left" w:pos="426"/>
                <w:tab w:val="left" w:pos="567"/>
              </w:tabs>
              <w:spacing w:line="240" w:lineRule="auto"/>
              <w:ind w:left="0"/>
              <w:rPr>
                <w:rFonts w:ascii="Times New Roman" w:hAnsi="Times New Roman"/>
                <w:color w:val="000000" w:themeColor="text1"/>
                <w:lang w:val="es-CO"/>
              </w:rPr>
            </w:pPr>
          </w:p>
          <w:p w14:paraId="59F43171" w14:textId="77777777" w:rsidR="007E4847" w:rsidRPr="007F2045" w:rsidRDefault="007E4847" w:rsidP="001B5728">
            <w:pPr>
              <w:pStyle w:val="Prrafodelista"/>
              <w:tabs>
                <w:tab w:val="left" w:pos="426"/>
                <w:tab w:val="left" w:pos="567"/>
              </w:tabs>
              <w:spacing w:line="240" w:lineRule="auto"/>
              <w:ind w:left="0"/>
              <w:rPr>
                <w:rFonts w:ascii="Times New Roman" w:hAnsi="Times New Roman"/>
                <w:color w:val="000000" w:themeColor="text1"/>
                <w:lang w:val="es-CO"/>
              </w:rPr>
            </w:pPr>
            <w:r w:rsidRPr="007F2045">
              <w:rPr>
                <w:rFonts w:ascii="Times New Roman" w:hAnsi="Times New Roman"/>
                <w:color w:val="000000" w:themeColor="text1"/>
                <w:lang w:val="es-CO"/>
              </w:rPr>
              <w:t xml:space="preserve">En esta última fase, la Corte debe ponderar dos escenarios posibles: </w:t>
            </w:r>
          </w:p>
          <w:p w14:paraId="0819A4BB" w14:textId="77777777" w:rsidR="007E4847" w:rsidRPr="007F2045" w:rsidRDefault="007E4847" w:rsidP="001B5728">
            <w:pPr>
              <w:pStyle w:val="Prrafodelista"/>
              <w:tabs>
                <w:tab w:val="left" w:pos="426"/>
                <w:tab w:val="left" w:pos="567"/>
              </w:tabs>
              <w:spacing w:line="240" w:lineRule="auto"/>
              <w:ind w:left="0"/>
              <w:rPr>
                <w:rFonts w:ascii="Times New Roman" w:hAnsi="Times New Roman"/>
                <w:color w:val="000000" w:themeColor="text1"/>
                <w:lang w:val="es-CO"/>
              </w:rPr>
            </w:pPr>
          </w:p>
          <w:p w14:paraId="5AD15AE5" w14:textId="77777777" w:rsidR="007E4847" w:rsidRPr="007F2045" w:rsidRDefault="007E4847" w:rsidP="001B5728">
            <w:pPr>
              <w:pStyle w:val="Prrafodelista"/>
              <w:numPr>
                <w:ilvl w:val="0"/>
                <w:numId w:val="39"/>
              </w:numPr>
              <w:spacing w:line="240" w:lineRule="auto"/>
              <w:rPr>
                <w:rFonts w:ascii="Times New Roman" w:hAnsi="Times New Roman"/>
                <w:color w:val="000000" w:themeColor="text1"/>
                <w:lang w:val="es-CO"/>
              </w:rPr>
            </w:pPr>
            <w:r w:rsidRPr="007F2045">
              <w:rPr>
                <w:rFonts w:ascii="Times New Roman" w:hAnsi="Times New Roman"/>
                <w:i/>
                <w:iCs/>
                <w:color w:val="000000" w:themeColor="text1"/>
                <w:lang w:val="es-CO"/>
              </w:rPr>
              <w:t>Escenario 1</w:t>
            </w:r>
            <w:r w:rsidRPr="007F2045">
              <w:rPr>
                <w:rFonts w:ascii="Times New Roman" w:hAnsi="Times New Roman"/>
                <w:color w:val="000000" w:themeColor="text1"/>
                <w:lang w:val="es-CO"/>
              </w:rPr>
              <w:t xml:space="preserve">: no se suspende la norma y luego ésta es declarada inexequible; </w:t>
            </w:r>
          </w:p>
          <w:p w14:paraId="2C98EF8A" w14:textId="77777777" w:rsidR="007E4847" w:rsidRPr="007F2045" w:rsidRDefault="007E4847" w:rsidP="001B5728">
            <w:pPr>
              <w:pStyle w:val="Prrafodelista"/>
              <w:numPr>
                <w:ilvl w:val="0"/>
                <w:numId w:val="39"/>
              </w:numPr>
              <w:spacing w:line="240" w:lineRule="auto"/>
              <w:rPr>
                <w:rFonts w:ascii="Times New Roman" w:hAnsi="Times New Roman"/>
                <w:color w:val="000000" w:themeColor="text1"/>
                <w:lang w:val="es-CO"/>
              </w:rPr>
            </w:pPr>
            <w:r w:rsidRPr="007F2045">
              <w:rPr>
                <w:rFonts w:ascii="Times New Roman" w:hAnsi="Times New Roman"/>
                <w:i/>
                <w:iCs/>
                <w:color w:val="000000" w:themeColor="text1"/>
                <w:lang w:val="es-CO"/>
              </w:rPr>
              <w:t>Escenario 2:</w:t>
            </w:r>
            <w:r w:rsidRPr="007F2045">
              <w:rPr>
                <w:rFonts w:ascii="Times New Roman" w:hAnsi="Times New Roman"/>
                <w:color w:val="000000" w:themeColor="text1"/>
                <w:lang w:val="es-CO"/>
              </w:rPr>
              <w:t xml:space="preserve"> se suspende la norma y luego ésta es declarada exequible. </w:t>
            </w:r>
          </w:p>
          <w:p w14:paraId="022A4DA4" w14:textId="77777777" w:rsidR="00CE433C" w:rsidRPr="007F2045" w:rsidRDefault="00CE433C" w:rsidP="001B5728">
            <w:pPr>
              <w:tabs>
                <w:tab w:val="left" w:pos="426"/>
                <w:tab w:val="left" w:pos="567"/>
              </w:tabs>
              <w:spacing w:line="240" w:lineRule="auto"/>
              <w:rPr>
                <w:rFonts w:ascii="Times New Roman" w:hAnsi="Times New Roman"/>
                <w:color w:val="000000" w:themeColor="text1"/>
                <w:lang w:val="es-CO"/>
              </w:rPr>
            </w:pPr>
          </w:p>
          <w:p w14:paraId="2BF12B27" w14:textId="77777777" w:rsidR="007E4847" w:rsidRPr="007F2045" w:rsidRDefault="007E4847" w:rsidP="001B5728">
            <w:pPr>
              <w:tabs>
                <w:tab w:val="left" w:pos="426"/>
                <w:tab w:val="left" w:pos="567"/>
              </w:tabs>
              <w:spacing w:line="240" w:lineRule="auto"/>
              <w:rPr>
                <w:rFonts w:ascii="Times New Roman" w:hAnsi="Times New Roman"/>
                <w:color w:val="000000" w:themeColor="text1"/>
                <w:lang w:val="es-CO"/>
              </w:rPr>
            </w:pPr>
            <w:r w:rsidRPr="007F2045">
              <w:rPr>
                <w:rFonts w:ascii="Times New Roman" w:hAnsi="Times New Roman"/>
                <w:color w:val="000000" w:themeColor="text1"/>
                <w:lang w:val="es-CO"/>
              </w:rPr>
              <w:t>A partir de esta comparación, la Corte deberá analizar:</w:t>
            </w:r>
          </w:p>
          <w:p w14:paraId="5E112ED7" w14:textId="77777777" w:rsidR="007E4847" w:rsidRPr="007F2045" w:rsidRDefault="007E4847" w:rsidP="001B5728">
            <w:pPr>
              <w:tabs>
                <w:tab w:val="left" w:pos="426"/>
                <w:tab w:val="left" w:pos="567"/>
              </w:tabs>
              <w:spacing w:line="240" w:lineRule="auto"/>
              <w:rPr>
                <w:rFonts w:ascii="Times New Roman" w:hAnsi="Times New Roman"/>
                <w:color w:val="000000" w:themeColor="text1"/>
                <w:lang w:val="es-CO"/>
              </w:rPr>
            </w:pPr>
          </w:p>
          <w:p w14:paraId="543EDD60" w14:textId="77777777" w:rsidR="007E4847" w:rsidRPr="007F2045" w:rsidRDefault="007E4847" w:rsidP="001B5728">
            <w:pPr>
              <w:pStyle w:val="Prrafodelista"/>
              <w:numPr>
                <w:ilvl w:val="0"/>
                <w:numId w:val="39"/>
              </w:numPr>
              <w:spacing w:line="240" w:lineRule="auto"/>
              <w:rPr>
                <w:rFonts w:ascii="Times New Roman" w:hAnsi="Times New Roman"/>
                <w:color w:val="000000" w:themeColor="text1"/>
                <w:lang w:val="es-CO"/>
              </w:rPr>
            </w:pPr>
            <w:r w:rsidRPr="007F2045">
              <w:rPr>
                <w:rFonts w:ascii="Times New Roman" w:hAnsi="Times New Roman"/>
                <w:color w:val="000000" w:themeColor="text1"/>
                <w:lang w:val="es-CO"/>
              </w:rPr>
              <w:t xml:space="preserve"> ¿En cuál escenario las consecuencias serían más graves desde el punto de vista constitucional y de gravedad de los efectos? </w:t>
            </w:r>
          </w:p>
          <w:p w14:paraId="0ABF7B9A" w14:textId="77777777" w:rsidR="007E4847" w:rsidRPr="007F2045" w:rsidRDefault="007E4847" w:rsidP="001B5728">
            <w:pPr>
              <w:pStyle w:val="Prrafodelista"/>
              <w:tabs>
                <w:tab w:val="left" w:pos="426"/>
                <w:tab w:val="left" w:pos="567"/>
              </w:tabs>
              <w:spacing w:line="240" w:lineRule="auto"/>
              <w:ind w:left="0"/>
              <w:rPr>
                <w:rFonts w:ascii="Times New Roman" w:hAnsi="Times New Roman"/>
                <w:color w:val="000000" w:themeColor="text1"/>
                <w:lang w:val="es-CO"/>
              </w:rPr>
            </w:pPr>
          </w:p>
          <w:p w14:paraId="6EF5809C" w14:textId="77777777" w:rsidR="007E4847" w:rsidRPr="007F2045" w:rsidRDefault="007E4847" w:rsidP="001B5728">
            <w:pPr>
              <w:pStyle w:val="Prrafodelista"/>
              <w:tabs>
                <w:tab w:val="left" w:pos="426"/>
                <w:tab w:val="left" w:pos="567"/>
              </w:tabs>
              <w:spacing w:line="240" w:lineRule="auto"/>
              <w:ind w:left="0"/>
              <w:rPr>
                <w:rFonts w:ascii="Times New Roman" w:hAnsi="Times New Roman"/>
                <w:i/>
                <w:iCs/>
                <w:color w:val="000000" w:themeColor="text1"/>
                <w:lang w:val="es-CO"/>
              </w:rPr>
            </w:pPr>
            <w:r w:rsidRPr="007F2045">
              <w:rPr>
                <w:rFonts w:ascii="Times New Roman" w:hAnsi="Times New Roman"/>
                <w:i/>
                <w:iCs/>
                <w:color w:val="000000" w:themeColor="text1"/>
                <w:lang w:val="es-CO"/>
              </w:rPr>
              <w:lastRenderedPageBreak/>
              <w:t>Regla:</w:t>
            </w:r>
          </w:p>
          <w:p w14:paraId="5B53CD51" w14:textId="77777777" w:rsidR="00FD07D7" w:rsidRPr="007F2045" w:rsidRDefault="00FD07D7" w:rsidP="001B5728">
            <w:pPr>
              <w:pStyle w:val="Prrafodelista"/>
              <w:tabs>
                <w:tab w:val="left" w:pos="426"/>
                <w:tab w:val="left" w:pos="567"/>
              </w:tabs>
              <w:spacing w:line="240" w:lineRule="auto"/>
              <w:ind w:left="0"/>
              <w:rPr>
                <w:rFonts w:ascii="Times New Roman" w:hAnsi="Times New Roman"/>
                <w:i/>
                <w:iCs/>
                <w:color w:val="000000" w:themeColor="text1"/>
                <w:lang w:val="es-CO"/>
              </w:rPr>
            </w:pPr>
          </w:p>
          <w:p w14:paraId="38F884F4" w14:textId="77777777" w:rsidR="007E4847" w:rsidRPr="007F2045" w:rsidRDefault="007E4847" w:rsidP="001B5728">
            <w:pPr>
              <w:pStyle w:val="Prrafodelista"/>
              <w:numPr>
                <w:ilvl w:val="0"/>
                <w:numId w:val="39"/>
              </w:numPr>
              <w:spacing w:line="240" w:lineRule="auto"/>
              <w:rPr>
                <w:rFonts w:ascii="Times New Roman" w:hAnsi="Times New Roman"/>
                <w:color w:val="000000" w:themeColor="text1"/>
                <w:lang w:val="es-CO"/>
              </w:rPr>
            </w:pPr>
            <w:r w:rsidRPr="007F2045">
              <w:rPr>
                <w:rFonts w:ascii="Times New Roman" w:hAnsi="Times New Roman"/>
                <w:color w:val="000000" w:themeColor="text1"/>
                <w:lang w:val="es-CO"/>
              </w:rPr>
              <w:t>La suspensión provisional solo podrá decretarse cuando los perjuicios que se anticipa podrían derivarse de no suspender la norma –si esta resulta finalmente inexequible</w:t>
            </w:r>
            <w:r w:rsidR="00AB34F8" w:rsidRPr="007F2045">
              <w:rPr>
                <w:rFonts w:ascii="Times New Roman" w:hAnsi="Times New Roman"/>
                <w:color w:val="000000" w:themeColor="text1"/>
                <w:lang w:val="es-CO"/>
              </w:rPr>
              <w:t>–</w:t>
            </w:r>
            <w:r w:rsidRPr="007F2045">
              <w:rPr>
                <w:rFonts w:ascii="Times New Roman" w:hAnsi="Times New Roman"/>
                <w:color w:val="000000" w:themeColor="text1"/>
                <w:lang w:val="es-CO"/>
              </w:rPr>
              <w:t xml:space="preserve"> sean más graves que los que se derivarían de suspenderla –si luego es declarada exequible</w:t>
            </w:r>
            <w:r w:rsidR="00AB34F8" w:rsidRPr="007F2045">
              <w:rPr>
                <w:rFonts w:ascii="Times New Roman" w:hAnsi="Times New Roman"/>
                <w:color w:val="000000" w:themeColor="text1"/>
                <w:lang w:val="es-CO"/>
              </w:rPr>
              <w:t>–</w:t>
            </w:r>
            <w:r w:rsidRPr="007F2045">
              <w:rPr>
                <w:rFonts w:ascii="Times New Roman" w:hAnsi="Times New Roman"/>
                <w:color w:val="000000" w:themeColor="text1"/>
                <w:lang w:val="es-CO"/>
              </w:rPr>
              <w:t>.</w:t>
            </w:r>
          </w:p>
          <w:p w14:paraId="31114707" w14:textId="77777777" w:rsidR="007E4847" w:rsidRPr="007F2045" w:rsidRDefault="007E4847" w:rsidP="001B5728">
            <w:pPr>
              <w:pStyle w:val="Prrafodelista"/>
              <w:numPr>
                <w:ilvl w:val="0"/>
                <w:numId w:val="39"/>
              </w:numPr>
              <w:spacing w:line="240" w:lineRule="auto"/>
              <w:rPr>
                <w:rFonts w:ascii="Times New Roman" w:hAnsi="Times New Roman"/>
                <w:color w:val="000000" w:themeColor="text1"/>
                <w:lang w:val="es-CO"/>
              </w:rPr>
            </w:pPr>
            <w:r w:rsidRPr="007F2045">
              <w:rPr>
                <w:rFonts w:ascii="Times New Roman" w:hAnsi="Times New Roman"/>
                <w:color w:val="000000" w:themeColor="text1"/>
                <w:lang w:val="es-CO"/>
              </w:rPr>
              <w:t>Si los perjuicios que se anticipan en ambos escenarios presentan un peso equivalente o genera</w:t>
            </w:r>
            <w:r w:rsidR="00F80783" w:rsidRPr="007F2045">
              <w:rPr>
                <w:rFonts w:ascii="Times New Roman" w:hAnsi="Times New Roman"/>
                <w:color w:val="000000" w:themeColor="text1"/>
                <w:lang w:val="es-CO"/>
              </w:rPr>
              <w:t>n</w:t>
            </w:r>
            <w:r w:rsidRPr="007F2045">
              <w:rPr>
                <w:rFonts w:ascii="Times New Roman" w:hAnsi="Times New Roman"/>
                <w:color w:val="000000" w:themeColor="text1"/>
                <w:lang w:val="es-CO"/>
              </w:rPr>
              <w:t xml:space="preserve"> una duda razonable, debe mantenerse la vigencia de la norma hasta la sentencia definitiva.  </w:t>
            </w:r>
          </w:p>
          <w:p w14:paraId="7EDEAED5" w14:textId="77777777" w:rsidR="00C043C2" w:rsidRPr="007F2045" w:rsidRDefault="00C043C2" w:rsidP="001B5728">
            <w:pPr>
              <w:pStyle w:val="Prrafodelista"/>
              <w:spacing w:line="240" w:lineRule="auto"/>
              <w:rPr>
                <w:rFonts w:ascii="Times New Roman" w:hAnsi="Times New Roman"/>
                <w:color w:val="000000" w:themeColor="text1"/>
                <w:lang w:val="es-CO"/>
              </w:rPr>
            </w:pPr>
          </w:p>
        </w:tc>
      </w:tr>
    </w:tbl>
    <w:p w14:paraId="78671C89" w14:textId="77777777" w:rsidR="005F6D8B" w:rsidRPr="007F2045" w:rsidRDefault="005F6D8B" w:rsidP="001B5728">
      <w:pPr>
        <w:spacing w:after="0" w:line="240" w:lineRule="auto"/>
        <w:rPr>
          <w:rFonts w:ascii="Times New Roman" w:hAnsi="Times New Roman"/>
          <w:sz w:val="28"/>
          <w:szCs w:val="28"/>
          <w:lang w:val="es-CO"/>
        </w:rPr>
      </w:pPr>
    </w:p>
    <w:p w14:paraId="26BE9B9F" w14:textId="77777777" w:rsidR="0082062B" w:rsidRPr="007F2045" w:rsidRDefault="007E4847"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E</w:t>
      </w:r>
      <w:r w:rsidR="00D67CCE" w:rsidRPr="007F2045">
        <w:rPr>
          <w:rFonts w:ascii="Times New Roman" w:hAnsi="Times New Roman"/>
          <w:sz w:val="28"/>
          <w:szCs w:val="28"/>
          <w:lang w:val="es-CO"/>
        </w:rPr>
        <w:t>l</w:t>
      </w:r>
      <w:r w:rsidR="00ED4791" w:rsidRPr="007F2045">
        <w:rPr>
          <w:rFonts w:ascii="Times New Roman" w:hAnsi="Times New Roman"/>
          <w:sz w:val="28"/>
          <w:szCs w:val="28"/>
          <w:lang w:val="es-CO"/>
        </w:rPr>
        <w:t xml:space="preserve"> examen</w:t>
      </w:r>
      <w:r w:rsidR="00D67CCE" w:rsidRPr="007F2045">
        <w:rPr>
          <w:rFonts w:ascii="Times New Roman" w:hAnsi="Times New Roman"/>
          <w:sz w:val="28"/>
          <w:szCs w:val="28"/>
          <w:lang w:val="es-CO"/>
        </w:rPr>
        <w:t xml:space="preserve"> anunciado introduce</w:t>
      </w:r>
      <w:r w:rsidR="00107525" w:rsidRPr="007F2045">
        <w:rPr>
          <w:rFonts w:ascii="Times New Roman" w:hAnsi="Times New Roman"/>
          <w:sz w:val="28"/>
          <w:szCs w:val="28"/>
          <w:lang w:val="es-CO"/>
        </w:rPr>
        <w:t xml:space="preserve"> vari</w:t>
      </w:r>
      <w:r w:rsidR="00ED4791" w:rsidRPr="007F2045">
        <w:rPr>
          <w:rFonts w:ascii="Times New Roman" w:hAnsi="Times New Roman"/>
          <w:sz w:val="28"/>
          <w:szCs w:val="28"/>
          <w:lang w:val="es-CO"/>
        </w:rPr>
        <w:t>o</w:t>
      </w:r>
      <w:r w:rsidR="00107525" w:rsidRPr="007F2045">
        <w:rPr>
          <w:rFonts w:ascii="Times New Roman" w:hAnsi="Times New Roman"/>
          <w:sz w:val="28"/>
          <w:szCs w:val="28"/>
          <w:lang w:val="es-CO"/>
        </w:rPr>
        <w:t>s</w:t>
      </w:r>
      <w:r w:rsidR="00ED4791" w:rsidRPr="007F2045">
        <w:rPr>
          <w:rFonts w:ascii="Times New Roman" w:hAnsi="Times New Roman"/>
          <w:sz w:val="28"/>
          <w:szCs w:val="28"/>
          <w:lang w:val="es-CO"/>
        </w:rPr>
        <w:t xml:space="preserve"> ajustes</w:t>
      </w:r>
      <w:r w:rsidR="00613C83" w:rsidRPr="007F2045">
        <w:rPr>
          <w:rFonts w:ascii="Times New Roman" w:hAnsi="Times New Roman"/>
          <w:sz w:val="28"/>
          <w:szCs w:val="28"/>
          <w:lang w:val="es-CO"/>
        </w:rPr>
        <w:t xml:space="preserve"> a la metodología utilizada en el auto 272 de 2023</w:t>
      </w:r>
      <w:r w:rsidR="00107525" w:rsidRPr="007F2045">
        <w:rPr>
          <w:rFonts w:ascii="Times New Roman" w:hAnsi="Times New Roman"/>
          <w:sz w:val="28"/>
          <w:szCs w:val="28"/>
          <w:lang w:val="es-CO"/>
        </w:rPr>
        <w:t xml:space="preserve"> </w:t>
      </w:r>
      <w:r w:rsidR="00ED4791" w:rsidRPr="007F2045">
        <w:rPr>
          <w:rFonts w:ascii="Times New Roman" w:hAnsi="Times New Roman"/>
          <w:sz w:val="28"/>
          <w:szCs w:val="28"/>
          <w:lang w:val="es-CO"/>
        </w:rPr>
        <w:t>que, en todo caso</w:t>
      </w:r>
      <w:r w:rsidR="00DE4241" w:rsidRPr="007F2045">
        <w:rPr>
          <w:rFonts w:ascii="Times New Roman" w:hAnsi="Times New Roman"/>
          <w:sz w:val="28"/>
          <w:szCs w:val="28"/>
          <w:lang w:val="es-CO"/>
        </w:rPr>
        <w:t>, concuerda</w:t>
      </w:r>
      <w:r w:rsidR="00E97158" w:rsidRPr="007F2045">
        <w:rPr>
          <w:rFonts w:ascii="Times New Roman" w:hAnsi="Times New Roman"/>
          <w:sz w:val="28"/>
          <w:szCs w:val="28"/>
          <w:lang w:val="es-CO"/>
        </w:rPr>
        <w:t>n</w:t>
      </w:r>
      <w:r w:rsidR="00ED4791" w:rsidRPr="007F2045">
        <w:rPr>
          <w:rFonts w:ascii="Times New Roman" w:hAnsi="Times New Roman"/>
          <w:sz w:val="28"/>
          <w:szCs w:val="28"/>
          <w:lang w:val="es-CO"/>
        </w:rPr>
        <w:t xml:space="preserve"> con </w:t>
      </w:r>
      <w:r w:rsidR="00613C83" w:rsidRPr="007F2045">
        <w:rPr>
          <w:rFonts w:ascii="Times New Roman" w:hAnsi="Times New Roman"/>
          <w:sz w:val="28"/>
          <w:szCs w:val="28"/>
          <w:lang w:val="es-CO"/>
        </w:rPr>
        <w:t xml:space="preserve">sus </w:t>
      </w:r>
      <w:r w:rsidR="00E8677B" w:rsidRPr="007F2045">
        <w:rPr>
          <w:rFonts w:ascii="Times New Roman" w:hAnsi="Times New Roman"/>
          <w:sz w:val="28"/>
          <w:szCs w:val="28"/>
          <w:lang w:val="es-CO"/>
        </w:rPr>
        <w:t>fundamentos</w:t>
      </w:r>
      <w:r w:rsidR="00747C06" w:rsidRPr="007F2045">
        <w:rPr>
          <w:rFonts w:ascii="Times New Roman" w:hAnsi="Times New Roman"/>
          <w:sz w:val="28"/>
          <w:szCs w:val="28"/>
          <w:lang w:val="es-CO"/>
        </w:rPr>
        <w:t xml:space="preserve"> constitucionales</w:t>
      </w:r>
      <w:r w:rsidR="00613C83" w:rsidRPr="007F2045">
        <w:rPr>
          <w:rFonts w:ascii="Times New Roman" w:hAnsi="Times New Roman"/>
          <w:sz w:val="28"/>
          <w:szCs w:val="28"/>
          <w:lang w:val="es-CO"/>
        </w:rPr>
        <w:t xml:space="preserve">. En particular, </w:t>
      </w:r>
      <w:r w:rsidR="00BC4838" w:rsidRPr="007F2045">
        <w:rPr>
          <w:rFonts w:ascii="Times New Roman" w:hAnsi="Times New Roman"/>
          <w:sz w:val="28"/>
          <w:szCs w:val="28"/>
          <w:lang w:val="es-CO"/>
        </w:rPr>
        <w:t xml:space="preserve">el juicio que aquí se anuncia </w:t>
      </w:r>
      <w:r w:rsidR="008C5BC3" w:rsidRPr="007F2045">
        <w:rPr>
          <w:rFonts w:ascii="Times New Roman" w:hAnsi="Times New Roman"/>
          <w:sz w:val="28"/>
          <w:szCs w:val="28"/>
          <w:lang w:val="es-CO"/>
        </w:rPr>
        <w:t xml:space="preserve">ratifica y consolida </w:t>
      </w:r>
      <w:r w:rsidR="000415D6" w:rsidRPr="007F2045">
        <w:rPr>
          <w:rFonts w:ascii="Times New Roman" w:hAnsi="Times New Roman"/>
          <w:sz w:val="28"/>
          <w:szCs w:val="28"/>
          <w:lang w:val="es-CO"/>
        </w:rPr>
        <w:t xml:space="preserve">el carácter cautelar de la suspensión provisional, como </w:t>
      </w:r>
      <w:r w:rsidR="004D64D0" w:rsidRPr="007F2045">
        <w:rPr>
          <w:rFonts w:ascii="Times New Roman" w:hAnsi="Times New Roman"/>
          <w:sz w:val="28"/>
          <w:szCs w:val="28"/>
          <w:lang w:val="es-CO"/>
        </w:rPr>
        <w:t>medida</w:t>
      </w:r>
      <w:r w:rsidR="00BC4838" w:rsidRPr="007F2045">
        <w:rPr>
          <w:rFonts w:ascii="Times New Roman" w:hAnsi="Times New Roman"/>
          <w:sz w:val="28"/>
          <w:szCs w:val="28"/>
          <w:lang w:val="es-CO"/>
        </w:rPr>
        <w:t xml:space="preserve"> </w:t>
      </w:r>
      <w:r w:rsidR="00340DF4" w:rsidRPr="007F2045">
        <w:rPr>
          <w:rFonts w:ascii="Times New Roman" w:hAnsi="Times New Roman"/>
          <w:sz w:val="28"/>
          <w:szCs w:val="28"/>
          <w:lang w:val="es-CO"/>
        </w:rPr>
        <w:t>procesal preventiva</w:t>
      </w:r>
      <w:r w:rsidR="00F6476C" w:rsidRPr="007F2045">
        <w:rPr>
          <w:rFonts w:ascii="Times New Roman" w:hAnsi="Times New Roman"/>
          <w:sz w:val="28"/>
          <w:szCs w:val="28"/>
          <w:lang w:val="es-CO"/>
        </w:rPr>
        <w:t xml:space="preserve"> y excepcional</w:t>
      </w:r>
      <w:r w:rsidR="00340DF4" w:rsidRPr="007F2045">
        <w:rPr>
          <w:rFonts w:ascii="Times New Roman" w:hAnsi="Times New Roman"/>
          <w:sz w:val="28"/>
          <w:szCs w:val="28"/>
          <w:lang w:val="es-CO"/>
        </w:rPr>
        <w:t xml:space="preserve">, </w:t>
      </w:r>
      <w:r w:rsidR="00422B59" w:rsidRPr="007F2045">
        <w:rPr>
          <w:rFonts w:ascii="Times New Roman" w:hAnsi="Times New Roman"/>
          <w:sz w:val="28"/>
          <w:szCs w:val="28"/>
          <w:lang w:val="es-CO"/>
        </w:rPr>
        <w:t xml:space="preserve">destinada a </w:t>
      </w:r>
      <w:r w:rsidR="00874D67" w:rsidRPr="007F2045">
        <w:rPr>
          <w:rFonts w:ascii="Times New Roman" w:hAnsi="Times New Roman"/>
          <w:sz w:val="28"/>
          <w:szCs w:val="28"/>
          <w:lang w:val="es-CO"/>
        </w:rPr>
        <w:t>impedir la consolidación de efectos graves</w:t>
      </w:r>
      <w:r w:rsidR="005600CD" w:rsidRPr="007F2045">
        <w:rPr>
          <w:rFonts w:ascii="Times New Roman" w:hAnsi="Times New Roman"/>
          <w:sz w:val="28"/>
          <w:szCs w:val="28"/>
          <w:lang w:val="es-CO"/>
        </w:rPr>
        <w:t xml:space="preserve"> desde la perspectiva constitucional</w:t>
      </w:r>
      <w:r w:rsidR="00874D67" w:rsidRPr="007F2045">
        <w:rPr>
          <w:rFonts w:ascii="Times New Roman" w:hAnsi="Times New Roman"/>
          <w:sz w:val="28"/>
          <w:szCs w:val="28"/>
          <w:lang w:val="es-CO"/>
        </w:rPr>
        <w:t xml:space="preserve">, irreversibles o difíciles de retrotraer. </w:t>
      </w:r>
    </w:p>
    <w:p w14:paraId="7964F34E" w14:textId="77777777" w:rsidR="0082062B" w:rsidRPr="007F2045" w:rsidRDefault="0082062B" w:rsidP="001B5728">
      <w:pPr>
        <w:pStyle w:val="Prrafodelista"/>
        <w:tabs>
          <w:tab w:val="left" w:pos="426"/>
          <w:tab w:val="left" w:pos="567"/>
        </w:tabs>
        <w:spacing w:after="0" w:line="240" w:lineRule="auto"/>
        <w:ind w:left="0"/>
        <w:rPr>
          <w:rFonts w:ascii="Times New Roman" w:hAnsi="Times New Roman"/>
          <w:sz w:val="28"/>
          <w:szCs w:val="28"/>
          <w:lang w:val="es-CO"/>
        </w:rPr>
      </w:pPr>
    </w:p>
    <w:p w14:paraId="30D701A8" w14:textId="77777777" w:rsidR="00E01579" w:rsidRPr="007F2045" w:rsidRDefault="00FB0415"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Al respecto, el auto 272 de 2023 introdujo </w:t>
      </w:r>
      <w:r w:rsidR="004B0DC9" w:rsidRPr="007F2045">
        <w:rPr>
          <w:rFonts w:ascii="Times New Roman" w:hAnsi="Times New Roman"/>
          <w:sz w:val="28"/>
          <w:szCs w:val="28"/>
          <w:lang w:val="es-CO"/>
        </w:rPr>
        <w:t>de forma implícita</w:t>
      </w:r>
      <w:r w:rsidR="00771BD9" w:rsidRPr="007F2045">
        <w:rPr>
          <w:rFonts w:ascii="Times New Roman" w:hAnsi="Times New Roman"/>
          <w:sz w:val="28"/>
          <w:szCs w:val="28"/>
          <w:lang w:val="es-CO"/>
        </w:rPr>
        <w:t xml:space="preserve"> estos criterios</w:t>
      </w:r>
      <w:r w:rsidR="00D54180" w:rsidRPr="007F2045">
        <w:rPr>
          <w:rFonts w:ascii="Times New Roman" w:hAnsi="Times New Roman"/>
          <w:sz w:val="28"/>
          <w:szCs w:val="28"/>
          <w:lang w:val="es-CO"/>
        </w:rPr>
        <w:t>, al establecer que la</w:t>
      </w:r>
      <w:r w:rsidR="008F2F0D" w:rsidRPr="007F2045">
        <w:rPr>
          <w:rFonts w:ascii="Times New Roman" w:hAnsi="Times New Roman"/>
          <w:sz w:val="28"/>
          <w:szCs w:val="28"/>
          <w:lang w:val="es-CO"/>
        </w:rPr>
        <w:t xml:space="preserve"> aplicación de la norma debía tener la potencialidad de producir un efecto irremediable o eludir el control de constitucionalidad,</w:t>
      </w:r>
      <w:r w:rsidR="00F93B1B" w:rsidRPr="007F2045">
        <w:rPr>
          <w:rFonts w:ascii="Times New Roman" w:hAnsi="Times New Roman"/>
          <w:sz w:val="28"/>
          <w:szCs w:val="28"/>
          <w:lang w:val="es-CO"/>
        </w:rPr>
        <w:t xml:space="preserve"> y que su suspensión provisional </w:t>
      </w:r>
      <w:r w:rsidR="00D54180" w:rsidRPr="007F2045">
        <w:rPr>
          <w:rFonts w:ascii="Times New Roman" w:hAnsi="Times New Roman"/>
          <w:sz w:val="28"/>
          <w:szCs w:val="28"/>
          <w:lang w:val="es-CO"/>
        </w:rPr>
        <w:t>debía ser imperativa para proteger bienes constitucionales valiosos</w:t>
      </w:r>
      <w:r w:rsidR="00BD4208" w:rsidRPr="007F2045">
        <w:rPr>
          <w:rFonts w:ascii="Times New Roman" w:hAnsi="Times New Roman"/>
          <w:sz w:val="28"/>
          <w:szCs w:val="28"/>
          <w:lang w:val="es-CO"/>
        </w:rPr>
        <w:t xml:space="preserve"> o para</w:t>
      </w:r>
      <w:r w:rsidR="00D54180" w:rsidRPr="007F2045">
        <w:rPr>
          <w:rFonts w:ascii="Times New Roman" w:hAnsi="Times New Roman"/>
          <w:sz w:val="28"/>
          <w:szCs w:val="28"/>
          <w:lang w:val="es-CO"/>
        </w:rPr>
        <w:t xml:space="preserve"> no afectar de manera desproporcionada algún contenido del </w:t>
      </w:r>
      <w:r w:rsidR="007568BC" w:rsidRPr="007F2045">
        <w:rPr>
          <w:rFonts w:ascii="Times New Roman" w:hAnsi="Times New Roman"/>
          <w:sz w:val="28"/>
          <w:szCs w:val="28"/>
          <w:lang w:val="es-CO"/>
        </w:rPr>
        <w:t>Texto Superior</w:t>
      </w:r>
      <w:r w:rsidR="00B35542" w:rsidRPr="007F2045">
        <w:rPr>
          <w:rFonts w:ascii="Times New Roman" w:hAnsi="Times New Roman"/>
          <w:sz w:val="28"/>
          <w:szCs w:val="28"/>
          <w:lang w:val="es-CO"/>
        </w:rPr>
        <w:t>, y superar el test estricto de prop</w:t>
      </w:r>
      <w:r w:rsidR="002F669B" w:rsidRPr="007F2045">
        <w:rPr>
          <w:rFonts w:ascii="Times New Roman" w:hAnsi="Times New Roman"/>
          <w:sz w:val="28"/>
          <w:szCs w:val="28"/>
          <w:lang w:val="es-CO"/>
        </w:rPr>
        <w:t>or</w:t>
      </w:r>
      <w:r w:rsidR="00B35542" w:rsidRPr="007F2045">
        <w:rPr>
          <w:rFonts w:ascii="Times New Roman" w:hAnsi="Times New Roman"/>
          <w:sz w:val="28"/>
          <w:szCs w:val="28"/>
          <w:lang w:val="es-CO"/>
        </w:rPr>
        <w:t xml:space="preserve">cionalidad. Ahora, con la jurisprudencia anunciada, </w:t>
      </w:r>
      <w:r w:rsidR="00BD4208" w:rsidRPr="007F2045">
        <w:rPr>
          <w:rFonts w:ascii="Times New Roman" w:hAnsi="Times New Roman"/>
          <w:sz w:val="28"/>
          <w:szCs w:val="28"/>
          <w:lang w:val="es-CO"/>
        </w:rPr>
        <w:t xml:space="preserve">los criterios de gravedad e irreversibilidad </w:t>
      </w:r>
      <w:r w:rsidR="0082062B" w:rsidRPr="007F2045">
        <w:rPr>
          <w:rFonts w:ascii="Times New Roman" w:hAnsi="Times New Roman"/>
          <w:sz w:val="28"/>
          <w:szCs w:val="28"/>
          <w:lang w:val="es-CO"/>
        </w:rPr>
        <w:t xml:space="preserve">de los efectos de la aplicación de la norma </w:t>
      </w:r>
      <w:r w:rsidR="00BD4208" w:rsidRPr="007F2045">
        <w:rPr>
          <w:rFonts w:ascii="Times New Roman" w:hAnsi="Times New Roman"/>
          <w:sz w:val="28"/>
          <w:szCs w:val="28"/>
          <w:lang w:val="es-CO"/>
        </w:rPr>
        <w:t xml:space="preserve">se </w:t>
      </w:r>
      <w:r w:rsidR="001759F0" w:rsidRPr="007F2045">
        <w:rPr>
          <w:rFonts w:ascii="Times New Roman" w:hAnsi="Times New Roman"/>
          <w:sz w:val="28"/>
          <w:szCs w:val="28"/>
          <w:lang w:val="es-CO"/>
        </w:rPr>
        <w:t>introducen de una forma más explícita</w:t>
      </w:r>
      <w:r w:rsidR="00585850" w:rsidRPr="007F2045">
        <w:rPr>
          <w:rFonts w:ascii="Times New Roman" w:hAnsi="Times New Roman"/>
          <w:sz w:val="28"/>
          <w:szCs w:val="28"/>
          <w:lang w:val="es-CO"/>
        </w:rPr>
        <w:t xml:space="preserve">, pues </w:t>
      </w:r>
      <w:r w:rsidR="00B168C7" w:rsidRPr="007F2045">
        <w:rPr>
          <w:rFonts w:ascii="Times New Roman" w:hAnsi="Times New Roman"/>
          <w:sz w:val="28"/>
          <w:szCs w:val="28"/>
          <w:lang w:val="es-CO"/>
        </w:rPr>
        <w:t xml:space="preserve">el segundo paso </w:t>
      </w:r>
      <w:r w:rsidR="00D33E1A" w:rsidRPr="007F2045">
        <w:rPr>
          <w:rFonts w:ascii="Times New Roman" w:hAnsi="Times New Roman"/>
          <w:sz w:val="28"/>
          <w:szCs w:val="28"/>
          <w:lang w:val="es-CO"/>
        </w:rPr>
        <w:t xml:space="preserve">constituye </w:t>
      </w:r>
      <w:r w:rsidR="00B168C7" w:rsidRPr="007F2045">
        <w:rPr>
          <w:rFonts w:ascii="Times New Roman" w:hAnsi="Times New Roman"/>
          <w:sz w:val="28"/>
          <w:szCs w:val="28"/>
          <w:lang w:val="es-CO"/>
        </w:rPr>
        <w:t xml:space="preserve">un filtro excluyente que </w:t>
      </w:r>
      <w:r w:rsidR="002837BA" w:rsidRPr="007F2045">
        <w:rPr>
          <w:rFonts w:ascii="Times New Roman" w:hAnsi="Times New Roman"/>
          <w:sz w:val="28"/>
          <w:szCs w:val="28"/>
          <w:lang w:val="es-CO"/>
        </w:rPr>
        <w:t xml:space="preserve">supedita la adopción de la medida a </w:t>
      </w:r>
      <w:r w:rsidR="00D33E1A" w:rsidRPr="007F2045">
        <w:rPr>
          <w:rFonts w:ascii="Times New Roman" w:hAnsi="Times New Roman"/>
          <w:sz w:val="28"/>
          <w:szCs w:val="28"/>
          <w:lang w:val="es-CO"/>
        </w:rPr>
        <w:t>que la aplicación de la norma</w:t>
      </w:r>
      <w:r w:rsidR="002837BA" w:rsidRPr="007F2045">
        <w:rPr>
          <w:rFonts w:ascii="Times New Roman" w:hAnsi="Times New Roman"/>
          <w:sz w:val="28"/>
          <w:szCs w:val="28"/>
          <w:lang w:val="es-CO"/>
        </w:rPr>
        <w:t xml:space="preserve"> produ</w:t>
      </w:r>
      <w:r w:rsidR="00D33E1A" w:rsidRPr="007F2045">
        <w:rPr>
          <w:rFonts w:ascii="Times New Roman" w:hAnsi="Times New Roman"/>
          <w:sz w:val="28"/>
          <w:szCs w:val="28"/>
          <w:lang w:val="es-CO"/>
        </w:rPr>
        <w:t>zca</w:t>
      </w:r>
      <w:r w:rsidR="002837BA" w:rsidRPr="007F2045">
        <w:rPr>
          <w:rFonts w:ascii="Times New Roman" w:hAnsi="Times New Roman"/>
          <w:sz w:val="28"/>
          <w:szCs w:val="28"/>
          <w:lang w:val="es-CO"/>
        </w:rPr>
        <w:t xml:space="preserve"> consecuencias de tal importancia </w:t>
      </w:r>
      <w:r w:rsidR="00DB39C4" w:rsidRPr="007F2045">
        <w:rPr>
          <w:rFonts w:ascii="Times New Roman" w:hAnsi="Times New Roman"/>
          <w:sz w:val="28"/>
          <w:szCs w:val="28"/>
          <w:lang w:val="es-CO"/>
        </w:rPr>
        <w:t>que</w:t>
      </w:r>
      <w:r w:rsidR="006A561A" w:rsidRPr="007F2045">
        <w:rPr>
          <w:rFonts w:ascii="Times New Roman" w:hAnsi="Times New Roman"/>
          <w:sz w:val="28"/>
          <w:szCs w:val="28"/>
          <w:lang w:val="es-CO"/>
        </w:rPr>
        <w:t xml:space="preserve"> </w:t>
      </w:r>
      <w:r w:rsidR="00D37B64" w:rsidRPr="007F2045">
        <w:rPr>
          <w:rFonts w:ascii="Times New Roman" w:hAnsi="Times New Roman"/>
          <w:sz w:val="28"/>
          <w:szCs w:val="28"/>
          <w:lang w:val="es-CO"/>
        </w:rPr>
        <w:t xml:space="preserve">vuelvan ineficaz el control de constitucionalidad. </w:t>
      </w:r>
    </w:p>
    <w:p w14:paraId="4367497F" w14:textId="77777777" w:rsidR="00E01579" w:rsidRPr="007F2045" w:rsidRDefault="00E01579" w:rsidP="001B5728">
      <w:pPr>
        <w:pStyle w:val="Prrafodelista"/>
        <w:spacing w:after="0" w:line="240" w:lineRule="auto"/>
        <w:rPr>
          <w:rFonts w:ascii="Times New Roman" w:hAnsi="Times New Roman"/>
          <w:sz w:val="28"/>
          <w:szCs w:val="28"/>
          <w:lang w:val="es-CO"/>
        </w:rPr>
      </w:pPr>
    </w:p>
    <w:p w14:paraId="6C7B6134" w14:textId="77777777" w:rsidR="00104D20" w:rsidRPr="007F2045" w:rsidRDefault="00653F7A"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bookmarkStart w:id="12" w:name="OLE_LINK5"/>
      <w:r w:rsidRPr="007F2045">
        <w:rPr>
          <w:rFonts w:ascii="Times New Roman" w:hAnsi="Times New Roman"/>
          <w:sz w:val="28"/>
          <w:szCs w:val="28"/>
          <w:lang w:val="es-CO"/>
        </w:rPr>
        <w:t>A</w:t>
      </w:r>
      <w:r w:rsidR="00276EDE" w:rsidRPr="007F2045">
        <w:rPr>
          <w:rFonts w:ascii="Times New Roman" w:hAnsi="Times New Roman"/>
          <w:sz w:val="28"/>
          <w:szCs w:val="28"/>
          <w:lang w:val="es-CO"/>
        </w:rPr>
        <w:t>simismo</w:t>
      </w:r>
      <w:r w:rsidRPr="007F2045">
        <w:rPr>
          <w:rFonts w:ascii="Times New Roman" w:hAnsi="Times New Roman"/>
          <w:sz w:val="28"/>
          <w:szCs w:val="28"/>
          <w:lang w:val="es-CO"/>
        </w:rPr>
        <w:t>, esos</w:t>
      </w:r>
      <w:r w:rsidR="00D33E1A" w:rsidRPr="007F2045">
        <w:rPr>
          <w:rFonts w:ascii="Times New Roman" w:hAnsi="Times New Roman"/>
          <w:sz w:val="28"/>
          <w:szCs w:val="28"/>
          <w:lang w:val="es-CO"/>
        </w:rPr>
        <w:t xml:space="preserve"> dos</w:t>
      </w:r>
      <w:r w:rsidRPr="007F2045">
        <w:rPr>
          <w:rFonts w:ascii="Times New Roman" w:hAnsi="Times New Roman"/>
          <w:sz w:val="28"/>
          <w:szCs w:val="28"/>
          <w:lang w:val="es-CO"/>
        </w:rPr>
        <w:t xml:space="preserve"> criterios se </w:t>
      </w:r>
      <w:r w:rsidR="001759F0" w:rsidRPr="007F2045">
        <w:rPr>
          <w:rFonts w:ascii="Times New Roman" w:hAnsi="Times New Roman"/>
          <w:sz w:val="28"/>
          <w:szCs w:val="28"/>
          <w:lang w:val="es-CO"/>
        </w:rPr>
        <w:t xml:space="preserve">erigen como el eje del análisis que debe realizar la Corte para evaluar </w:t>
      </w:r>
      <w:r w:rsidR="003168A1" w:rsidRPr="007F2045">
        <w:rPr>
          <w:rFonts w:ascii="Times New Roman" w:hAnsi="Times New Roman"/>
          <w:sz w:val="28"/>
          <w:szCs w:val="28"/>
          <w:lang w:val="es-CO"/>
        </w:rPr>
        <w:t>las solicitudes de suspensión provisional de las normas sometidas a su control</w:t>
      </w:r>
      <w:r w:rsidRPr="007F2045">
        <w:rPr>
          <w:rFonts w:ascii="Times New Roman" w:hAnsi="Times New Roman"/>
          <w:sz w:val="28"/>
          <w:szCs w:val="28"/>
          <w:lang w:val="es-CO"/>
        </w:rPr>
        <w:t xml:space="preserve">, pues se integran en las demás etapas del juicio. Así, </w:t>
      </w:r>
      <w:r w:rsidR="00B96AA6" w:rsidRPr="007F2045">
        <w:rPr>
          <w:rFonts w:ascii="Times New Roman" w:hAnsi="Times New Roman"/>
          <w:sz w:val="28"/>
          <w:szCs w:val="28"/>
          <w:lang w:val="es-CO"/>
        </w:rPr>
        <w:t xml:space="preserve">la verificación de supuestos </w:t>
      </w:r>
      <w:r w:rsidR="008D6D0E" w:rsidRPr="007F2045">
        <w:rPr>
          <w:rFonts w:ascii="Times New Roman" w:hAnsi="Times New Roman"/>
          <w:sz w:val="28"/>
          <w:szCs w:val="28"/>
          <w:lang w:val="es-CO"/>
        </w:rPr>
        <w:t xml:space="preserve">a la que se refiere la primera etapa </w:t>
      </w:r>
      <w:r w:rsidR="00B96AA6" w:rsidRPr="007F2045">
        <w:rPr>
          <w:rFonts w:ascii="Times New Roman" w:hAnsi="Times New Roman"/>
          <w:sz w:val="28"/>
          <w:szCs w:val="28"/>
          <w:lang w:val="es-CO"/>
        </w:rPr>
        <w:t xml:space="preserve">tiene por objeto asegurar que la </w:t>
      </w:r>
      <w:r w:rsidR="007B73B9" w:rsidRPr="007F2045">
        <w:rPr>
          <w:rFonts w:ascii="Times New Roman" w:hAnsi="Times New Roman"/>
          <w:sz w:val="28"/>
          <w:szCs w:val="28"/>
          <w:lang w:val="es-CO"/>
        </w:rPr>
        <w:t xml:space="preserve">medida </w:t>
      </w:r>
      <w:r w:rsidR="007C3F83" w:rsidRPr="007F2045">
        <w:rPr>
          <w:rFonts w:ascii="Times New Roman" w:hAnsi="Times New Roman"/>
          <w:sz w:val="28"/>
          <w:szCs w:val="28"/>
          <w:lang w:val="es-CO"/>
        </w:rPr>
        <w:t>solo proceda cuando</w:t>
      </w:r>
      <w:r w:rsidR="00953878" w:rsidRPr="007F2045">
        <w:rPr>
          <w:rFonts w:ascii="Times New Roman" w:hAnsi="Times New Roman"/>
          <w:sz w:val="28"/>
          <w:szCs w:val="28"/>
          <w:lang w:val="es-CO"/>
        </w:rPr>
        <w:t xml:space="preserve">, </w:t>
      </w:r>
      <w:r w:rsidR="008D6D0E" w:rsidRPr="007F2045">
        <w:rPr>
          <w:rFonts w:ascii="Times New Roman" w:hAnsi="Times New Roman"/>
          <w:sz w:val="28"/>
          <w:szCs w:val="28"/>
          <w:lang w:val="es-CO"/>
        </w:rPr>
        <w:t>preliminarmente</w:t>
      </w:r>
      <w:r w:rsidR="00AB34F8" w:rsidRPr="007F2045">
        <w:rPr>
          <w:rFonts w:ascii="Times New Roman" w:hAnsi="Times New Roman"/>
          <w:sz w:val="28"/>
          <w:szCs w:val="28"/>
          <w:lang w:val="es-CO"/>
        </w:rPr>
        <w:t>,</w:t>
      </w:r>
      <w:r w:rsidR="00E826A1" w:rsidRPr="007F2045">
        <w:rPr>
          <w:rFonts w:ascii="Times New Roman" w:hAnsi="Times New Roman"/>
          <w:sz w:val="28"/>
          <w:szCs w:val="28"/>
          <w:lang w:val="es-CO"/>
        </w:rPr>
        <w:t xml:space="preserve"> exista </w:t>
      </w:r>
      <w:r w:rsidR="00A02ABF" w:rsidRPr="007F2045">
        <w:rPr>
          <w:rFonts w:ascii="Times New Roman" w:hAnsi="Times New Roman"/>
          <w:sz w:val="28"/>
          <w:szCs w:val="28"/>
          <w:lang w:val="es-CO"/>
        </w:rPr>
        <w:t>evidencia seria de que la norma</w:t>
      </w:r>
      <w:r w:rsidR="00D33E1A" w:rsidRPr="007F2045">
        <w:rPr>
          <w:rFonts w:ascii="Times New Roman" w:hAnsi="Times New Roman"/>
          <w:sz w:val="28"/>
          <w:szCs w:val="28"/>
          <w:lang w:val="es-CO"/>
        </w:rPr>
        <w:t xml:space="preserve"> compromete</w:t>
      </w:r>
      <w:r w:rsidR="00A02ABF" w:rsidRPr="007F2045">
        <w:rPr>
          <w:rFonts w:ascii="Times New Roman" w:hAnsi="Times New Roman"/>
          <w:sz w:val="28"/>
          <w:szCs w:val="28"/>
          <w:lang w:val="es-CO"/>
        </w:rPr>
        <w:t xml:space="preserve"> elementos </w:t>
      </w:r>
      <w:r w:rsidR="000C2AB1" w:rsidRPr="007F2045">
        <w:rPr>
          <w:rFonts w:ascii="Times New Roman" w:hAnsi="Times New Roman"/>
          <w:sz w:val="28"/>
          <w:szCs w:val="28"/>
          <w:lang w:val="es-CO"/>
        </w:rPr>
        <w:t xml:space="preserve">de la mayor importancia para el </w:t>
      </w:r>
      <w:r w:rsidR="0047402B" w:rsidRPr="007F2045">
        <w:rPr>
          <w:rFonts w:ascii="Times New Roman" w:hAnsi="Times New Roman"/>
          <w:sz w:val="28"/>
          <w:szCs w:val="28"/>
          <w:lang w:val="es-CO"/>
        </w:rPr>
        <w:t>orden constitucional, a saber</w:t>
      </w:r>
      <w:r w:rsidR="00104D20" w:rsidRPr="007F2045">
        <w:rPr>
          <w:rFonts w:ascii="Times New Roman" w:hAnsi="Times New Roman"/>
          <w:sz w:val="28"/>
          <w:szCs w:val="28"/>
          <w:lang w:val="es-CO"/>
        </w:rPr>
        <w:t xml:space="preserve">, </w:t>
      </w:r>
      <w:r w:rsidR="00E9798A" w:rsidRPr="007F2045">
        <w:rPr>
          <w:rFonts w:ascii="Times New Roman" w:hAnsi="Times New Roman"/>
          <w:sz w:val="28"/>
          <w:szCs w:val="28"/>
          <w:lang w:val="es-CO"/>
        </w:rPr>
        <w:t>la anulación de competencias de alguna de las ramas del poder público; afectaciones intensas de derechos fundamentales, procesos democráticos o libertades públicas; o la elusión del control de constitucionalidad.</w:t>
      </w:r>
      <w:r w:rsidR="009314D7" w:rsidRPr="007F2045">
        <w:rPr>
          <w:rFonts w:ascii="Times New Roman" w:hAnsi="Times New Roman"/>
          <w:sz w:val="28"/>
          <w:szCs w:val="28"/>
          <w:lang w:val="es-CO"/>
        </w:rPr>
        <w:t xml:space="preserve"> </w:t>
      </w:r>
    </w:p>
    <w:bookmarkEnd w:id="12"/>
    <w:p w14:paraId="544D0073" w14:textId="77777777" w:rsidR="009314D7" w:rsidRPr="007F2045" w:rsidRDefault="009314D7" w:rsidP="001B5728">
      <w:pPr>
        <w:pStyle w:val="Prrafodelista"/>
        <w:tabs>
          <w:tab w:val="left" w:pos="284"/>
          <w:tab w:val="left" w:pos="426"/>
        </w:tabs>
        <w:spacing w:after="0" w:line="240" w:lineRule="auto"/>
        <w:ind w:left="0"/>
        <w:rPr>
          <w:rFonts w:ascii="Times New Roman" w:hAnsi="Times New Roman"/>
          <w:sz w:val="28"/>
          <w:szCs w:val="28"/>
          <w:lang w:val="es-CO"/>
        </w:rPr>
      </w:pPr>
    </w:p>
    <w:p w14:paraId="29171FA9" w14:textId="77777777" w:rsidR="00283AB4" w:rsidRPr="007F2045" w:rsidRDefault="007B73B9"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De esa forma, qued</w:t>
      </w:r>
      <w:r w:rsidR="00055AA3" w:rsidRPr="007F2045">
        <w:rPr>
          <w:rFonts w:ascii="Times New Roman" w:hAnsi="Times New Roman"/>
          <w:sz w:val="28"/>
          <w:szCs w:val="28"/>
          <w:lang w:val="es-CO"/>
        </w:rPr>
        <w:t>a</w:t>
      </w:r>
      <w:r w:rsidRPr="007F2045">
        <w:rPr>
          <w:rFonts w:ascii="Times New Roman" w:hAnsi="Times New Roman"/>
          <w:sz w:val="28"/>
          <w:szCs w:val="28"/>
          <w:lang w:val="es-CO"/>
        </w:rPr>
        <w:t xml:space="preserve"> claro que la suspensión provisional está dirigida a garantizar la plena vigencia de los derechos fundamentales y de las garantías democráticas, al igual que de los principios de supremacía constitucional y de separación de poderes. </w:t>
      </w:r>
      <w:r w:rsidR="00C6616A" w:rsidRPr="007F2045">
        <w:rPr>
          <w:rFonts w:ascii="Times New Roman" w:hAnsi="Times New Roman"/>
          <w:sz w:val="28"/>
          <w:szCs w:val="28"/>
          <w:lang w:val="es-CO"/>
        </w:rPr>
        <w:t xml:space="preserve">Igualmente, </w:t>
      </w:r>
      <w:r w:rsidR="005D72BE" w:rsidRPr="007F2045">
        <w:rPr>
          <w:rFonts w:ascii="Times New Roman" w:hAnsi="Times New Roman"/>
          <w:sz w:val="28"/>
          <w:szCs w:val="28"/>
          <w:lang w:val="es-CO"/>
        </w:rPr>
        <w:t>en la tercera etapa</w:t>
      </w:r>
      <w:r w:rsidR="00D83456" w:rsidRPr="007F2045">
        <w:rPr>
          <w:rFonts w:ascii="Times New Roman" w:hAnsi="Times New Roman"/>
          <w:sz w:val="28"/>
          <w:szCs w:val="28"/>
          <w:lang w:val="es-CO"/>
        </w:rPr>
        <w:t xml:space="preserve">, </w:t>
      </w:r>
      <w:r w:rsidR="00D42632" w:rsidRPr="007F2045">
        <w:rPr>
          <w:rFonts w:ascii="Times New Roman" w:hAnsi="Times New Roman"/>
          <w:sz w:val="28"/>
          <w:szCs w:val="28"/>
          <w:lang w:val="es-CO"/>
        </w:rPr>
        <w:t>la Corte</w:t>
      </w:r>
      <w:r w:rsidR="00735F22" w:rsidRPr="007F2045">
        <w:rPr>
          <w:rFonts w:ascii="Times New Roman" w:hAnsi="Times New Roman"/>
          <w:sz w:val="28"/>
          <w:szCs w:val="28"/>
          <w:lang w:val="es-CO"/>
        </w:rPr>
        <w:t xml:space="preserve"> </w:t>
      </w:r>
      <w:r w:rsidR="00D83456" w:rsidRPr="007F2045">
        <w:rPr>
          <w:rFonts w:ascii="Times New Roman" w:hAnsi="Times New Roman"/>
          <w:sz w:val="28"/>
          <w:szCs w:val="28"/>
          <w:lang w:val="es-CO"/>
        </w:rPr>
        <w:t xml:space="preserve">debe </w:t>
      </w:r>
      <w:r w:rsidR="00B94A66" w:rsidRPr="007F2045">
        <w:rPr>
          <w:rFonts w:ascii="Times New Roman" w:hAnsi="Times New Roman"/>
          <w:sz w:val="28"/>
          <w:szCs w:val="28"/>
          <w:lang w:val="es-CO"/>
        </w:rPr>
        <w:t xml:space="preserve">evaluar distintos escenarios para determinar </w:t>
      </w:r>
      <w:r w:rsidR="00283AB4" w:rsidRPr="007F2045">
        <w:rPr>
          <w:rFonts w:ascii="Times New Roman" w:hAnsi="Times New Roman"/>
          <w:sz w:val="28"/>
          <w:szCs w:val="28"/>
          <w:lang w:val="es-CO"/>
        </w:rPr>
        <w:t xml:space="preserve">en cuál de ellos se producirían efectos más graves e irreparables en términos constitucionales. </w:t>
      </w:r>
    </w:p>
    <w:p w14:paraId="77264EBD" w14:textId="77777777" w:rsidR="0082062B" w:rsidRPr="007F2045" w:rsidRDefault="0082062B" w:rsidP="001B5728">
      <w:pPr>
        <w:spacing w:after="0" w:line="240" w:lineRule="auto"/>
        <w:rPr>
          <w:rFonts w:ascii="Times New Roman" w:hAnsi="Times New Roman"/>
          <w:sz w:val="28"/>
          <w:szCs w:val="28"/>
          <w:lang w:val="es-CO"/>
        </w:rPr>
      </w:pPr>
    </w:p>
    <w:p w14:paraId="13A79948" w14:textId="77777777" w:rsidR="008519E8" w:rsidRPr="007F2045" w:rsidRDefault="0082062B"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Por otro lado, el nuevo</w:t>
      </w:r>
      <w:r w:rsidR="00ED4791" w:rsidRPr="007F2045">
        <w:rPr>
          <w:rFonts w:ascii="Times New Roman" w:hAnsi="Times New Roman"/>
          <w:sz w:val="28"/>
          <w:szCs w:val="28"/>
          <w:lang w:val="es-CO"/>
        </w:rPr>
        <w:t xml:space="preserve"> escrutinio</w:t>
      </w:r>
      <w:r w:rsidRPr="007F2045">
        <w:rPr>
          <w:rFonts w:ascii="Times New Roman" w:hAnsi="Times New Roman"/>
          <w:sz w:val="28"/>
          <w:szCs w:val="28"/>
          <w:lang w:val="es-CO"/>
        </w:rPr>
        <w:t xml:space="preserve"> reafirma el carácter excepcional de la medida y fortalece el principio de </w:t>
      </w:r>
      <w:proofErr w:type="spellStart"/>
      <w:r w:rsidRPr="007F2045">
        <w:rPr>
          <w:rFonts w:ascii="Times New Roman" w:hAnsi="Times New Roman"/>
          <w:sz w:val="28"/>
          <w:szCs w:val="28"/>
          <w:lang w:val="es-CO"/>
        </w:rPr>
        <w:t>autor</w:t>
      </w:r>
      <w:r w:rsidR="00651AED" w:rsidRPr="007F2045">
        <w:rPr>
          <w:rFonts w:ascii="Times New Roman" w:hAnsi="Times New Roman"/>
          <w:sz w:val="28"/>
          <w:szCs w:val="28"/>
          <w:lang w:val="es-CO"/>
        </w:rPr>
        <w:t>r</w:t>
      </w:r>
      <w:r w:rsidRPr="007F2045">
        <w:rPr>
          <w:rFonts w:ascii="Times New Roman" w:hAnsi="Times New Roman"/>
          <w:sz w:val="28"/>
          <w:szCs w:val="28"/>
          <w:lang w:val="es-CO"/>
        </w:rPr>
        <w:t>estricción</w:t>
      </w:r>
      <w:proofErr w:type="spellEnd"/>
      <w:r w:rsidRPr="007F2045">
        <w:rPr>
          <w:rFonts w:ascii="Times New Roman" w:hAnsi="Times New Roman"/>
          <w:sz w:val="28"/>
          <w:szCs w:val="28"/>
          <w:lang w:val="es-CO"/>
        </w:rPr>
        <w:t xml:space="preserve"> judicial</w:t>
      </w:r>
      <w:r w:rsidR="00C41BBE" w:rsidRPr="007F2045">
        <w:rPr>
          <w:rFonts w:ascii="Times New Roman" w:hAnsi="Times New Roman"/>
          <w:sz w:val="28"/>
          <w:szCs w:val="28"/>
          <w:lang w:val="es-CO"/>
        </w:rPr>
        <w:t>. Así,</w:t>
      </w:r>
      <w:r w:rsidRPr="007F2045">
        <w:rPr>
          <w:rFonts w:ascii="Times New Roman" w:hAnsi="Times New Roman"/>
          <w:sz w:val="28"/>
          <w:szCs w:val="28"/>
          <w:lang w:val="es-CO"/>
        </w:rPr>
        <w:t xml:space="preserve"> establece un sistema fundado en</w:t>
      </w:r>
      <w:r w:rsidR="00276EDE" w:rsidRPr="007F2045">
        <w:rPr>
          <w:rFonts w:ascii="Times New Roman" w:hAnsi="Times New Roman"/>
          <w:sz w:val="28"/>
          <w:szCs w:val="28"/>
          <w:lang w:val="es-CO"/>
        </w:rPr>
        <w:t xml:space="preserve"> </w:t>
      </w:r>
      <w:r w:rsidRPr="007F2045">
        <w:rPr>
          <w:rFonts w:ascii="Times New Roman" w:hAnsi="Times New Roman"/>
          <w:sz w:val="28"/>
          <w:szCs w:val="28"/>
          <w:lang w:val="es-CO"/>
        </w:rPr>
        <w:t>supuestos más específicos y delimitados</w:t>
      </w:r>
      <w:r w:rsidR="00055AA3" w:rsidRPr="007F2045">
        <w:rPr>
          <w:rFonts w:ascii="Times New Roman" w:hAnsi="Times New Roman"/>
          <w:sz w:val="28"/>
          <w:szCs w:val="28"/>
          <w:lang w:val="es-CO"/>
        </w:rPr>
        <w:t>,</w:t>
      </w:r>
      <w:r w:rsidR="00276EDE" w:rsidRPr="007F2045">
        <w:rPr>
          <w:rFonts w:ascii="Times New Roman" w:hAnsi="Times New Roman"/>
          <w:sz w:val="28"/>
          <w:szCs w:val="28"/>
          <w:lang w:val="es-CO"/>
        </w:rPr>
        <w:t xml:space="preserve"> que ya fueron mencionados</w:t>
      </w:r>
      <w:r w:rsidR="00AB6721" w:rsidRPr="007F2045">
        <w:rPr>
          <w:rFonts w:ascii="Times New Roman" w:hAnsi="Times New Roman"/>
          <w:sz w:val="28"/>
          <w:szCs w:val="28"/>
          <w:lang w:val="es-CO"/>
        </w:rPr>
        <w:t>, al igual que un</w:t>
      </w:r>
      <w:r w:rsidR="00045063" w:rsidRPr="007F2045">
        <w:rPr>
          <w:rFonts w:ascii="Times New Roman" w:hAnsi="Times New Roman"/>
          <w:sz w:val="28"/>
          <w:szCs w:val="28"/>
          <w:lang w:val="es-CO"/>
        </w:rPr>
        <w:t xml:space="preserve"> ejercicio de ponderación especialmente estricto.</w:t>
      </w:r>
      <w:r w:rsidR="00276EDE" w:rsidRPr="007F2045">
        <w:rPr>
          <w:rFonts w:ascii="Times New Roman" w:hAnsi="Times New Roman"/>
          <w:sz w:val="28"/>
          <w:szCs w:val="28"/>
          <w:lang w:val="es-CO"/>
        </w:rPr>
        <w:t xml:space="preserve"> Además</w:t>
      </w:r>
      <w:r w:rsidR="004B0DC9" w:rsidRPr="007F2045">
        <w:rPr>
          <w:rFonts w:ascii="Times New Roman" w:hAnsi="Times New Roman"/>
          <w:sz w:val="28"/>
          <w:szCs w:val="28"/>
          <w:lang w:val="es-CO"/>
        </w:rPr>
        <w:t>, al</w:t>
      </w:r>
      <w:r w:rsidR="00C13308" w:rsidRPr="007F2045">
        <w:rPr>
          <w:rFonts w:ascii="Times New Roman" w:hAnsi="Times New Roman"/>
          <w:sz w:val="28"/>
          <w:szCs w:val="28"/>
          <w:lang w:val="es-CO"/>
        </w:rPr>
        <w:t xml:space="preserve"> ajustar</w:t>
      </w:r>
      <w:r w:rsidR="004B0DC9" w:rsidRPr="007F2045">
        <w:rPr>
          <w:rFonts w:ascii="Times New Roman" w:hAnsi="Times New Roman"/>
          <w:sz w:val="28"/>
          <w:szCs w:val="28"/>
          <w:lang w:val="es-CO"/>
        </w:rPr>
        <w:t xml:space="preserve"> el requisito de la manifiesta inconstitucionalidad </w:t>
      </w:r>
      <w:r w:rsidR="004B0DC9" w:rsidRPr="007F2045">
        <w:rPr>
          <w:rFonts w:ascii="Times New Roman" w:hAnsi="Times New Roman"/>
          <w:i/>
          <w:sz w:val="28"/>
          <w:szCs w:val="28"/>
          <w:lang w:val="es-CO"/>
        </w:rPr>
        <w:t>prima facie</w:t>
      </w:r>
      <w:r w:rsidR="0059780B" w:rsidRPr="007F2045">
        <w:rPr>
          <w:rFonts w:ascii="Times New Roman" w:hAnsi="Times New Roman"/>
          <w:sz w:val="28"/>
          <w:szCs w:val="28"/>
          <w:lang w:val="es-CO"/>
        </w:rPr>
        <w:t xml:space="preserve">, </w:t>
      </w:r>
      <w:r w:rsidR="003D55DC" w:rsidRPr="007F2045">
        <w:rPr>
          <w:rFonts w:ascii="Times New Roman" w:hAnsi="Times New Roman"/>
          <w:sz w:val="28"/>
          <w:szCs w:val="28"/>
          <w:lang w:val="es-CO"/>
        </w:rPr>
        <w:lastRenderedPageBreak/>
        <w:t xml:space="preserve">el juicio anunciado busca </w:t>
      </w:r>
      <w:r w:rsidR="00976BCE" w:rsidRPr="007F2045">
        <w:rPr>
          <w:rFonts w:ascii="Times New Roman" w:hAnsi="Times New Roman"/>
          <w:sz w:val="28"/>
          <w:szCs w:val="28"/>
          <w:lang w:val="es-CO"/>
        </w:rPr>
        <w:t>consolidar el carácter cautelar</w:t>
      </w:r>
      <w:r w:rsidR="001E7480" w:rsidRPr="007F2045">
        <w:rPr>
          <w:rFonts w:ascii="Times New Roman" w:hAnsi="Times New Roman"/>
          <w:sz w:val="28"/>
          <w:szCs w:val="28"/>
          <w:lang w:val="es-CO"/>
        </w:rPr>
        <w:t xml:space="preserve"> y</w:t>
      </w:r>
      <w:r w:rsidR="00836154" w:rsidRPr="007F2045">
        <w:rPr>
          <w:rFonts w:ascii="Times New Roman" w:hAnsi="Times New Roman"/>
          <w:sz w:val="28"/>
          <w:szCs w:val="28"/>
          <w:lang w:val="es-CO"/>
        </w:rPr>
        <w:t xml:space="preserve"> excepcional</w:t>
      </w:r>
      <w:r w:rsidR="00976BCE" w:rsidRPr="007F2045">
        <w:rPr>
          <w:rFonts w:ascii="Times New Roman" w:hAnsi="Times New Roman"/>
          <w:sz w:val="28"/>
          <w:szCs w:val="28"/>
          <w:lang w:val="es-CO"/>
        </w:rPr>
        <w:t xml:space="preserve"> de la suspensión</w:t>
      </w:r>
      <w:r w:rsidR="0050087A" w:rsidRPr="007F2045">
        <w:rPr>
          <w:rFonts w:ascii="Times New Roman" w:hAnsi="Times New Roman"/>
          <w:sz w:val="28"/>
          <w:szCs w:val="28"/>
          <w:lang w:val="es-CO"/>
        </w:rPr>
        <w:t xml:space="preserve">. </w:t>
      </w:r>
    </w:p>
    <w:p w14:paraId="1FB012EF" w14:textId="77777777" w:rsidR="008519E8" w:rsidRPr="007F2045" w:rsidRDefault="008519E8" w:rsidP="001B5728">
      <w:pPr>
        <w:pStyle w:val="Prrafodelista"/>
        <w:spacing w:after="0" w:line="240" w:lineRule="auto"/>
        <w:rPr>
          <w:rFonts w:ascii="Times New Roman" w:hAnsi="Times New Roman"/>
          <w:sz w:val="28"/>
          <w:szCs w:val="28"/>
          <w:lang w:val="es-CO"/>
        </w:rPr>
      </w:pPr>
    </w:p>
    <w:p w14:paraId="40D32202" w14:textId="77777777" w:rsidR="00931891" w:rsidRPr="007F2045" w:rsidRDefault="007B5059"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En </w:t>
      </w:r>
      <w:r w:rsidR="009F3F64" w:rsidRPr="007F2045">
        <w:rPr>
          <w:rFonts w:ascii="Times New Roman" w:hAnsi="Times New Roman"/>
          <w:sz w:val="28"/>
          <w:szCs w:val="28"/>
          <w:lang w:val="es-CO"/>
        </w:rPr>
        <w:t>particular,</w:t>
      </w:r>
      <w:r w:rsidRPr="007F2045">
        <w:rPr>
          <w:rFonts w:ascii="Times New Roman" w:hAnsi="Times New Roman"/>
          <w:sz w:val="28"/>
          <w:szCs w:val="28"/>
          <w:lang w:val="es-CO"/>
        </w:rPr>
        <w:t xml:space="preserve"> c</w:t>
      </w:r>
      <w:r w:rsidR="00D72C9E" w:rsidRPr="007F2045">
        <w:rPr>
          <w:rFonts w:ascii="Times New Roman" w:hAnsi="Times New Roman"/>
          <w:sz w:val="28"/>
          <w:szCs w:val="28"/>
          <w:lang w:val="es-CO"/>
        </w:rPr>
        <w:t xml:space="preserve">omo se infiere del </w:t>
      </w:r>
      <w:r w:rsidR="008910BD" w:rsidRPr="007F2045">
        <w:rPr>
          <w:rFonts w:ascii="Times New Roman" w:hAnsi="Times New Roman"/>
          <w:sz w:val="28"/>
          <w:szCs w:val="28"/>
          <w:lang w:val="es-CO"/>
        </w:rPr>
        <w:t xml:space="preserve">contenido </w:t>
      </w:r>
      <w:r w:rsidR="009F3F64" w:rsidRPr="007F2045">
        <w:rPr>
          <w:rFonts w:ascii="Times New Roman" w:hAnsi="Times New Roman"/>
          <w:sz w:val="28"/>
          <w:szCs w:val="28"/>
          <w:lang w:val="es-CO"/>
        </w:rPr>
        <w:t xml:space="preserve">de la </w:t>
      </w:r>
      <w:r w:rsidR="0001463D" w:rsidRPr="007F2045">
        <w:rPr>
          <w:rFonts w:ascii="Times New Roman" w:hAnsi="Times New Roman"/>
          <w:color w:val="000000" w:themeColor="text1"/>
          <w:sz w:val="28"/>
          <w:szCs w:val="28"/>
          <w:lang w:val="es-CO"/>
        </w:rPr>
        <w:t xml:space="preserve">tercera etapa del </w:t>
      </w:r>
      <w:r w:rsidR="008910BD" w:rsidRPr="007F2045">
        <w:rPr>
          <w:rFonts w:ascii="Times New Roman" w:hAnsi="Times New Roman"/>
          <w:color w:val="000000" w:themeColor="text1"/>
          <w:sz w:val="28"/>
          <w:szCs w:val="28"/>
          <w:lang w:val="es-CO"/>
        </w:rPr>
        <w:t xml:space="preserve">nuevo </w:t>
      </w:r>
      <w:r w:rsidR="0001463D" w:rsidRPr="007F2045">
        <w:rPr>
          <w:rFonts w:ascii="Times New Roman" w:hAnsi="Times New Roman"/>
          <w:color w:val="000000" w:themeColor="text1"/>
          <w:sz w:val="28"/>
          <w:szCs w:val="28"/>
          <w:lang w:val="es-CO"/>
        </w:rPr>
        <w:t>test</w:t>
      </w:r>
      <w:r w:rsidR="008910BD" w:rsidRPr="007F2045">
        <w:rPr>
          <w:rFonts w:ascii="Times New Roman" w:hAnsi="Times New Roman"/>
          <w:color w:val="000000" w:themeColor="text1"/>
          <w:sz w:val="28"/>
          <w:szCs w:val="28"/>
          <w:lang w:val="es-CO"/>
        </w:rPr>
        <w:t xml:space="preserve">, </w:t>
      </w:r>
      <w:r w:rsidR="0001463D" w:rsidRPr="007F2045">
        <w:rPr>
          <w:rFonts w:ascii="Times New Roman" w:hAnsi="Times New Roman"/>
          <w:color w:val="000000" w:themeColor="text1"/>
          <w:sz w:val="28"/>
          <w:szCs w:val="28"/>
          <w:lang w:val="es-CO"/>
        </w:rPr>
        <w:t>no le corresponde</w:t>
      </w:r>
      <w:r w:rsidR="00976BCE" w:rsidRPr="007F2045">
        <w:rPr>
          <w:rFonts w:ascii="Times New Roman" w:hAnsi="Times New Roman"/>
          <w:color w:val="000000" w:themeColor="text1"/>
          <w:sz w:val="28"/>
          <w:szCs w:val="28"/>
          <w:lang w:val="es-CO"/>
        </w:rPr>
        <w:t xml:space="preserve"> a la Corte Constitucional preguntarse simplemente si </w:t>
      </w:r>
      <w:r w:rsidR="0001463D" w:rsidRPr="007F2045">
        <w:rPr>
          <w:rFonts w:ascii="Times New Roman" w:hAnsi="Times New Roman"/>
          <w:color w:val="000000" w:themeColor="text1"/>
          <w:sz w:val="28"/>
          <w:szCs w:val="28"/>
          <w:lang w:val="es-CO"/>
        </w:rPr>
        <w:t xml:space="preserve">la norma sometida </w:t>
      </w:r>
      <w:r w:rsidR="00976BCE" w:rsidRPr="007F2045">
        <w:rPr>
          <w:rFonts w:ascii="Times New Roman" w:hAnsi="Times New Roman"/>
          <w:color w:val="000000" w:themeColor="text1"/>
          <w:sz w:val="28"/>
          <w:szCs w:val="28"/>
          <w:lang w:val="es-CO"/>
        </w:rPr>
        <w:t>a control de constitucionalidad es probablemente</w:t>
      </w:r>
      <w:r w:rsidR="00D8488F" w:rsidRPr="007F2045">
        <w:rPr>
          <w:rFonts w:ascii="Times New Roman" w:hAnsi="Times New Roman"/>
          <w:color w:val="000000" w:themeColor="text1"/>
          <w:sz w:val="28"/>
          <w:szCs w:val="28"/>
          <w:lang w:val="es-CO"/>
        </w:rPr>
        <w:t xml:space="preserve"> </w:t>
      </w:r>
      <w:r w:rsidR="00976BCE" w:rsidRPr="007F2045">
        <w:rPr>
          <w:rFonts w:ascii="Times New Roman" w:hAnsi="Times New Roman"/>
          <w:color w:val="000000" w:themeColor="text1"/>
          <w:sz w:val="28"/>
          <w:szCs w:val="28"/>
          <w:lang w:val="es-CO"/>
        </w:rPr>
        <w:t>inexequible</w:t>
      </w:r>
      <w:r w:rsidR="008910BD" w:rsidRPr="007F2045">
        <w:rPr>
          <w:rFonts w:ascii="Times New Roman" w:hAnsi="Times New Roman"/>
          <w:color w:val="000000" w:themeColor="text1"/>
          <w:sz w:val="28"/>
          <w:szCs w:val="28"/>
          <w:lang w:val="es-CO"/>
        </w:rPr>
        <w:t>. Por el contrario,</w:t>
      </w:r>
      <w:r w:rsidR="00683A75" w:rsidRPr="007F2045">
        <w:rPr>
          <w:rFonts w:ascii="Times New Roman" w:hAnsi="Times New Roman"/>
          <w:color w:val="000000" w:themeColor="text1"/>
          <w:sz w:val="28"/>
          <w:szCs w:val="28"/>
          <w:lang w:val="es-CO"/>
        </w:rPr>
        <w:t xml:space="preserve"> </w:t>
      </w:r>
      <w:r w:rsidR="00CE4D9F" w:rsidRPr="007F2045">
        <w:rPr>
          <w:rFonts w:ascii="Times New Roman" w:hAnsi="Times New Roman"/>
          <w:color w:val="000000" w:themeColor="text1"/>
          <w:sz w:val="28"/>
          <w:szCs w:val="28"/>
          <w:lang w:val="es-CO"/>
        </w:rPr>
        <w:t>en la tercer</w:t>
      </w:r>
      <w:r w:rsidR="00C13308" w:rsidRPr="007F2045">
        <w:rPr>
          <w:rFonts w:ascii="Times New Roman" w:hAnsi="Times New Roman"/>
          <w:color w:val="000000" w:themeColor="text1"/>
          <w:sz w:val="28"/>
          <w:szCs w:val="28"/>
          <w:lang w:val="es-CO"/>
        </w:rPr>
        <w:t>a</w:t>
      </w:r>
      <w:r w:rsidR="00CE4D9F" w:rsidRPr="007F2045">
        <w:rPr>
          <w:rFonts w:ascii="Times New Roman" w:hAnsi="Times New Roman"/>
          <w:color w:val="000000" w:themeColor="text1"/>
          <w:sz w:val="28"/>
          <w:szCs w:val="28"/>
          <w:lang w:val="es-CO"/>
        </w:rPr>
        <w:t xml:space="preserve"> etapa del nuevo juicio</w:t>
      </w:r>
      <w:r w:rsidR="00683A75" w:rsidRPr="007F2045">
        <w:rPr>
          <w:rFonts w:ascii="Times New Roman" w:hAnsi="Times New Roman"/>
          <w:color w:val="000000" w:themeColor="text1"/>
          <w:sz w:val="28"/>
          <w:szCs w:val="28"/>
          <w:lang w:val="es-CO"/>
        </w:rPr>
        <w:t>,</w:t>
      </w:r>
      <w:r w:rsidR="008910BD" w:rsidRPr="007F2045">
        <w:rPr>
          <w:rFonts w:ascii="Times New Roman" w:hAnsi="Times New Roman"/>
          <w:color w:val="000000" w:themeColor="text1"/>
          <w:sz w:val="28"/>
          <w:szCs w:val="28"/>
          <w:lang w:val="es-CO"/>
        </w:rPr>
        <w:t xml:space="preserve"> </w:t>
      </w:r>
      <w:r w:rsidR="00605EDD" w:rsidRPr="007F2045">
        <w:rPr>
          <w:rFonts w:ascii="Times New Roman" w:hAnsi="Times New Roman"/>
          <w:color w:val="000000" w:themeColor="text1"/>
          <w:sz w:val="28"/>
          <w:szCs w:val="28"/>
          <w:lang w:val="es-CO"/>
        </w:rPr>
        <w:t>esta Corporación debe</w:t>
      </w:r>
      <w:r w:rsidR="00A52E77" w:rsidRPr="007F2045">
        <w:rPr>
          <w:rFonts w:ascii="Times New Roman" w:hAnsi="Times New Roman"/>
          <w:color w:val="000000" w:themeColor="text1"/>
          <w:sz w:val="28"/>
          <w:szCs w:val="28"/>
          <w:lang w:val="es-CO"/>
        </w:rPr>
        <w:t xml:space="preserve"> </w:t>
      </w:r>
      <w:r w:rsidR="00605EDD" w:rsidRPr="007F2045">
        <w:rPr>
          <w:rFonts w:ascii="Times New Roman" w:hAnsi="Times New Roman"/>
          <w:color w:val="000000" w:themeColor="text1"/>
          <w:sz w:val="28"/>
          <w:szCs w:val="28"/>
          <w:lang w:val="es-CO"/>
        </w:rPr>
        <w:t>llevar a cabo un</w:t>
      </w:r>
      <w:r w:rsidR="00ED1936" w:rsidRPr="007F2045">
        <w:rPr>
          <w:rFonts w:ascii="Times New Roman" w:hAnsi="Times New Roman"/>
          <w:color w:val="000000" w:themeColor="text1"/>
          <w:sz w:val="28"/>
          <w:szCs w:val="28"/>
          <w:lang w:val="es-CO"/>
        </w:rPr>
        <w:t>a ponderación</w:t>
      </w:r>
      <w:r w:rsidR="00605EDD" w:rsidRPr="007F2045">
        <w:rPr>
          <w:rFonts w:ascii="Times New Roman" w:hAnsi="Times New Roman"/>
          <w:color w:val="000000" w:themeColor="text1"/>
          <w:sz w:val="28"/>
          <w:szCs w:val="28"/>
          <w:lang w:val="es-CO"/>
        </w:rPr>
        <w:t xml:space="preserve"> comparativ</w:t>
      </w:r>
      <w:r w:rsidR="00ED1936" w:rsidRPr="007F2045">
        <w:rPr>
          <w:rFonts w:ascii="Times New Roman" w:hAnsi="Times New Roman"/>
          <w:color w:val="000000" w:themeColor="text1"/>
          <w:sz w:val="28"/>
          <w:szCs w:val="28"/>
          <w:lang w:val="es-CO"/>
        </w:rPr>
        <w:t>a</w:t>
      </w:r>
      <w:r w:rsidR="00605EDD" w:rsidRPr="007F2045">
        <w:rPr>
          <w:rFonts w:ascii="Times New Roman" w:hAnsi="Times New Roman"/>
          <w:color w:val="000000" w:themeColor="text1"/>
          <w:sz w:val="28"/>
          <w:szCs w:val="28"/>
          <w:lang w:val="es-CO"/>
        </w:rPr>
        <w:t xml:space="preserve"> de los efectos que podrían producirse en caso de suspender una norma que luego resulta exequible</w:t>
      </w:r>
      <w:r w:rsidR="005F723C" w:rsidRPr="007F2045">
        <w:rPr>
          <w:rFonts w:ascii="Times New Roman" w:hAnsi="Times New Roman"/>
          <w:color w:val="000000" w:themeColor="text1"/>
          <w:sz w:val="28"/>
          <w:szCs w:val="28"/>
          <w:lang w:val="es-CO"/>
        </w:rPr>
        <w:t xml:space="preserve"> </w:t>
      </w:r>
      <w:r w:rsidR="00613C83" w:rsidRPr="007F2045">
        <w:rPr>
          <w:rFonts w:ascii="Times New Roman" w:hAnsi="Times New Roman"/>
          <w:color w:val="000000" w:themeColor="text1"/>
          <w:sz w:val="28"/>
          <w:szCs w:val="28"/>
          <w:lang w:val="es-CO"/>
        </w:rPr>
        <w:t xml:space="preserve">con los que podrían generarse </w:t>
      </w:r>
      <w:r w:rsidR="005F723C" w:rsidRPr="007F2045">
        <w:rPr>
          <w:rFonts w:ascii="Times New Roman" w:hAnsi="Times New Roman"/>
          <w:color w:val="000000" w:themeColor="text1"/>
          <w:sz w:val="28"/>
          <w:szCs w:val="28"/>
          <w:lang w:val="es-CO"/>
        </w:rPr>
        <w:t>de no suspender una norma que luego</w:t>
      </w:r>
      <w:r w:rsidR="00931891" w:rsidRPr="007F2045">
        <w:rPr>
          <w:rFonts w:ascii="Times New Roman" w:hAnsi="Times New Roman"/>
          <w:color w:val="000000" w:themeColor="text1"/>
          <w:sz w:val="28"/>
          <w:szCs w:val="28"/>
          <w:lang w:val="es-CO"/>
        </w:rPr>
        <w:t xml:space="preserve"> se concluye es inexequible</w:t>
      </w:r>
      <w:r w:rsidR="005F723C" w:rsidRPr="007F2045">
        <w:rPr>
          <w:rFonts w:ascii="Times New Roman" w:hAnsi="Times New Roman"/>
          <w:color w:val="000000" w:themeColor="text1"/>
          <w:sz w:val="28"/>
          <w:szCs w:val="28"/>
          <w:lang w:val="es-CO"/>
        </w:rPr>
        <w:t xml:space="preserve">. </w:t>
      </w:r>
    </w:p>
    <w:p w14:paraId="7ECC6FA1" w14:textId="77777777" w:rsidR="00931891" w:rsidRPr="007F2045" w:rsidRDefault="00931891" w:rsidP="001B5728">
      <w:pPr>
        <w:pStyle w:val="Prrafodelista"/>
        <w:spacing w:after="0" w:line="240" w:lineRule="auto"/>
        <w:rPr>
          <w:rFonts w:ascii="Times New Roman" w:hAnsi="Times New Roman"/>
          <w:color w:val="000000" w:themeColor="text1"/>
          <w:sz w:val="28"/>
          <w:szCs w:val="28"/>
          <w:lang w:val="es-CO"/>
        </w:rPr>
      </w:pPr>
    </w:p>
    <w:p w14:paraId="03E36994" w14:textId="77777777" w:rsidR="00931891" w:rsidRPr="007F2045" w:rsidRDefault="00055AA3"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color w:val="000000" w:themeColor="text1"/>
          <w:sz w:val="28"/>
          <w:szCs w:val="28"/>
          <w:lang w:val="es-CO"/>
        </w:rPr>
        <w:t xml:space="preserve">En estos términos, </w:t>
      </w:r>
      <w:r w:rsidR="008910BD" w:rsidRPr="007F2045">
        <w:rPr>
          <w:rFonts w:ascii="Times New Roman" w:hAnsi="Times New Roman"/>
          <w:color w:val="000000" w:themeColor="text1"/>
          <w:sz w:val="28"/>
          <w:szCs w:val="28"/>
          <w:lang w:val="es-CO"/>
        </w:rPr>
        <w:t xml:space="preserve">queda claro que la suspensión provisional </w:t>
      </w:r>
      <w:r w:rsidRPr="007F2045">
        <w:rPr>
          <w:rFonts w:ascii="Times New Roman" w:hAnsi="Times New Roman"/>
          <w:color w:val="000000" w:themeColor="text1"/>
          <w:sz w:val="28"/>
          <w:szCs w:val="28"/>
          <w:lang w:val="es-CO"/>
        </w:rPr>
        <w:t>corresponde a</w:t>
      </w:r>
      <w:r w:rsidR="008519E8" w:rsidRPr="007F2045">
        <w:rPr>
          <w:rFonts w:ascii="Times New Roman" w:hAnsi="Times New Roman"/>
          <w:color w:val="000000" w:themeColor="text1"/>
          <w:sz w:val="28"/>
          <w:szCs w:val="28"/>
          <w:lang w:val="es-CO"/>
        </w:rPr>
        <w:t xml:space="preserve"> un </w:t>
      </w:r>
      <w:r w:rsidR="0053012F" w:rsidRPr="007F2045">
        <w:rPr>
          <w:rFonts w:ascii="Times New Roman" w:hAnsi="Times New Roman"/>
          <w:color w:val="000000" w:themeColor="text1"/>
          <w:sz w:val="28"/>
          <w:szCs w:val="28"/>
          <w:lang w:val="es-CO"/>
        </w:rPr>
        <w:t>instrumento procesal</w:t>
      </w:r>
      <w:r w:rsidR="00EC526F" w:rsidRPr="007F2045">
        <w:rPr>
          <w:rFonts w:ascii="Times New Roman" w:hAnsi="Times New Roman"/>
          <w:color w:val="000000" w:themeColor="text1"/>
          <w:sz w:val="28"/>
          <w:szCs w:val="28"/>
          <w:lang w:val="es-CO"/>
        </w:rPr>
        <w:t xml:space="preserve"> </w:t>
      </w:r>
      <w:r w:rsidR="00931891" w:rsidRPr="007F2045">
        <w:rPr>
          <w:rFonts w:ascii="Times New Roman" w:hAnsi="Times New Roman"/>
          <w:color w:val="000000" w:themeColor="text1"/>
          <w:sz w:val="28"/>
          <w:szCs w:val="28"/>
          <w:lang w:val="es-CO"/>
        </w:rPr>
        <w:t xml:space="preserve">excepcional </w:t>
      </w:r>
      <w:r w:rsidR="00EC526F" w:rsidRPr="007F2045">
        <w:rPr>
          <w:rFonts w:ascii="Times New Roman" w:hAnsi="Times New Roman"/>
          <w:color w:val="000000" w:themeColor="text1"/>
          <w:sz w:val="28"/>
          <w:szCs w:val="28"/>
          <w:lang w:val="es-CO"/>
        </w:rPr>
        <w:t>que solo procede cuando sea</w:t>
      </w:r>
      <w:r w:rsidR="0053012F" w:rsidRPr="007F2045">
        <w:rPr>
          <w:rFonts w:ascii="Times New Roman" w:hAnsi="Times New Roman"/>
          <w:color w:val="000000" w:themeColor="text1"/>
          <w:sz w:val="28"/>
          <w:szCs w:val="28"/>
          <w:lang w:val="es-CO"/>
        </w:rPr>
        <w:t xml:space="preserve"> indispensable y urgente para evitar la producción de efectos constitucionales graves, imposibles de revertir o difícilmente reversibles</w:t>
      </w:r>
      <w:r w:rsidR="00931891" w:rsidRPr="007F2045">
        <w:rPr>
          <w:rFonts w:ascii="Times New Roman" w:hAnsi="Times New Roman"/>
          <w:color w:val="000000" w:themeColor="text1"/>
          <w:sz w:val="28"/>
          <w:szCs w:val="28"/>
          <w:lang w:val="es-CO"/>
        </w:rPr>
        <w:t>.</w:t>
      </w:r>
    </w:p>
    <w:p w14:paraId="4656106E" w14:textId="77777777" w:rsidR="00FB2830" w:rsidRPr="007F2045" w:rsidRDefault="00FB2830" w:rsidP="001B5728">
      <w:pPr>
        <w:pStyle w:val="Prrafodelista"/>
        <w:tabs>
          <w:tab w:val="left" w:pos="284"/>
          <w:tab w:val="left" w:pos="426"/>
        </w:tabs>
        <w:spacing w:after="0" w:line="240" w:lineRule="auto"/>
        <w:ind w:left="0"/>
        <w:rPr>
          <w:rFonts w:ascii="Times New Roman" w:hAnsi="Times New Roman"/>
          <w:color w:val="000000" w:themeColor="text1"/>
          <w:sz w:val="28"/>
          <w:szCs w:val="28"/>
          <w:lang w:val="es-CO"/>
        </w:rPr>
      </w:pPr>
    </w:p>
    <w:p w14:paraId="6EC1389B" w14:textId="77777777" w:rsidR="00E76856" w:rsidRPr="007F2045" w:rsidRDefault="00FB3DCB" w:rsidP="001B5728">
      <w:pPr>
        <w:pStyle w:val="Ttulo2"/>
        <w:numPr>
          <w:ilvl w:val="0"/>
          <w:numId w:val="0"/>
        </w:numPr>
        <w:ind w:left="1080" w:hanging="371"/>
        <w:rPr>
          <w:lang w:val="es-CO"/>
        </w:rPr>
      </w:pPr>
      <w:r w:rsidRPr="007F2045">
        <w:rPr>
          <w:lang w:val="es-CO"/>
        </w:rPr>
        <w:t>7.</w:t>
      </w:r>
      <w:r w:rsidRPr="007F2045">
        <w:rPr>
          <w:lang w:val="es-CO"/>
        </w:rPr>
        <w:tab/>
      </w:r>
      <w:r w:rsidR="00931891" w:rsidRPr="007F2045">
        <w:rPr>
          <w:lang w:val="es-CO"/>
        </w:rPr>
        <w:t xml:space="preserve">Conclusión y </w:t>
      </w:r>
      <w:r w:rsidR="00E76856" w:rsidRPr="007F2045">
        <w:rPr>
          <w:lang w:val="es-CO"/>
        </w:rPr>
        <w:t>efectos de la decisión de suspensión provisional de</w:t>
      </w:r>
      <w:r w:rsidR="0021647B" w:rsidRPr="007F2045">
        <w:rPr>
          <w:lang w:val="es-CO"/>
        </w:rPr>
        <w:t xml:space="preserve"> los efectos del</w:t>
      </w:r>
      <w:r w:rsidR="00E76856" w:rsidRPr="007F2045">
        <w:rPr>
          <w:lang w:val="es-CO"/>
        </w:rPr>
        <w:t xml:space="preserve"> </w:t>
      </w:r>
      <w:r w:rsidR="006D1AFA" w:rsidRPr="007F2045">
        <w:rPr>
          <w:lang w:val="es-CO"/>
        </w:rPr>
        <w:t>D</w:t>
      </w:r>
      <w:r w:rsidR="00E76856" w:rsidRPr="007F2045">
        <w:rPr>
          <w:lang w:val="es-CO"/>
        </w:rPr>
        <w:t>ecreto 1390 de 2025</w:t>
      </w:r>
      <w:r w:rsidR="0021647B" w:rsidRPr="007F2045">
        <w:rPr>
          <w:lang w:val="es-CO"/>
        </w:rPr>
        <w:t xml:space="preserve"> y consideración final</w:t>
      </w:r>
    </w:p>
    <w:p w14:paraId="05A57AB0" w14:textId="77777777" w:rsidR="00E76856" w:rsidRPr="007F2045" w:rsidRDefault="00E76856" w:rsidP="001B5728">
      <w:pPr>
        <w:spacing w:after="0" w:line="240" w:lineRule="auto"/>
        <w:rPr>
          <w:rFonts w:ascii="Times New Roman" w:hAnsi="Times New Roman"/>
          <w:sz w:val="28"/>
          <w:szCs w:val="28"/>
          <w:lang w:val="es-CO"/>
        </w:rPr>
      </w:pPr>
    </w:p>
    <w:p w14:paraId="38606677" w14:textId="77777777" w:rsidR="00E76856" w:rsidRPr="007F2045" w:rsidRDefault="00931891"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Con base en lo establecido en esta providencia la Corte considera que debe operar la suspensión provisional de los efe</w:t>
      </w:r>
      <w:r w:rsidR="00C02862" w:rsidRPr="007F2045">
        <w:rPr>
          <w:rFonts w:ascii="Times New Roman" w:hAnsi="Times New Roman"/>
          <w:sz w:val="28"/>
          <w:szCs w:val="28"/>
          <w:lang w:val="es-CO"/>
        </w:rPr>
        <w:t>c</w:t>
      </w:r>
      <w:r w:rsidRPr="007F2045">
        <w:rPr>
          <w:rFonts w:ascii="Times New Roman" w:hAnsi="Times New Roman"/>
          <w:sz w:val="28"/>
          <w:szCs w:val="28"/>
          <w:lang w:val="es-CO"/>
        </w:rPr>
        <w:t xml:space="preserve">tos del </w:t>
      </w:r>
      <w:r w:rsidR="00E76856" w:rsidRPr="007F2045">
        <w:rPr>
          <w:rFonts w:ascii="Times New Roman" w:hAnsi="Times New Roman"/>
          <w:sz w:val="28"/>
          <w:szCs w:val="28"/>
          <w:lang w:val="es-CO"/>
        </w:rPr>
        <w:t>Decreto 1390 de 2025,</w:t>
      </w:r>
      <w:r w:rsidR="00E76856" w:rsidRPr="007F2045">
        <w:rPr>
          <w:rFonts w:ascii="Times New Roman" w:hAnsi="Times New Roman"/>
          <w:b/>
          <w:bCs/>
          <w:sz w:val="28"/>
          <w:szCs w:val="28"/>
          <w:lang w:val="es-CO"/>
        </w:rPr>
        <w:t xml:space="preserve"> </w:t>
      </w:r>
      <w:r w:rsidR="00E76856" w:rsidRPr="007F2045">
        <w:rPr>
          <w:rFonts w:ascii="Times New Roman" w:hAnsi="Times New Roman"/>
          <w:sz w:val="28"/>
          <w:szCs w:val="28"/>
          <w:shd w:val="clear" w:color="auto" w:fill="FFFFFF"/>
          <w:lang w:val="es-CO"/>
        </w:rPr>
        <w:t>“</w:t>
      </w:r>
      <w:r w:rsidR="00E76856" w:rsidRPr="007F2045">
        <w:rPr>
          <w:rFonts w:ascii="Times New Roman" w:hAnsi="Times New Roman"/>
          <w:i/>
          <w:iCs/>
          <w:sz w:val="28"/>
          <w:szCs w:val="28"/>
          <w:shd w:val="clear" w:color="auto" w:fill="FFFFFF"/>
          <w:lang w:val="es-CO"/>
        </w:rPr>
        <w:t>Por el cual se declara el Estado de Emergencia Económica y Social en todo el territorio nacional</w:t>
      </w:r>
      <w:r w:rsidR="00E76856" w:rsidRPr="007F2045">
        <w:rPr>
          <w:rFonts w:ascii="Times New Roman" w:hAnsi="Times New Roman"/>
          <w:sz w:val="28"/>
          <w:szCs w:val="28"/>
          <w:shd w:val="clear" w:color="auto" w:fill="FFFFFF"/>
          <w:lang w:val="es-CO"/>
        </w:rPr>
        <w:t>”</w:t>
      </w:r>
      <w:r w:rsidRPr="007F2045">
        <w:rPr>
          <w:rFonts w:ascii="Times New Roman" w:hAnsi="Times New Roman"/>
          <w:sz w:val="28"/>
          <w:szCs w:val="28"/>
          <w:shd w:val="clear" w:color="auto" w:fill="FFFFFF"/>
          <w:lang w:val="es-CO"/>
        </w:rPr>
        <w:t xml:space="preserve">. </w:t>
      </w:r>
      <w:r w:rsidRPr="004C4064">
        <w:rPr>
          <w:rFonts w:ascii="Times New Roman" w:hAnsi="Times New Roman"/>
          <w:sz w:val="28"/>
          <w:szCs w:val="28"/>
          <w:highlight w:val="yellow"/>
          <w:shd w:val="clear" w:color="auto" w:fill="FFFFFF"/>
          <w:lang w:val="es-CO"/>
        </w:rPr>
        <w:t xml:space="preserve">Esta decisión </w:t>
      </w:r>
      <w:r w:rsidR="00E76856" w:rsidRPr="004C4064">
        <w:rPr>
          <w:rFonts w:ascii="Times New Roman" w:hAnsi="Times New Roman"/>
          <w:sz w:val="28"/>
          <w:szCs w:val="28"/>
          <w:highlight w:val="yellow"/>
          <w:shd w:val="clear" w:color="auto" w:fill="FFFFFF"/>
          <w:lang w:val="es-CO"/>
        </w:rPr>
        <w:t>tiene efectos inmediatos y hacia el futuro (</w:t>
      </w:r>
      <w:r w:rsidR="00E76856" w:rsidRPr="004C4064">
        <w:rPr>
          <w:rFonts w:ascii="Times New Roman" w:hAnsi="Times New Roman"/>
          <w:i/>
          <w:iCs/>
          <w:sz w:val="28"/>
          <w:szCs w:val="28"/>
          <w:highlight w:val="yellow"/>
          <w:shd w:val="clear" w:color="auto" w:fill="FFFFFF"/>
          <w:lang w:val="es-CO"/>
        </w:rPr>
        <w:t>ex nunc</w:t>
      </w:r>
      <w:r w:rsidR="00E76856" w:rsidRPr="004C4064">
        <w:rPr>
          <w:rFonts w:ascii="Times New Roman" w:hAnsi="Times New Roman"/>
          <w:sz w:val="28"/>
          <w:szCs w:val="28"/>
          <w:highlight w:val="yellow"/>
          <w:shd w:val="clear" w:color="auto" w:fill="FFFFFF"/>
          <w:lang w:val="es-CO"/>
        </w:rPr>
        <w:t>), y se mantendrá, en los términos del artículo 241.7, hasta tanto la Corte decida “</w:t>
      </w:r>
      <w:r w:rsidR="00E76856" w:rsidRPr="004C4064">
        <w:rPr>
          <w:rFonts w:ascii="Times New Roman" w:hAnsi="Times New Roman"/>
          <w:i/>
          <w:iCs/>
          <w:sz w:val="28"/>
          <w:szCs w:val="28"/>
          <w:highlight w:val="yellow"/>
          <w:shd w:val="clear" w:color="auto" w:fill="FFFFFF"/>
          <w:lang w:val="es-CO"/>
        </w:rPr>
        <w:t>definitivamente</w:t>
      </w:r>
      <w:r w:rsidR="00E76856" w:rsidRPr="004C4064">
        <w:rPr>
          <w:rFonts w:ascii="Times New Roman" w:hAnsi="Times New Roman"/>
          <w:sz w:val="28"/>
          <w:szCs w:val="28"/>
          <w:highlight w:val="yellow"/>
          <w:shd w:val="clear" w:color="auto" w:fill="FFFFFF"/>
          <w:lang w:val="es-CO"/>
        </w:rPr>
        <w:t xml:space="preserve">” </w:t>
      </w:r>
      <w:r w:rsidR="00B21C8F" w:rsidRPr="004C4064">
        <w:rPr>
          <w:rFonts w:ascii="Times New Roman" w:hAnsi="Times New Roman"/>
          <w:sz w:val="28"/>
          <w:szCs w:val="28"/>
          <w:highlight w:val="yellow"/>
          <w:shd w:val="clear" w:color="auto" w:fill="FFFFFF"/>
          <w:lang w:val="es-CO"/>
        </w:rPr>
        <w:t>sobre</w:t>
      </w:r>
      <w:r w:rsidR="00E76856" w:rsidRPr="004C4064">
        <w:rPr>
          <w:rFonts w:ascii="Times New Roman" w:hAnsi="Times New Roman"/>
          <w:sz w:val="28"/>
          <w:szCs w:val="28"/>
          <w:highlight w:val="yellow"/>
          <w:shd w:val="clear" w:color="auto" w:fill="FFFFFF"/>
          <w:lang w:val="es-CO"/>
        </w:rPr>
        <w:t xml:space="preserve"> su constitucionalidad. Además, dado que se suspende provisionalmente </w:t>
      </w:r>
      <w:r w:rsidR="00E76856" w:rsidRPr="004C4064">
        <w:rPr>
          <w:rFonts w:ascii="Times New Roman" w:hAnsi="Times New Roman"/>
          <w:sz w:val="28"/>
          <w:szCs w:val="28"/>
          <w:highlight w:val="yellow"/>
          <w:lang w:val="es-CO"/>
        </w:rPr>
        <w:t xml:space="preserve">el presupuesto jurídico que le sirve de causa a los decretos de desarrollo de este estado de emergencia, las medidas </w:t>
      </w:r>
      <w:r w:rsidRPr="004C4064">
        <w:rPr>
          <w:rFonts w:ascii="Times New Roman" w:hAnsi="Times New Roman"/>
          <w:sz w:val="28"/>
          <w:szCs w:val="28"/>
          <w:highlight w:val="yellow"/>
          <w:lang w:val="es-CO"/>
        </w:rPr>
        <w:t>adoptadas en ellos</w:t>
      </w:r>
      <w:r w:rsidR="00E76856" w:rsidRPr="004C4064">
        <w:rPr>
          <w:rFonts w:ascii="Times New Roman" w:hAnsi="Times New Roman"/>
          <w:sz w:val="28"/>
          <w:szCs w:val="28"/>
          <w:highlight w:val="yellow"/>
          <w:lang w:val="es-CO"/>
        </w:rPr>
        <w:t xml:space="preserve">, por consecuencia, </w:t>
      </w:r>
      <w:r w:rsidR="00C13308" w:rsidRPr="004C4064">
        <w:rPr>
          <w:rFonts w:ascii="Times New Roman" w:hAnsi="Times New Roman"/>
          <w:sz w:val="28"/>
          <w:szCs w:val="28"/>
          <w:highlight w:val="yellow"/>
          <w:lang w:val="es-CO"/>
        </w:rPr>
        <w:t>no producirán efectos</w:t>
      </w:r>
      <w:r w:rsidR="00E76856" w:rsidRPr="004C4064">
        <w:rPr>
          <w:rFonts w:ascii="Times New Roman" w:hAnsi="Times New Roman"/>
          <w:sz w:val="28"/>
          <w:szCs w:val="28"/>
          <w:highlight w:val="yellow"/>
          <w:lang w:val="es-CO"/>
        </w:rPr>
        <w:t xml:space="preserve">, hasta tanto la Corte decida, como ya se indicó, de manera definitiva </w:t>
      </w:r>
      <w:r w:rsidR="00B21C8F" w:rsidRPr="004C4064">
        <w:rPr>
          <w:rFonts w:ascii="Times New Roman" w:hAnsi="Times New Roman"/>
          <w:sz w:val="28"/>
          <w:szCs w:val="28"/>
          <w:highlight w:val="yellow"/>
          <w:lang w:val="es-CO"/>
        </w:rPr>
        <w:t>sobre</w:t>
      </w:r>
      <w:r w:rsidR="00E76856" w:rsidRPr="004C4064">
        <w:rPr>
          <w:rFonts w:ascii="Times New Roman" w:hAnsi="Times New Roman"/>
          <w:sz w:val="28"/>
          <w:szCs w:val="28"/>
          <w:highlight w:val="yellow"/>
          <w:lang w:val="es-CO"/>
        </w:rPr>
        <w:t xml:space="preserve"> la constitucionalidad del Decreto 1390 de 2025.</w:t>
      </w:r>
      <w:r w:rsidR="001D30E4" w:rsidRPr="004C4064">
        <w:rPr>
          <w:rFonts w:ascii="Times New Roman" w:hAnsi="Times New Roman"/>
          <w:sz w:val="28"/>
          <w:szCs w:val="28"/>
          <w:highlight w:val="yellow"/>
          <w:lang w:val="es-CO"/>
        </w:rPr>
        <w:t xml:space="preserve"> En contra de la decisión de suspensión provisional que ahora adopta la Corte no procede ningún recurso.</w:t>
      </w:r>
    </w:p>
    <w:p w14:paraId="6547A35E" w14:textId="77777777" w:rsidR="004269EC" w:rsidRPr="007F2045" w:rsidRDefault="004269EC" w:rsidP="001B5728">
      <w:pPr>
        <w:pStyle w:val="Prrafodelista"/>
        <w:tabs>
          <w:tab w:val="left" w:pos="426"/>
          <w:tab w:val="left" w:pos="567"/>
        </w:tabs>
        <w:spacing w:after="0" w:line="240" w:lineRule="auto"/>
        <w:ind w:left="0"/>
        <w:rPr>
          <w:rFonts w:ascii="Times New Roman" w:hAnsi="Times New Roman"/>
          <w:sz w:val="28"/>
          <w:szCs w:val="28"/>
          <w:lang w:val="es-CO"/>
        </w:rPr>
      </w:pPr>
    </w:p>
    <w:p w14:paraId="08533993" w14:textId="77777777" w:rsidR="004269EC" w:rsidRPr="007F2045" w:rsidRDefault="00055AA3" w:rsidP="001B5728">
      <w:pPr>
        <w:pStyle w:val="Prrafodelista"/>
        <w:numPr>
          <w:ilvl w:val="0"/>
          <w:numId w:val="2"/>
        </w:numPr>
        <w:tabs>
          <w:tab w:val="left" w:pos="284"/>
          <w:tab w:val="left" w:pos="426"/>
        </w:tabs>
        <w:spacing w:after="0" w:line="240" w:lineRule="auto"/>
        <w:ind w:left="0" w:firstLine="0"/>
        <w:rPr>
          <w:rFonts w:ascii="Times New Roman" w:hAnsi="Times New Roman"/>
          <w:sz w:val="28"/>
          <w:szCs w:val="28"/>
          <w:lang w:val="es-CO"/>
        </w:rPr>
      </w:pPr>
      <w:r w:rsidRPr="007F2045">
        <w:rPr>
          <w:rFonts w:ascii="Times New Roman" w:hAnsi="Times New Roman"/>
          <w:sz w:val="28"/>
          <w:szCs w:val="28"/>
          <w:lang w:val="es-CO"/>
        </w:rPr>
        <w:t xml:space="preserve">En suma, de todo lo expuesto, la </w:t>
      </w:r>
      <w:r w:rsidR="004269EC" w:rsidRPr="007F2045">
        <w:rPr>
          <w:rFonts w:ascii="Times New Roman" w:hAnsi="Times New Roman"/>
          <w:sz w:val="28"/>
          <w:szCs w:val="28"/>
          <w:lang w:val="es-CO"/>
        </w:rPr>
        <w:t xml:space="preserve">Corte </w:t>
      </w:r>
      <w:r w:rsidRPr="007F2045">
        <w:rPr>
          <w:rFonts w:ascii="Times New Roman" w:hAnsi="Times New Roman"/>
          <w:sz w:val="28"/>
          <w:szCs w:val="28"/>
          <w:lang w:val="es-CO"/>
        </w:rPr>
        <w:t>reitera que</w:t>
      </w:r>
      <w:r w:rsidR="004269EC" w:rsidRPr="007F2045">
        <w:rPr>
          <w:rFonts w:ascii="Times New Roman" w:hAnsi="Times New Roman"/>
          <w:sz w:val="28"/>
          <w:szCs w:val="28"/>
          <w:lang w:val="es-CO"/>
        </w:rPr>
        <w:t>, luego de examinar varios de sus pronunciamientos, constata que es competente para decidir sobre la suspensión provisional del Decreto 1390 de 2025. Con fundamento en esta premisa y en aplicación del auto 272 de 2023, concluy</w:t>
      </w:r>
      <w:r w:rsidRPr="007F2045">
        <w:rPr>
          <w:rFonts w:ascii="Times New Roman" w:hAnsi="Times New Roman"/>
          <w:sz w:val="28"/>
          <w:szCs w:val="28"/>
          <w:lang w:val="es-CO"/>
        </w:rPr>
        <w:t>e</w:t>
      </w:r>
      <w:r w:rsidR="004269EC" w:rsidRPr="007F2045">
        <w:rPr>
          <w:rFonts w:ascii="Times New Roman" w:hAnsi="Times New Roman"/>
          <w:sz w:val="28"/>
          <w:szCs w:val="28"/>
          <w:lang w:val="es-CO"/>
        </w:rPr>
        <w:t xml:space="preserve"> que respecto del decreto declaratorio se cumplen las condiciones para disponer la suspensión </w:t>
      </w:r>
      <w:r w:rsidR="004269EC" w:rsidRPr="007F2045">
        <w:rPr>
          <w:rFonts w:ascii="Times New Roman" w:hAnsi="Times New Roman"/>
          <w:sz w:val="28"/>
          <w:szCs w:val="28"/>
          <w:shd w:val="clear" w:color="auto" w:fill="FFFFFF"/>
          <w:lang w:val="es-CO"/>
        </w:rPr>
        <w:t>provisional</w:t>
      </w:r>
      <w:r w:rsidR="004269EC" w:rsidRPr="007F2045">
        <w:rPr>
          <w:rFonts w:ascii="Times New Roman" w:hAnsi="Times New Roman"/>
          <w:sz w:val="28"/>
          <w:szCs w:val="28"/>
          <w:lang w:val="es-CO"/>
        </w:rPr>
        <w:t xml:space="preserve"> de sus efectos</w:t>
      </w:r>
      <w:r w:rsidRPr="007F2045">
        <w:rPr>
          <w:rFonts w:ascii="Times New Roman" w:hAnsi="Times New Roman"/>
          <w:sz w:val="28"/>
          <w:szCs w:val="28"/>
          <w:lang w:val="es-CO"/>
        </w:rPr>
        <w:t>,</w:t>
      </w:r>
      <w:r w:rsidR="004269EC" w:rsidRPr="007F2045">
        <w:rPr>
          <w:rFonts w:ascii="Times New Roman" w:hAnsi="Times New Roman"/>
          <w:sz w:val="28"/>
          <w:szCs w:val="28"/>
          <w:lang w:val="es-CO"/>
        </w:rPr>
        <w:t xml:space="preserve"> y así lo dispondrá en la parte resolutiva. Para la Corte</w:t>
      </w:r>
      <w:r w:rsidR="001A2095" w:rsidRPr="007F2045">
        <w:rPr>
          <w:rFonts w:ascii="Times New Roman" w:hAnsi="Times New Roman"/>
          <w:sz w:val="28"/>
          <w:szCs w:val="28"/>
          <w:lang w:val="es-CO"/>
        </w:rPr>
        <w:t>,</w:t>
      </w:r>
      <w:r w:rsidR="004269EC" w:rsidRPr="007F2045">
        <w:rPr>
          <w:rFonts w:ascii="Times New Roman" w:hAnsi="Times New Roman"/>
          <w:sz w:val="28"/>
          <w:szCs w:val="28"/>
          <w:lang w:val="es-CO"/>
        </w:rPr>
        <w:t xml:space="preserve"> esta decisión encuentra pleno fundamento en su deber de garantizar la vigencia del Estado Social de Derecho, la separación de poderes y la democracia.</w:t>
      </w:r>
    </w:p>
    <w:p w14:paraId="7BD46981" w14:textId="77777777" w:rsidR="00E76856" w:rsidRPr="007F2045" w:rsidRDefault="00E76856" w:rsidP="001B5728">
      <w:pPr>
        <w:spacing w:after="0" w:line="240" w:lineRule="auto"/>
        <w:rPr>
          <w:rFonts w:ascii="Times New Roman" w:hAnsi="Times New Roman"/>
          <w:sz w:val="28"/>
          <w:szCs w:val="28"/>
          <w:lang w:val="es-CO"/>
        </w:rPr>
      </w:pPr>
    </w:p>
    <w:p w14:paraId="1EE08768" w14:textId="77777777" w:rsidR="00E76856" w:rsidRPr="007F2045" w:rsidRDefault="00E76856" w:rsidP="001B5728">
      <w:pPr>
        <w:pStyle w:val="Ttulo1"/>
        <w:rPr>
          <w:lang w:val="es-CO"/>
        </w:rPr>
      </w:pPr>
      <w:r w:rsidRPr="007F2045">
        <w:rPr>
          <w:lang w:val="es-CO"/>
        </w:rPr>
        <w:t>DECISIÓN</w:t>
      </w:r>
    </w:p>
    <w:p w14:paraId="26B758E8" w14:textId="77777777" w:rsidR="00E76856" w:rsidRPr="007F2045" w:rsidRDefault="00E76856" w:rsidP="001B5728">
      <w:pPr>
        <w:spacing w:after="0" w:line="240" w:lineRule="auto"/>
        <w:rPr>
          <w:rFonts w:ascii="Times New Roman" w:hAnsi="Times New Roman"/>
          <w:sz w:val="28"/>
          <w:szCs w:val="28"/>
          <w:lang w:val="es-CO"/>
        </w:rPr>
      </w:pPr>
    </w:p>
    <w:p w14:paraId="62DA71A1" w14:textId="77777777" w:rsidR="00E76856" w:rsidRPr="007F2045" w:rsidRDefault="00E76856" w:rsidP="001B5728">
      <w:pPr>
        <w:spacing w:after="0" w:line="240" w:lineRule="auto"/>
        <w:rPr>
          <w:rFonts w:ascii="Times New Roman" w:hAnsi="Times New Roman"/>
          <w:sz w:val="28"/>
          <w:szCs w:val="28"/>
          <w:lang w:val="es-CO"/>
        </w:rPr>
      </w:pPr>
      <w:r w:rsidRPr="007F2045">
        <w:rPr>
          <w:rFonts w:ascii="Times New Roman" w:hAnsi="Times New Roman"/>
          <w:sz w:val="28"/>
          <w:szCs w:val="28"/>
          <w:lang w:val="es-CO"/>
        </w:rPr>
        <w:t>En mérito de lo expuesto, la Corte Constitucional de Colombia, por mandato de la Constitución,</w:t>
      </w:r>
    </w:p>
    <w:p w14:paraId="714613EA" w14:textId="77777777" w:rsidR="00E76856" w:rsidRPr="007F2045" w:rsidRDefault="00E76856" w:rsidP="001B5728">
      <w:pPr>
        <w:spacing w:after="0" w:line="240" w:lineRule="auto"/>
        <w:jc w:val="center"/>
        <w:rPr>
          <w:rFonts w:ascii="Times New Roman" w:hAnsi="Times New Roman"/>
          <w:b/>
          <w:sz w:val="28"/>
          <w:szCs w:val="28"/>
          <w:lang w:val="es-CO"/>
        </w:rPr>
      </w:pPr>
    </w:p>
    <w:p w14:paraId="2876DD76" w14:textId="77777777" w:rsidR="00E76856" w:rsidRPr="007F2045" w:rsidRDefault="00E76856" w:rsidP="001B5728">
      <w:pPr>
        <w:spacing w:after="0" w:line="240" w:lineRule="auto"/>
        <w:jc w:val="center"/>
        <w:rPr>
          <w:rFonts w:ascii="Times New Roman" w:hAnsi="Times New Roman"/>
          <w:b/>
          <w:sz w:val="28"/>
          <w:szCs w:val="28"/>
          <w:lang w:val="es-CO"/>
        </w:rPr>
      </w:pPr>
      <w:r w:rsidRPr="007F2045">
        <w:rPr>
          <w:rFonts w:ascii="Times New Roman" w:hAnsi="Times New Roman"/>
          <w:b/>
          <w:sz w:val="28"/>
          <w:szCs w:val="28"/>
          <w:lang w:val="es-CO"/>
        </w:rPr>
        <w:t>RESUELVE</w:t>
      </w:r>
    </w:p>
    <w:p w14:paraId="731ACF9B" w14:textId="77777777" w:rsidR="00E76856" w:rsidRPr="007F2045" w:rsidRDefault="00E76856" w:rsidP="001B5728">
      <w:pPr>
        <w:spacing w:after="0" w:line="240" w:lineRule="auto"/>
        <w:rPr>
          <w:rFonts w:ascii="Times New Roman" w:hAnsi="Times New Roman"/>
          <w:sz w:val="28"/>
          <w:szCs w:val="28"/>
          <w:lang w:val="es-CO"/>
        </w:rPr>
      </w:pPr>
    </w:p>
    <w:p w14:paraId="669B620B" w14:textId="77777777" w:rsidR="00E76856" w:rsidRPr="007F2045" w:rsidRDefault="00E76856" w:rsidP="001B5728">
      <w:pPr>
        <w:spacing w:after="0" w:line="240" w:lineRule="auto"/>
        <w:rPr>
          <w:rFonts w:ascii="Times New Roman" w:hAnsi="Times New Roman"/>
          <w:sz w:val="28"/>
          <w:szCs w:val="28"/>
          <w:lang w:val="es-CO"/>
        </w:rPr>
      </w:pPr>
      <w:r w:rsidRPr="007F2045">
        <w:rPr>
          <w:rFonts w:ascii="Times New Roman" w:hAnsi="Times New Roman"/>
          <w:b/>
          <w:sz w:val="28"/>
          <w:szCs w:val="28"/>
          <w:lang w:val="es-CO"/>
        </w:rPr>
        <w:t>PRIMERO</w:t>
      </w:r>
      <w:r w:rsidR="00DD3E3C" w:rsidRPr="007F2045">
        <w:rPr>
          <w:rFonts w:ascii="Times New Roman" w:hAnsi="Times New Roman"/>
          <w:b/>
          <w:sz w:val="28"/>
          <w:szCs w:val="28"/>
          <w:lang w:val="es-CO"/>
        </w:rPr>
        <w:t xml:space="preserve">: </w:t>
      </w:r>
      <w:r w:rsidRPr="007F2045">
        <w:rPr>
          <w:rFonts w:ascii="Times New Roman" w:hAnsi="Times New Roman"/>
          <w:b/>
          <w:sz w:val="28"/>
          <w:szCs w:val="28"/>
          <w:lang w:val="es-CO"/>
        </w:rPr>
        <w:t>SUSPENDER PROVISIONALMENTE</w:t>
      </w:r>
      <w:r w:rsidRPr="007F2045">
        <w:rPr>
          <w:rFonts w:ascii="Times New Roman" w:hAnsi="Times New Roman"/>
          <w:sz w:val="28"/>
          <w:szCs w:val="28"/>
          <w:lang w:val="es-CO"/>
        </w:rPr>
        <w:t xml:space="preserve"> el Decreto 1390 del 22 de diciembre de 2025, “[p]</w:t>
      </w:r>
      <w:proofErr w:type="spellStart"/>
      <w:r w:rsidRPr="007F2045">
        <w:rPr>
          <w:rFonts w:ascii="Times New Roman" w:hAnsi="Times New Roman"/>
          <w:sz w:val="28"/>
          <w:szCs w:val="28"/>
          <w:lang w:val="es-CO"/>
        </w:rPr>
        <w:t>or</w:t>
      </w:r>
      <w:proofErr w:type="spellEnd"/>
      <w:r w:rsidRPr="007F2045">
        <w:rPr>
          <w:rFonts w:ascii="Times New Roman" w:hAnsi="Times New Roman"/>
          <w:sz w:val="28"/>
          <w:szCs w:val="28"/>
          <w:lang w:val="es-CO"/>
        </w:rPr>
        <w:t xml:space="preserve"> el cual se declara el Estado de Emergencia Económica y Social en todo el territorio nacional”, hasta tanto la Sala Plena de la Corte Constitucional profiera una decisión de fondo.</w:t>
      </w:r>
    </w:p>
    <w:p w14:paraId="720D4032" w14:textId="77777777" w:rsidR="00F346A2" w:rsidRPr="007F2045" w:rsidRDefault="00F346A2" w:rsidP="001B5728">
      <w:pPr>
        <w:spacing w:after="0" w:line="240" w:lineRule="auto"/>
        <w:rPr>
          <w:rFonts w:ascii="Times New Roman" w:hAnsi="Times New Roman"/>
          <w:sz w:val="28"/>
          <w:szCs w:val="28"/>
          <w:lang w:val="es-CO"/>
        </w:rPr>
      </w:pPr>
    </w:p>
    <w:p w14:paraId="0164B634" w14:textId="77777777" w:rsidR="00F346A2" w:rsidRPr="007E4847" w:rsidRDefault="00F346A2" w:rsidP="001B5728">
      <w:pPr>
        <w:spacing w:after="0" w:line="240" w:lineRule="auto"/>
        <w:rPr>
          <w:rFonts w:ascii="Times New Roman" w:hAnsi="Times New Roman"/>
          <w:sz w:val="28"/>
          <w:szCs w:val="28"/>
          <w:lang w:val="es-CO"/>
        </w:rPr>
      </w:pPr>
      <w:r w:rsidRPr="007F2045">
        <w:rPr>
          <w:rFonts w:ascii="Times New Roman" w:hAnsi="Times New Roman"/>
          <w:sz w:val="28"/>
          <w:szCs w:val="28"/>
          <w:lang w:val="es-CO"/>
        </w:rPr>
        <w:t>Notifíquese y cúmplase</w:t>
      </w:r>
    </w:p>
    <w:p w14:paraId="0FAE9C12" w14:textId="77777777" w:rsidR="00E76856" w:rsidRPr="007E4847" w:rsidRDefault="00E76856" w:rsidP="00D924B6">
      <w:pPr>
        <w:spacing w:after="0" w:line="240" w:lineRule="auto"/>
        <w:jc w:val="center"/>
        <w:rPr>
          <w:rFonts w:ascii="Times New Roman" w:hAnsi="Times New Roman"/>
          <w:lang w:val="es-CO"/>
        </w:rPr>
      </w:pPr>
    </w:p>
    <w:p w14:paraId="38A61457" w14:textId="77777777" w:rsidR="00D924B6" w:rsidRPr="00B808B5" w:rsidRDefault="00D924B6" w:rsidP="00D924B6">
      <w:pPr>
        <w:spacing w:after="0" w:line="240" w:lineRule="auto"/>
        <w:jc w:val="center"/>
        <w:rPr>
          <w:rFonts w:ascii="Times New Roman" w:hAnsi="Times New Roman"/>
          <w:sz w:val="28"/>
          <w:szCs w:val="28"/>
          <w:lang w:val="es-CO"/>
        </w:rPr>
      </w:pPr>
      <w:r w:rsidRPr="00B808B5">
        <w:rPr>
          <w:rFonts w:ascii="Times New Roman" w:hAnsi="Times New Roman"/>
          <w:sz w:val="28"/>
          <w:szCs w:val="28"/>
          <w:lang w:val="es-CO"/>
        </w:rPr>
        <w:t>JORGE ENRIQUE IBÁÑEZ NAJAR</w:t>
      </w:r>
    </w:p>
    <w:p w14:paraId="56671C9E" w14:textId="77777777" w:rsidR="00D924B6" w:rsidRPr="00B808B5" w:rsidRDefault="00D924B6" w:rsidP="00D924B6">
      <w:pPr>
        <w:spacing w:after="0" w:line="240" w:lineRule="auto"/>
        <w:jc w:val="center"/>
        <w:rPr>
          <w:rFonts w:ascii="Times New Roman" w:hAnsi="Times New Roman"/>
          <w:sz w:val="28"/>
          <w:szCs w:val="28"/>
          <w:lang w:val="es-CO"/>
        </w:rPr>
      </w:pPr>
      <w:r w:rsidRPr="00B808B5">
        <w:rPr>
          <w:rFonts w:ascii="Times New Roman" w:hAnsi="Times New Roman"/>
          <w:sz w:val="28"/>
          <w:szCs w:val="28"/>
          <w:lang w:val="es-CO"/>
        </w:rPr>
        <w:t>Presidente</w:t>
      </w:r>
    </w:p>
    <w:p w14:paraId="4CC1B4CF" w14:textId="77777777" w:rsidR="00D924B6" w:rsidRPr="00B808B5" w:rsidRDefault="00D924B6" w:rsidP="00D924B6">
      <w:pPr>
        <w:spacing w:after="0" w:line="240" w:lineRule="auto"/>
        <w:jc w:val="center"/>
        <w:rPr>
          <w:rFonts w:ascii="Times New Roman" w:hAnsi="Times New Roman"/>
          <w:sz w:val="28"/>
          <w:szCs w:val="28"/>
          <w:lang w:val="es-CO"/>
        </w:rPr>
      </w:pPr>
      <w:r w:rsidRPr="00B808B5">
        <w:rPr>
          <w:rFonts w:ascii="Times New Roman" w:hAnsi="Times New Roman"/>
          <w:sz w:val="28"/>
          <w:szCs w:val="28"/>
          <w:lang w:val="es-CO"/>
        </w:rPr>
        <w:t>Con impedimento aceptado</w:t>
      </w:r>
    </w:p>
    <w:p w14:paraId="3E425A1E" w14:textId="77777777" w:rsidR="00D924B6" w:rsidRPr="00B808B5" w:rsidRDefault="00D924B6" w:rsidP="00D924B6">
      <w:pPr>
        <w:spacing w:after="0" w:line="240" w:lineRule="auto"/>
        <w:jc w:val="center"/>
        <w:rPr>
          <w:rFonts w:ascii="Times New Roman" w:hAnsi="Times New Roman"/>
          <w:sz w:val="28"/>
          <w:szCs w:val="28"/>
          <w:lang w:val="es-CO"/>
        </w:rPr>
      </w:pPr>
    </w:p>
    <w:p w14:paraId="1288007A" w14:textId="77777777" w:rsidR="00D924B6" w:rsidRPr="00B808B5" w:rsidRDefault="00D924B6" w:rsidP="00D924B6">
      <w:pPr>
        <w:spacing w:after="0" w:line="240" w:lineRule="auto"/>
        <w:jc w:val="center"/>
        <w:rPr>
          <w:rFonts w:ascii="Times New Roman" w:hAnsi="Times New Roman"/>
          <w:sz w:val="28"/>
          <w:szCs w:val="28"/>
          <w:lang w:val="es-CO"/>
        </w:rPr>
      </w:pPr>
      <w:r w:rsidRPr="00B808B5">
        <w:rPr>
          <w:rFonts w:ascii="Times New Roman" w:hAnsi="Times New Roman"/>
          <w:sz w:val="28"/>
          <w:szCs w:val="28"/>
          <w:lang w:val="es-CO"/>
        </w:rPr>
        <w:t>NATALIA ÁNGEL CABO</w:t>
      </w:r>
    </w:p>
    <w:p w14:paraId="0686F80E" w14:textId="77777777" w:rsidR="00D924B6" w:rsidRPr="00B808B5" w:rsidRDefault="00D924B6" w:rsidP="00D924B6">
      <w:pPr>
        <w:spacing w:after="0" w:line="240" w:lineRule="auto"/>
        <w:jc w:val="center"/>
        <w:rPr>
          <w:rFonts w:ascii="Times New Roman" w:hAnsi="Times New Roman"/>
          <w:sz w:val="28"/>
          <w:szCs w:val="28"/>
          <w:lang w:val="es-CO"/>
        </w:rPr>
      </w:pPr>
      <w:r w:rsidRPr="00B808B5">
        <w:rPr>
          <w:rFonts w:ascii="Times New Roman" w:hAnsi="Times New Roman"/>
          <w:sz w:val="28"/>
          <w:szCs w:val="28"/>
          <w:lang w:val="es-CO"/>
        </w:rPr>
        <w:t>Magistrada</w:t>
      </w:r>
    </w:p>
    <w:p w14:paraId="02E6D940" w14:textId="77777777" w:rsidR="00D924B6" w:rsidRPr="00B808B5" w:rsidRDefault="00D924B6" w:rsidP="00D924B6">
      <w:pPr>
        <w:spacing w:after="0" w:line="240" w:lineRule="auto"/>
        <w:jc w:val="center"/>
        <w:rPr>
          <w:rFonts w:ascii="Times New Roman" w:hAnsi="Times New Roman"/>
          <w:sz w:val="28"/>
          <w:szCs w:val="28"/>
          <w:lang w:val="es-CO"/>
        </w:rPr>
      </w:pPr>
      <w:r w:rsidRPr="00B808B5">
        <w:rPr>
          <w:rFonts w:ascii="Times New Roman" w:hAnsi="Times New Roman"/>
          <w:sz w:val="28"/>
          <w:szCs w:val="28"/>
          <w:lang w:val="es-CO"/>
        </w:rPr>
        <w:t>Con aclaración de voto</w:t>
      </w:r>
    </w:p>
    <w:p w14:paraId="6D292D83" w14:textId="77777777" w:rsidR="00D924B6" w:rsidRPr="00B808B5" w:rsidRDefault="00D924B6" w:rsidP="00D924B6">
      <w:pPr>
        <w:spacing w:after="0" w:line="240" w:lineRule="auto"/>
        <w:jc w:val="center"/>
        <w:rPr>
          <w:rFonts w:ascii="Times New Roman" w:hAnsi="Times New Roman"/>
          <w:sz w:val="28"/>
          <w:szCs w:val="28"/>
          <w:lang w:val="es-CO"/>
        </w:rPr>
      </w:pPr>
    </w:p>
    <w:p w14:paraId="5FC3DC72" w14:textId="77777777" w:rsidR="00D924B6" w:rsidRPr="00DD1876" w:rsidRDefault="00D924B6" w:rsidP="00D924B6">
      <w:pPr>
        <w:spacing w:after="0" w:line="240" w:lineRule="auto"/>
        <w:jc w:val="center"/>
        <w:rPr>
          <w:rFonts w:ascii="Times New Roman" w:hAnsi="Times New Roman"/>
          <w:sz w:val="28"/>
          <w:szCs w:val="28"/>
          <w:lang w:val="pt-PT"/>
        </w:rPr>
      </w:pPr>
      <w:r w:rsidRPr="00DD1876">
        <w:rPr>
          <w:rFonts w:ascii="Times New Roman" w:hAnsi="Times New Roman"/>
          <w:sz w:val="28"/>
          <w:szCs w:val="28"/>
          <w:lang w:val="pt-PT"/>
        </w:rPr>
        <w:t>CARLOS CAMARGO ASSIS</w:t>
      </w:r>
    </w:p>
    <w:p w14:paraId="77ECFADF" w14:textId="77777777" w:rsidR="00D924B6" w:rsidRPr="00DD1876" w:rsidRDefault="00D924B6" w:rsidP="00D924B6">
      <w:pPr>
        <w:spacing w:after="0" w:line="240" w:lineRule="auto"/>
        <w:jc w:val="center"/>
        <w:rPr>
          <w:rFonts w:ascii="Times New Roman" w:hAnsi="Times New Roman"/>
          <w:sz w:val="28"/>
          <w:szCs w:val="28"/>
          <w:lang w:val="pt-PT"/>
        </w:rPr>
      </w:pPr>
      <w:r w:rsidRPr="00DD1876">
        <w:rPr>
          <w:rFonts w:ascii="Times New Roman" w:hAnsi="Times New Roman"/>
          <w:sz w:val="28"/>
          <w:szCs w:val="28"/>
          <w:lang w:val="pt-PT"/>
        </w:rPr>
        <w:t>Magistrado</w:t>
      </w:r>
    </w:p>
    <w:p w14:paraId="596127B5" w14:textId="77777777" w:rsidR="00D924B6" w:rsidRPr="00DD1876" w:rsidRDefault="00D924B6" w:rsidP="00D924B6">
      <w:pPr>
        <w:spacing w:after="0" w:line="240" w:lineRule="auto"/>
        <w:jc w:val="center"/>
        <w:rPr>
          <w:rFonts w:ascii="Times New Roman" w:hAnsi="Times New Roman"/>
          <w:sz w:val="28"/>
          <w:szCs w:val="28"/>
          <w:lang w:val="pt-PT"/>
        </w:rPr>
      </w:pPr>
    </w:p>
    <w:p w14:paraId="7F3D3DC4" w14:textId="77777777" w:rsidR="00D924B6" w:rsidRPr="00DD1876" w:rsidRDefault="00D924B6" w:rsidP="00D924B6">
      <w:pPr>
        <w:spacing w:after="0" w:line="240" w:lineRule="auto"/>
        <w:jc w:val="center"/>
        <w:rPr>
          <w:rFonts w:ascii="Times New Roman" w:hAnsi="Times New Roman"/>
          <w:sz w:val="28"/>
          <w:szCs w:val="28"/>
          <w:lang w:val="pt-PT"/>
        </w:rPr>
      </w:pPr>
      <w:r w:rsidRPr="00DD1876">
        <w:rPr>
          <w:rFonts w:ascii="Times New Roman" w:hAnsi="Times New Roman"/>
          <w:sz w:val="28"/>
          <w:szCs w:val="28"/>
          <w:lang w:val="pt-PT"/>
        </w:rPr>
        <w:t>HECTOR ALFONSO CARVAJAL LONDOÑO</w:t>
      </w:r>
    </w:p>
    <w:p w14:paraId="6B77816F" w14:textId="77777777" w:rsidR="00D924B6" w:rsidRPr="00DD1876" w:rsidRDefault="00D924B6" w:rsidP="00D924B6">
      <w:pPr>
        <w:spacing w:after="0" w:line="240" w:lineRule="auto"/>
        <w:jc w:val="center"/>
        <w:rPr>
          <w:rFonts w:ascii="Times New Roman" w:hAnsi="Times New Roman"/>
          <w:sz w:val="28"/>
          <w:szCs w:val="28"/>
          <w:lang w:val="pt-PT"/>
        </w:rPr>
      </w:pPr>
      <w:r w:rsidRPr="00DD1876">
        <w:rPr>
          <w:rFonts w:ascii="Times New Roman" w:hAnsi="Times New Roman"/>
          <w:sz w:val="28"/>
          <w:szCs w:val="28"/>
          <w:lang w:val="pt-PT"/>
        </w:rPr>
        <w:t>Magistrado</w:t>
      </w:r>
    </w:p>
    <w:p w14:paraId="62AD7BA1" w14:textId="77777777" w:rsidR="00D924B6" w:rsidRPr="00B808B5" w:rsidRDefault="00D924B6" w:rsidP="00D924B6">
      <w:pPr>
        <w:spacing w:after="0" w:line="240" w:lineRule="auto"/>
        <w:jc w:val="center"/>
        <w:rPr>
          <w:rFonts w:ascii="Times New Roman" w:hAnsi="Times New Roman"/>
          <w:sz w:val="28"/>
          <w:szCs w:val="28"/>
          <w:lang w:val="es-CO"/>
        </w:rPr>
      </w:pPr>
      <w:r w:rsidRPr="00B808B5">
        <w:rPr>
          <w:rFonts w:ascii="Times New Roman" w:hAnsi="Times New Roman"/>
          <w:sz w:val="28"/>
          <w:szCs w:val="28"/>
          <w:lang w:val="es-CO"/>
        </w:rPr>
        <w:t>Con salvamento de voto</w:t>
      </w:r>
    </w:p>
    <w:p w14:paraId="346CB684" w14:textId="77777777" w:rsidR="00D924B6" w:rsidRPr="00B808B5" w:rsidRDefault="00D924B6" w:rsidP="00D924B6">
      <w:pPr>
        <w:spacing w:after="0" w:line="240" w:lineRule="auto"/>
        <w:jc w:val="center"/>
        <w:rPr>
          <w:rFonts w:ascii="Times New Roman" w:hAnsi="Times New Roman"/>
          <w:sz w:val="28"/>
          <w:szCs w:val="28"/>
          <w:lang w:val="es-CO"/>
        </w:rPr>
      </w:pPr>
    </w:p>
    <w:p w14:paraId="49A2B66D" w14:textId="77777777" w:rsidR="00D924B6" w:rsidRPr="00B808B5" w:rsidRDefault="00D924B6" w:rsidP="00D924B6">
      <w:pPr>
        <w:spacing w:after="0" w:line="240" w:lineRule="auto"/>
        <w:jc w:val="center"/>
        <w:rPr>
          <w:rFonts w:ascii="Times New Roman" w:hAnsi="Times New Roman"/>
          <w:sz w:val="28"/>
          <w:szCs w:val="28"/>
          <w:lang w:val="es-CO"/>
        </w:rPr>
      </w:pPr>
      <w:r w:rsidRPr="00B808B5">
        <w:rPr>
          <w:rFonts w:ascii="Times New Roman" w:hAnsi="Times New Roman"/>
          <w:sz w:val="28"/>
          <w:szCs w:val="28"/>
          <w:lang w:val="es-CO"/>
        </w:rPr>
        <w:t>JUAN CARLOS CORTÉS GONZÁLEZ</w:t>
      </w:r>
    </w:p>
    <w:p w14:paraId="023D5096" w14:textId="77777777" w:rsidR="00D924B6" w:rsidRPr="00B808B5" w:rsidRDefault="00D924B6" w:rsidP="00D924B6">
      <w:pPr>
        <w:spacing w:after="0" w:line="240" w:lineRule="auto"/>
        <w:jc w:val="center"/>
        <w:rPr>
          <w:rFonts w:ascii="Times New Roman" w:hAnsi="Times New Roman"/>
          <w:sz w:val="28"/>
          <w:szCs w:val="28"/>
          <w:lang w:val="es-CO"/>
        </w:rPr>
      </w:pPr>
      <w:r w:rsidRPr="00B808B5">
        <w:rPr>
          <w:rFonts w:ascii="Times New Roman" w:hAnsi="Times New Roman"/>
          <w:sz w:val="28"/>
          <w:szCs w:val="28"/>
          <w:lang w:val="es-CO"/>
        </w:rPr>
        <w:t>Magistrado</w:t>
      </w:r>
    </w:p>
    <w:p w14:paraId="05494DEE" w14:textId="77777777" w:rsidR="00D924B6" w:rsidRPr="00B808B5" w:rsidRDefault="00D924B6" w:rsidP="00D924B6">
      <w:pPr>
        <w:spacing w:after="0" w:line="240" w:lineRule="auto"/>
        <w:jc w:val="center"/>
        <w:rPr>
          <w:rFonts w:ascii="Times New Roman" w:hAnsi="Times New Roman"/>
          <w:sz w:val="28"/>
          <w:szCs w:val="28"/>
          <w:lang w:val="es-CO"/>
        </w:rPr>
      </w:pPr>
      <w:r w:rsidRPr="00B808B5">
        <w:rPr>
          <w:rFonts w:ascii="Times New Roman" w:hAnsi="Times New Roman"/>
          <w:sz w:val="28"/>
          <w:szCs w:val="28"/>
          <w:lang w:val="es-CO"/>
        </w:rPr>
        <w:t>Con Aclaración de voto</w:t>
      </w:r>
    </w:p>
    <w:p w14:paraId="683F6938" w14:textId="77777777" w:rsidR="00D924B6" w:rsidRPr="00B808B5" w:rsidRDefault="00D924B6" w:rsidP="00D924B6">
      <w:pPr>
        <w:spacing w:after="0" w:line="240" w:lineRule="auto"/>
        <w:jc w:val="center"/>
        <w:rPr>
          <w:rFonts w:ascii="Times New Roman" w:hAnsi="Times New Roman"/>
          <w:sz w:val="28"/>
          <w:szCs w:val="28"/>
          <w:lang w:val="es-CO"/>
        </w:rPr>
      </w:pPr>
    </w:p>
    <w:p w14:paraId="63B47E4C" w14:textId="77777777" w:rsidR="00D924B6" w:rsidRPr="00B808B5" w:rsidRDefault="00D924B6" w:rsidP="00D924B6">
      <w:pPr>
        <w:spacing w:after="0" w:line="240" w:lineRule="auto"/>
        <w:jc w:val="center"/>
        <w:rPr>
          <w:rFonts w:ascii="Times New Roman" w:hAnsi="Times New Roman"/>
          <w:sz w:val="28"/>
          <w:szCs w:val="28"/>
          <w:lang w:val="es-CO"/>
        </w:rPr>
      </w:pPr>
      <w:r w:rsidRPr="00B808B5">
        <w:rPr>
          <w:rFonts w:ascii="Times New Roman" w:hAnsi="Times New Roman"/>
          <w:sz w:val="28"/>
          <w:szCs w:val="28"/>
          <w:lang w:val="es-CO"/>
        </w:rPr>
        <w:t>LINA MARCELA ESCOBAR MARTÍNEZ</w:t>
      </w:r>
    </w:p>
    <w:p w14:paraId="1E5E08EC" w14:textId="77777777" w:rsidR="00D924B6" w:rsidRPr="00DD1876" w:rsidRDefault="00D924B6" w:rsidP="00D924B6">
      <w:pPr>
        <w:spacing w:after="0" w:line="240" w:lineRule="auto"/>
        <w:jc w:val="center"/>
        <w:rPr>
          <w:rFonts w:ascii="Times New Roman" w:hAnsi="Times New Roman"/>
          <w:sz w:val="28"/>
          <w:szCs w:val="28"/>
          <w:lang w:val="pt-PT"/>
        </w:rPr>
      </w:pPr>
      <w:r w:rsidRPr="00DD1876">
        <w:rPr>
          <w:rFonts w:ascii="Times New Roman" w:hAnsi="Times New Roman"/>
          <w:sz w:val="28"/>
          <w:szCs w:val="28"/>
          <w:lang w:val="pt-PT"/>
        </w:rPr>
        <w:t>Magistrada</w:t>
      </w:r>
    </w:p>
    <w:p w14:paraId="1888FB03" w14:textId="77777777" w:rsidR="00D924B6" w:rsidRPr="00DD1876" w:rsidRDefault="00D924B6" w:rsidP="00D924B6">
      <w:pPr>
        <w:spacing w:after="0" w:line="240" w:lineRule="auto"/>
        <w:jc w:val="center"/>
        <w:rPr>
          <w:rFonts w:ascii="Times New Roman" w:hAnsi="Times New Roman"/>
          <w:sz w:val="28"/>
          <w:szCs w:val="28"/>
          <w:lang w:val="pt-PT"/>
        </w:rPr>
      </w:pPr>
    </w:p>
    <w:p w14:paraId="5A125B2F" w14:textId="77777777" w:rsidR="00D924B6" w:rsidRPr="00DD1876" w:rsidRDefault="00D924B6" w:rsidP="00D924B6">
      <w:pPr>
        <w:spacing w:after="0" w:line="240" w:lineRule="auto"/>
        <w:jc w:val="center"/>
        <w:rPr>
          <w:rFonts w:ascii="Times New Roman" w:hAnsi="Times New Roman"/>
          <w:sz w:val="28"/>
          <w:szCs w:val="28"/>
          <w:lang w:val="pt-PT"/>
        </w:rPr>
      </w:pPr>
      <w:r w:rsidRPr="00DD1876">
        <w:rPr>
          <w:rFonts w:ascii="Times New Roman" w:hAnsi="Times New Roman"/>
          <w:sz w:val="28"/>
          <w:szCs w:val="28"/>
          <w:lang w:val="pt-PT"/>
        </w:rPr>
        <w:t>VLADIMIR FERNÁNDEZ ANDRADE</w:t>
      </w:r>
    </w:p>
    <w:p w14:paraId="0D4103A7" w14:textId="77777777" w:rsidR="00D924B6" w:rsidRPr="00DD1876" w:rsidRDefault="00D924B6" w:rsidP="00D924B6">
      <w:pPr>
        <w:spacing w:after="0" w:line="240" w:lineRule="auto"/>
        <w:jc w:val="center"/>
        <w:rPr>
          <w:rFonts w:ascii="Times New Roman" w:hAnsi="Times New Roman"/>
          <w:sz w:val="28"/>
          <w:szCs w:val="28"/>
          <w:lang w:val="pt-PT"/>
        </w:rPr>
      </w:pPr>
      <w:r w:rsidRPr="00DD1876">
        <w:rPr>
          <w:rFonts w:ascii="Times New Roman" w:hAnsi="Times New Roman"/>
          <w:sz w:val="28"/>
          <w:szCs w:val="28"/>
          <w:lang w:val="pt-PT"/>
        </w:rPr>
        <w:t>Magistrado</w:t>
      </w:r>
    </w:p>
    <w:p w14:paraId="1235CE86" w14:textId="77777777" w:rsidR="00D924B6" w:rsidRPr="00DD1876" w:rsidRDefault="00D924B6" w:rsidP="00D924B6">
      <w:pPr>
        <w:spacing w:after="0" w:line="240" w:lineRule="auto"/>
        <w:jc w:val="center"/>
        <w:rPr>
          <w:rFonts w:ascii="Times New Roman" w:hAnsi="Times New Roman"/>
          <w:sz w:val="28"/>
          <w:szCs w:val="28"/>
          <w:lang w:val="pt-PT"/>
        </w:rPr>
      </w:pPr>
      <w:r w:rsidRPr="00DD1876">
        <w:rPr>
          <w:rFonts w:ascii="Times New Roman" w:hAnsi="Times New Roman"/>
          <w:sz w:val="28"/>
          <w:szCs w:val="28"/>
          <w:lang w:val="pt-PT"/>
        </w:rPr>
        <w:t>Salvamento de voto</w:t>
      </w:r>
    </w:p>
    <w:p w14:paraId="3540AEA4" w14:textId="77777777" w:rsidR="00D924B6" w:rsidRPr="00DD1876" w:rsidRDefault="00D924B6" w:rsidP="00D924B6">
      <w:pPr>
        <w:spacing w:after="0" w:line="240" w:lineRule="auto"/>
        <w:jc w:val="center"/>
        <w:rPr>
          <w:rFonts w:ascii="Times New Roman" w:hAnsi="Times New Roman"/>
          <w:sz w:val="28"/>
          <w:szCs w:val="28"/>
          <w:lang w:val="pt-PT"/>
        </w:rPr>
      </w:pPr>
    </w:p>
    <w:p w14:paraId="0D7899C1" w14:textId="77777777" w:rsidR="00D924B6" w:rsidRPr="00DD1876" w:rsidRDefault="00D924B6" w:rsidP="00D924B6">
      <w:pPr>
        <w:spacing w:after="0" w:line="240" w:lineRule="auto"/>
        <w:jc w:val="center"/>
        <w:rPr>
          <w:rFonts w:ascii="Times New Roman" w:hAnsi="Times New Roman"/>
          <w:sz w:val="28"/>
          <w:szCs w:val="28"/>
          <w:lang w:val="pt-PT"/>
        </w:rPr>
      </w:pPr>
      <w:r w:rsidRPr="00DD1876">
        <w:rPr>
          <w:rFonts w:ascii="Times New Roman" w:hAnsi="Times New Roman"/>
          <w:sz w:val="28"/>
          <w:szCs w:val="28"/>
          <w:lang w:val="pt-PT"/>
        </w:rPr>
        <w:t>PAOLA ANDREA MENESES MOSQUERA</w:t>
      </w:r>
    </w:p>
    <w:p w14:paraId="66AF4239" w14:textId="77777777" w:rsidR="00D924B6" w:rsidRPr="00DD1876" w:rsidRDefault="00D924B6" w:rsidP="00D924B6">
      <w:pPr>
        <w:spacing w:after="0" w:line="240" w:lineRule="auto"/>
        <w:jc w:val="center"/>
        <w:rPr>
          <w:rFonts w:ascii="Times New Roman" w:hAnsi="Times New Roman"/>
          <w:sz w:val="28"/>
          <w:szCs w:val="28"/>
          <w:lang w:val="pt-PT"/>
        </w:rPr>
      </w:pPr>
      <w:r w:rsidRPr="00DD1876">
        <w:rPr>
          <w:rFonts w:ascii="Times New Roman" w:hAnsi="Times New Roman"/>
          <w:sz w:val="28"/>
          <w:szCs w:val="28"/>
          <w:lang w:val="pt-PT"/>
        </w:rPr>
        <w:t>Magistrada</w:t>
      </w:r>
    </w:p>
    <w:p w14:paraId="6C8C7EFD" w14:textId="77777777" w:rsidR="00D924B6" w:rsidRPr="00DD1876" w:rsidRDefault="00D924B6" w:rsidP="00D924B6">
      <w:pPr>
        <w:spacing w:after="0" w:line="240" w:lineRule="auto"/>
        <w:jc w:val="center"/>
        <w:rPr>
          <w:rFonts w:ascii="Times New Roman" w:hAnsi="Times New Roman"/>
          <w:sz w:val="28"/>
          <w:szCs w:val="28"/>
          <w:lang w:val="pt-PT"/>
        </w:rPr>
      </w:pPr>
    </w:p>
    <w:p w14:paraId="64F09A88" w14:textId="77777777" w:rsidR="00D924B6" w:rsidRPr="00DD1876" w:rsidRDefault="00D924B6" w:rsidP="00D924B6">
      <w:pPr>
        <w:spacing w:after="0" w:line="240" w:lineRule="auto"/>
        <w:jc w:val="center"/>
        <w:rPr>
          <w:rFonts w:ascii="Times New Roman" w:hAnsi="Times New Roman"/>
          <w:sz w:val="28"/>
          <w:szCs w:val="28"/>
          <w:lang w:val="pt-PT"/>
        </w:rPr>
      </w:pPr>
      <w:r w:rsidRPr="00DD1876">
        <w:rPr>
          <w:rFonts w:ascii="Times New Roman" w:hAnsi="Times New Roman"/>
          <w:sz w:val="28"/>
          <w:szCs w:val="28"/>
          <w:lang w:val="pt-PT"/>
        </w:rPr>
        <w:t>MIGUEL POLO ROSERO</w:t>
      </w:r>
    </w:p>
    <w:p w14:paraId="7D653F86" w14:textId="77777777" w:rsidR="00D924B6" w:rsidRPr="00DD1876" w:rsidRDefault="00D924B6" w:rsidP="00D924B6">
      <w:pPr>
        <w:spacing w:after="0" w:line="240" w:lineRule="auto"/>
        <w:jc w:val="center"/>
        <w:rPr>
          <w:rFonts w:ascii="Times New Roman" w:hAnsi="Times New Roman"/>
          <w:sz w:val="28"/>
          <w:szCs w:val="28"/>
          <w:lang w:val="pt-PT"/>
        </w:rPr>
      </w:pPr>
      <w:r w:rsidRPr="00DD1876">
        <w:rPr>
          <w:rFonts w:ascii="Times New Roman" w:hAnsi="Times New Roman"/>
          <w:sz w:val="28"/>
          <w:szCs w:val="28"/>
          <w:lang w:val="pt-PT"/>
        </w:rPr>
        <w:t>Magistrado</w:t>
      </w:r>
    </w:p>
    <w:p w14:paraId="3042FC01" w14:textId="77777777" w:rsidR="00D924B6" w:rsidRPr="00DD1876" w:rsidRDefault="00D924B6" w:rsidP="00D924B6">
      <w:pPr>
        <w:spacing w:after="0" w:line="240" w:lineRule="auto"/>
        <w:jc w:val="center"/>
        <w:rPr>
          <w:rFonts w:ascii="Times New Roman" w:hAnsi="Times New Roman"/>
          <w:sz w:val="28"/>
          <w:szCs w:val="28"/>
          <w:lang w:val="pt-PT"/>
        </w:rPr>
      </w:pPr>
    </w:p>
    <w:p w14:paraId="14CA83D0" w14:textId="77777777" w:rsidR="00D924B6" w:rsidRPr="00DD1876" w:rsidRDefault="00D924B6" w:rsidP="00D924B6">
      <w:pPr>
        <w:spacing w:after="0" w:line="240" w:lineRule="auto"/>
        <w:jc w:val="center"/>
        <w:rPr>
          <w:rFonts w:ascii="Times New Roman" w:hAnsi="Times New Roman"/>
          <w:sz w:val="28"/>
          <w:szCs w:val="28"/>
          <w:lang w:val="pt-PT"/>
        </w:rPr>
      </w:pPr>
      <w:r w:rsidRPr="00DD1876">
        <w:rPr>
          <w:rFonts w:ascii="Times New Roman" w:hAnsi="Times New Roman"/>
          <w:sz w:val="28"/>
          <w:szCs w:val="28"/>
          <w:lang w:val="pt-PT"/>
        </w:rPr>
        <w:t>ANDREA LILIANA ROMERO LOPEZ</w:t>
      </w:r>
    </w:p>
    <w:p w14:paraId="382F870C" w14:textId="77777777" w:rsidR="00911CC0" w:rsidRPr="00DD1876" w:rsidRDefault="00D924B6" w:rsidP="00D924B6">
      <w:pPr>
        <w:spacing w:after="0" w:line="240" w:lineRule="auto"/>
        <w:jc w:val="center"/>
        <w:rPr>
          <w:rFonts w:ascii="Times New Roman" w:hAnsi="Times New Roman"/>
          <w:sz w:val="28"/>
          <w:szCs w:val="28"/>
          <w:lang w:val="pt-PT"/>
        </w:rPr>
      </w:pPr>
      <w:r w:rsidRPr="00DD1876">
        <w:rPr>
          <w:rFonts w:ascii="Times New Roman" w:hAnsi="Times New Roman"/>
          <w:sz w:val="28"/>
          <w:szCs w:val="28"/>
          <w:lang w:val="pt-PT"/>
        </w:rPr>
        <w:t>Secretaria General</w:t>
      </w:r>
    </w:p>
    <w:p w14:paraId="125CB1F3" w14:textId="77777777" w:rsidR="00B808B5" w:rsidRPr="00DD1876" w:rsidRDefault="00B808B5">
      <w:pPr>
        <w:spacing w:line="259" w:lineRule="auto"/>
        <w:jc w:val="left"/>
        <w:rPr>
          <w:rFonts w:ascii="Times New Roman" w:hAnsi="Times New Roman"/>
          <w:sz w:val="28"/>
          <w:szCs w:val="28"/>
          <w:lang w:val="pt-PT"/>
        </w:rPr>
      </w:pPr>
      <w:r w:rsidRPr="00DD1876">
        <w:rPr>
          <w:rFonts w:ascii="Times New Roman" w:hAnsi="Times New Roman"/>
          <w:sz w:val="28"/>
          <w:szCs w:val="28"/>
          <w:lang w:val="pt-PT"/>
        </w:rPr>
        <w:br w:type="page"/>
      </w:r>
    </w:p>
    <w:p w14:paraId="092381E9" w14:textId="77777777" w:rsidR="00B808B5" w:rsidRPr="00DD1876" w:rsidRDefault="00B808B5" w:rsidP="00B808B5">
      <w:pPr>
        <w:pStyle w:val="Sinespaciado"/>
        <w:ind w:right="-234"/>
        <w:jc w:val="center"/>
        <w:rPr>
          <w:b/>
          <w:bCs/>
          <w:lang w:val="pt-PT"/>
        </w:rPr>
      </w:pPr>
      <w:r w:rsidRPr="00DD1876">
        <w:rPr>
          <w:b/>
          <w:bCs/>
          <w:lang w:val="pt-PT"/>
        </w:rPr>
        <w:lastRenderedPageBreak/>
        <w:t xml:space="preserve">SALVAMENTO DE VOTO DEL MAGISTRADO </w:t>
      </w:r>
    </w:p>
    <w:p w14:paraId="323B77D3" w14:textId="77777777" w:rsidR="00B808B5" w:rsidRPr="00DD1876" w:rsidRDefault="00B808B5" w:rsidP="00B808B5">
      <w:pPr>
        <w:pStyle w:val="Sinespaciado"/>
        <w:ind w:right="-234"/>
        <w:jc w:val="center"/>
        <w:rPr>
          <w:b/>
          <w:lang w:val="pt-PT"/>
        </w:rPr>
      </w:pPr>
      <w:r w:rsidRPr="00DD1876">
        <w:rPr>
          <w:b/>
          <w:lang w:val="pt-PT"/>
        </w:rPr>
        <w:t>VLADIMIR FERNÁNDEZ ANDRADE AL AUTO 082 DE 2026</w:t>
      </w:r>
    </w:p>
    <w:p w14:paraId="2E70ABA0" w14:textId="77777777" w:rsidR="00B808B5" w:rsidRPr="00DD1876" w:rsidRDefault="00B808B5" w:rsidP="00B808B5">
      <w:pPr>
        <w:pStyle w:val="Sinespaciado"/>
        <w:ind w:right="49"/>
        <w:jc w:val="both"/>
        <w:rPr>
          <w:b/>
          <w:bCs/>
          <w:szCs w:val="28"/>
          <w:lang w:val="pt-PT"/>
        </w:rPr>
      </w:pPr>
    </w:p>
    <w:p w14:paraId="3374E807" w14:textId="77777777" w:rsidR="00B808B5" w:rsidRPr="00DD1876" w:rsidRDefault="00B808B5" w:rsidP="00B808B5">
      <w:pPr>
        <w:pStyle w:val="Style5"/>
        <w:spacing w:line="240" w:lineRule="auto"/>
        <w:ind w:left="2977"/>
        <w:rPr>
          <w:b/>
          <w:bCs/>
          <w:lang w:val="pt-PT" w:eastAsia="zh-CN"/>
        </w:rPr>
      </w:pPr>
      <w:bookmarkStart w:id="13" w:name="_Hlk48208111"/>
    </w:p>
    <w:p w14:paraId="26F61249" w14:textId="77777777" w:rsidR="00B808B5" w:rsidRPr="00345ECE" w:rsidRDefault="00B808B5" w:rsidP="00B808B5">
      <w:pPr>
        <w:pStyle w:val="Style5"/>
        <w:spacing w:line="240" w:lineRule="auto"/>
        <w:ind w:left="2977"/>
        <w:rPr>
          <w:color w:val="000000" w:themeColor="text1"/>
          <w:shd w:val="clear" w:color="auto" w:fill="FFFFFF"/>
        </w:rPr>
      </w:pPr>
      <w:proofErr w:type="spellStart"/>
      <w:r w:rsidRPr="00DD1876">
        <w:rPr>
          <w:b/>
          <w:bCs/>
          <w:lang w:val="pt-PT" w:eastAsia="zh-CN"/>
        </w:rPr>
        <w:t>Asunto</w:t>
      </w:r>
      <w:proofErr w:type="spellEnd"/>
      <w:r w:rsidRPr="00DD1876">
        <w:rPr>
          <w:lang w:val="pt-PT" w:eastAsia="zh-CN"/>
        </w:rPr>
        <w:t xml:space="preserve">: </w:t>
      </w:r>
      <w:bookmarkEnd w:id="13"/>
      <w:r w:rsidRPr="00DD1876">
        <w:rPr>
          <w:lang w:val="pt-PT" w:eastAsia="zh-CN"/>
        </w:rPr>
        <w:t xml:space="preserve">Expediente RE-387. </w:t>
      </w:r>
      <w:r w:rsidRPr="00345ECE">
        <w:rPr>
          <w:lang w:eastAsia="zh-CN"/>
        </w:rPr>
        <w:t>Revisión de constitucionalidad del Decreto 1390 del 22 de diciembre de 2025 “[p]</w:t>
      </w:r>
      <w:proofErr w:type="spellStart"/>
      <w:r w:rsidRPr="00345ECE">
        <w:rPr>
          <w:lang w:eastAsia="zh-CN"/>
        </w:rPr>
        <w:t>or</w:t>
      </w:r>
      <w:proofErr w:type="spellEnd"/>
      <w:r w:rsidRPr="00345ECE">
        <w:rPr>
          <w:lang w:eastAsia="zh-CN"/>
        </w:rPr>
        <w:t xml:space="preserve"> el cual se declara el Estado de Emergencia Económica y Social en todo el territorio nacional”</w:t>
      </w:r>
    </w:p>
    <w:p w14:paraId="492847C5" w14:textId="77777777" w:rsidR="00B808B5" w:rsidRPr="00345ECE" w:rsidRDefault="00B808B5" w:rsidP="00B808B5">
      <w:pPr>
        <w:pStyle w:val="Style5"/>
        <w:widowControl/>
        <w:spacing w:line="240" w:lineRule="auto"/>
        <w:ind w:left="2977"/>
        <w:rPr>
          <w:rFonts w:eastAsia="Times New Roman"/>
          <w:color w:val="000000" w:themeColor="text1"/>
          <w:szCs w:val="28"/>
          <w:lang w:eastAsia="es-ES"/>
        </w:rPr>
      </w:pPr>
    </w:p>
    <w:p w14:paraId="295634D2" w14:textId="77777777" w:rsidR="00B808B5" w:rsidRPr="00345ECE" w:rsidRDefault="00B808B5" w:rsidP="00B808B5">
      <w:pPr>
        <w:spacing w:after="0" w:line="240" w:lineRule="auto"/>
        <w:ind w:left="2977"/>
        <w:rPr>
          <w:rFonts w:ascii="Times New Roman" w:hAnsi="Times New Roman"/>
          <w:color w:val="000000" w:themeColor="text1"/>
          <w:sz w:val="28"/>
          <w:szCs w:val="28"/>
          <w:lang w:eastAsia="es-ES"/>
        </w:rPr>
      </w:pPr>
      <w:r w:rsidRPr="00345ECE">
        <w:rPr>
          <w:rFonts w:ascii="Times New Roman" w:hAnsi="Times New Roman"/>
          <w:b/>
          <w:color w:val="000000" w:themeColor="text1"/>
          <w:sz w:val="28"/>
          <w:szCs w:val="28"/>
        </w:rPr>
        <w:t xml:space="preserve">Magistrados Ponentes: </w:t>
      </w:r>
      <w:r w:rsidRPr="00345ECE">
        <w:rPr>
          <w:rFonts w:ascii="Times New Roman" w:hAnsi="Times New Roman"/>
          <w:color w:val="000000" w:themeColor="text1"/>
          <w:sz w:val="28"/>
          <w:szCs w:val="28"/>
          <w:lang w:eastAsia="es-ES"/>
        </w:rPr>
        <w:t xml:space="preserve">Natalia Ángel Cabo, Carlos Camargo </w:t>
      </w:r>
      <w:proofErr w:type="spellStart"/>
      <w:r w:rsidRPr="00345ECE">
        <w:rPr>
          <w:rFonts w:ascii="Times New Roman" w:hAnsi="Times New Roman"/>
          <w:color w:val="000000" w:themeColor="text1"/>
          <w:sz w:val="28"/>
          <w:szCs w:val="28"/>
          <w:lang w:eastAsia="es-ES"/>
        </w:rPr>
        <w:t>Assis</w:t>
      </w:r>
      <w:proofErr w:type="spellEnd"/>
      <w:r w:rsidRPr="00345ECE">
        <w:rPr>
          <w:rFonts w:ascii="Times New Roman" w:hAnsi="Times New Roman"/>
          <w:color w:val="000000" w:themeColor="text1"/>
          <w:sz w:val="28"/>
          <w:szCs w:val="28"/>
          <w:lang w:eastAsia="es-ES"/>
        </w:rPr>
        <w:t>, Juan Carlos Cortés González, Lina Marcela Escobar Martínez, Paola Andrea Meneses Mosquera y Miguel Polo Rosero</w:t>
      </w:r>
    </w:p>
    <w:p w14:paraId="6B353779" w14:textId="77777777" w:rsidR="00B808B5" w:rsidRPr="00345ECE" w:rsidRDefault="00B808B5" w:rsidP="00B808B5">
      <w:pPr>
        <w:pStyle w:val="Prrafodelista"/>
        <w:spacing w:after="0" w:line="240" w:lineRule="auto"/>
        <w:ind w:left="0"/>
        <w:rPr>
          <w:rFonts w:ascii="Times New Roman" w:hAnsi="Times New Roman"/>
          <w:sz w:val="28"/>
          <w:szCs w:val="28"/>
          <w:lang w:val="es-ES_tradnl"/>
        </w:rPr>
      </w:pPr>
    </w:p>
    <w:p w14:paraId="739E1F54" w14:textId="77777777" w:rsidR="00B808B5" w:rsidRPr="00345ECE" w:rsidRDefault="00B808B5" w:rsidP="00B808B5">
      <w:pPr>
        <w:pStyle w:val="Prrafodelista"/>
        <w:spacing w:after="0" w:line="240" w:lineRule="auto"/>
        <w:ind w:left="0"/>
        <w:rPr>
          <w:rFonts w:ascii="Times New Roman" w:hAnsi="Times New Roman"/>
          <w:sz w:val="28"/>
          <w:szCs w:val="28"/>
        </w:rPr>
      </w:pPr>
    </w:p>
    <w:p w14:paraId="1424DBD2" w14:textId="77777777" w:rsidR="00B808B5" w:rsidRPr="00345ECE" w:rsidRDefault="00B808B5" w:rsidP="00B808B5">
      <w:pPr>
        <w:pStyle w:val="Prrafodelista"/>
        <w:tabs>
          <w:tab w:val="left" w:pos="284"/>
          <w:tab w:val="left" w:pos="426"/>
        </w:tabs>
        <w:spacing w:after="0" w:line="240" w:lineRule="auto"/>
        <w:ind w:left="0"/>
        <w:rPr>
          <w:rFonts w:ascii="Times New Roman" w:hAnsi="Times New Roman"/>
          <w:sz w:val="28"/>
          <w:szCs w:val="28"/>
        </w:rPr>
      </w:pPr>
      <w:r w:rsidRPr="00345ECE">
        <w:rPr>
          <w:rFonts w:ascii="Times New Roman" w:hAnsi="Times New Roman"/>
          <w:sz w:val="28"/>
          <w:szCs w:val="28"/>
        </w:rPr>
        <w:t xml:space="preserve">Con el debido respeto por las decisiones adoptadas por la Sala Plena, expongo a continuación las razones que fundamentan mi discrepancia frente a la determinación de suspender provisionalmente los efectos del decreto sometido a control en este expediente. Ello, en la medida en que la facultad excepcional de decretar la suspensión provisional de los efectos de una norma sujeta a control de constitucionalidad es </w:t>
      </w:r>
      <w:r w:rsidRPr="00345ECE">
        <w:rPr>
          <w:rFonts w:ascii="Times New Roman" w:hAnsi="Times New Roman"/>
          <w:i/>
          <w:iCs/>
          <w:sz w:val="28"/>
          <w:szCs w:val="28"/>
        </w:rPr>
        <w:t>improcedente</w:t>
      </w:r>
      <w:r w:rsidRPr="00345ECE">
        <w:rPr>
          <w:rFonts w:ascii="Times New Roman" w:hAnsi="Times New Roman"/>
          <w:sz w:val="28"/>
          <w:szCs w:val="28"/>
        </w:rPr>
        <w:t xml:space="preserve"> cuando se trata del control automático y definitivo de los decretos expedidos por el Gobierno en ejercicio de las facultades previstas en los artículos 212, 213 y 215 de la Constitución Política.</w:t>
      </w:r>
    </w:p>
    <w:p w14:paraId="6511B5F8" w14:textId="77777777" w:rsidR="00B808B5" w:rsidRPr="00345ECE" w:rsidRDefault="00B808B5" w:rsidP="00B808B5">
      <w:pPr>
        <w:pStyle w:val="Prrafodelista"/>
        <w:spacing w:after="0" w:line="240" w:lineRule="auto"/>
        <w:ind w:left="0"/>
        <w:rPr>
          <w:rFonts w:ascii="Times New Roman" w:hAnsi="Times New Roman"/>
          <w:sz w:val="28"/>
          <w:szCs w:val="28"/>
        </w:rPr>
      </w:pPr>
    </w:p>
    <w:p w14:paraId="737ECB26" w14:textId="77777777" w:rsidR="00B808B5" w:rsidRPr="00345ECE" w:rsidRDefault="00B808B5" w:rsidP="00B808B5">
      <w:pPr>
        <w:pStyle w:val="Prrafodelista"/>
        <w:tabs>
          <w:tab w:val="left" w:pos="284"/>
          <w:tab w:val="left" w:pos="426"/>
        </w:tabs>
        <w:spacing w:after="0" w:line="240" w:lineRule="auto"/>
        <w:ind w:left="0"/>
        <w:rPr>
          <w:rFonts w:ascii="Times New Roman" w:hAnsi="Times New Roman"/>
          <w:sz w:val="28"/>
          <w:szCs w:val="28"/>
        </w:rPr>
      </w:pPr>
      <w:r w:rsidRPr="00345ECE">
        <w:rPr>
          <w:rFonts w:ascii="Times New Roman" w:hAnsi="Times New Roman"/>
          <w:sz w:val="28"/>
          <w:szCs w:val="28"/>
        </w:rPr>
        <w:t>En este sentido, el presente salvamento de voto (i) contextualizará brevemente la consagración de los estados de excepción en la Constitución Política de 1991, la Ley Estatutaria de los Estados de Excepción y el contenido de la Sentencia C-179 de 1994 que realizó el control constitucional a la mencionada ley; (</w:t>
      </w:r>
      <w:proofErr w:type="spellStart"/>
      <w:r w:rsidRPr="00345ECE">
        <w:rPr>
          <w:rFonts w:ascii="Times New Roman" w:hAnsi="Times New Roman"/>
          <w:sz w:val="28"/>
          <w:szCs w:val="28"/>
        </w:rPr>
        <w:t>ii</w:t>
      </w:r>
      <w:proofErr w:type="spellEnd"/>
      <w:r w:rsidRPr="00345ECE">
        <w:rPr>
          <w:rFonts w:ascii="Times New Roman" w:hAnsi="Times New Roman"/>
          <w:sz w:val="28"/>
          <w:szCs w:val="28"/>
        </w:rPr>
        <w:t>) explicará el significado e importancia de la cosa juzgada constitucional, la prohibición del artículo 243 de la Constitución Política y el respeto de este principio en el marco del Estado Social y Democrático de Derecho; y (</w:t>
      </w:r>
      <w:proofErr w:type="spellStart"/>
      <w:r w:rsidRPr="00345ECE">
        <w:rPr>
          <w:rFonts w:ascii="Times New Roman" w:hAnsi="Times New Roman"/>
          <w:sz w:val="28"/>
          <w:szCs w:val="28"/>
        </w:rPr>
        <w:t>iii</w:t>
      </w:r>
      <w:proofErr w:type="spellEnd"/>
      <w:r w:rsidRPr="00345ECE">
        <w:rPr>
          <w:rFonts w:ascii="Times New Roman" w:hAnsi="Times New Roman"/>
          <w:sz w:val="28"/>
          <w:szCs w:val="28"/>
        </w:rPr>
        <w:t>) expondrá las razones por las cuales el Auto 272 de 2023, correctamente interpretado, no constituye un precedente en el control  de este tipo de decretos.</w:t>
      </w:r>
    </w:p>
    <w:p w14:paraId="62446BC3" w14:textId="77777777" w:rsidR="00B808B5" w:rsidRPr="00345ECE" w:rsidRDefault="00B808B5" w:rsidP="00B808B5">
      <w:pPr>
        <w:pStyle w:val="Prrafodelista"/>
        <w:spacing w:after="0" w:line="240" w:lineRule="auto"/>
        <w:ind w:left="0"/>
        <w:rPr>
          <w:rFonts w:ascii="Times New Roman" w:hAnsi="Times New Roman"/>
          <w:sz w:val="28"/>
          <w:szCs w:val="28"/>
        </w:rPr>
      </w:pPr>
    </w:p>
    <w:p w14:paraId="75E6F486" w14:textId="77777777" w:rsidR="00B808B5" w:rsidRPr="00345ECE" w:rsidRDefault="00B808B5" w:rsidP="00B808B5">
      <w:pPr>
        <w:pStyle w:val="Prrafodelista"/>
        <w:numPr>
          <w:ilvl w:val="0"/>
          <w:numId w:val="91"/>
        </w:numPr>
        <w:spacing w:after="0" w:line="240" w:lineRule="auto"/>
        <w:ind w:left="567" w:hanging="567"/>
        <w:rPr>
          <w:rFonts w:ascii="Times New Roman" w:hAnsi="Times New Roman"/>
          <w:b/>
          <w:bCs/>
          <w:sz w:val="28"/>
          <w:szCs w:val="28"/>
        </w:rPr>
      </w:pPr>
      <w:r w:rsidRPr="00345ECE">
        <w:rPr>
          <w:rFonts w:ascii="Times New Roman" w:hAnsi="Times New Roman"/>
          <w:b/>
          <w:bCs/>
          <w:sz w:val="28"/>
          <w:szCs w:val="28"/>
        </w:rPr>
        <w:t>Contextualización de la consagración de los estados de excepción en la Constitución Política de 1991, la Ley 137 de 1994 y el contenido de la Sentencia C-179 de 1994</w:t>
      </w:r>
    </w:p>
    <w:p w14:paraId="383FACF8" w14:textId="77777777" w:rsidR="00B808B5" w:rsidRPr="00345ECE" w:rsidRDefault="00B808B5" w:rsidP="00B808B5">
      <w:pPr>
        <w:pStyle w:val="Prrafodelista"/>
        <w:spacing w:after="0" w:line="240" w:lineRule="auto"/>
        <w:ind w:left="1080"/>
        <w:rPr>
          <w:rFonts w:ascii="Times New Roman" w:hAnsi="Times New Roman"/>
          <w:sz w:val="28"/>
          <w:szCs w:val="28"/>
        </w:rPr>
      </w:pPr>
    </w:p>
    <w:p w14:paraId="7DDB7C55"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Desde la dictadura romana hasta su constitucionalización contemporánea, los estados de excepción han sido concebidos como instrumentos jurídicos para preservar la existencia del Estado en situaciones de anormalidad</w:t>
      </w:r>
      <w:r w:rsidRPr="00345ECE">
        <w:rPr>
          <w:rFonts w:ascii="Times New Roman" w:hAnsi="Times New Roman"/>
          <w:sz w:val="28"/>
          <w:szCs w:val="28"/>
          <w:vertAlign w:val="superscript"/>
          <w:lang w:eastAsia="es-MX"/>
        </w:rPr>
        <w:footnoteReference w:id="99"/>
      </w:r>
      <w:r w:rsidRPr="00345ECE">
        <w:rPr>
          <w:rFonts w:ascii="Times New Roman" w:hAnsi="Times New Roman"/>
          <w:sz w:val="28"/>
          <w:szCs w:val="28"/>
        </w:rPr>
        <w:t>.</w:t>
      </w:r>
    </w:p>
    <w:p w14:paraId="683DCBB4" w14:textId="77777777" w:rsidR="00B808B5" w:rsidRPr="00345ECE" w:rsidRDefault="00B808B5" w:rsidP="00B808B5">
      <w:pPr>
        <w:spacing w:after="0" w:line="240" w:lineRule="auto"/>
        <w:rPr>
          <w:rFonts w:ascii="Times New Roman" w:hAnsi="Times New Roman"/>
          <w:sz w:val="28"/>
          <w:szCs w:val="28"/>
        </w:rPr>
      </w:pPr>
    </w:p>
    <w:p w14:paraId="25BC97ED" w14:textId="77777777" w:rsidR="00B808B5" w:rsidRPr="00345ECE" w:rsidRDefault="00B808B5" w:rsidP="00B808B5">
      <w:pPr>
        <w:pStyle w:val="NormalWeb"/>
        <w:spacing w:before="0" w:beforeAutospacing="0" w:after="0" w:afterAutospacing="0"/>
        <w:rPr>
          <w:sz w:val="28"/>
          <w:szCs w:val="28"/>
        </w:rPr>
      </w:pPr>
      <w:r w:rsidRPr="00345ECE">
        <w:rPr>
          <w:sz w:val="28"/>
          <w:szCs w:val="28"/>
        </w:rPr>
        <w:t xml:space="preserve">El Estado de derecho persigue la sujeción del poder a la norma jurídica como condición para la libertad, la cual solo es posible “cuando el derecho se cumple”. Las instituciones que lo conforman –constitución rígida, separación de poderes, controles y acciones públicas– tienen como única finalidad “el imperio del derecho y, consecuentemente, la negación de la arbitrariedad”. En tal entendido, el régimen de libertades presupone “la obediencia generalizada a las normas jurídicas que las confieren y las garantizan”, lo que se denomina </w:t>
      </w:r>
      <w:r w:rsidRPr="00345ECE">
        <w:rPr>
          <w:sz w:val="28"/>
          <w:szCs w:val="28"/>
        </w:rPr>
        <w:lastRenderedPageBreak/>
        <w:t xml:space="preserve">orden público. Dado que “la eficacia del derecho es siempre relativa”, es decir, admite “un cierto grado de desobediencia”, los estados de excepción se justifican cuando ese umbral es desbordado y “la convivencia se torna difícil y hasta imposible”. En ese punto se requiere “el criterio </w:t>
      </w:r>
      <w:r w:rsidRPr="00345ECE">
        <w:rPr>
          <w:sz w:val="28"/>
          <w:szCs w:val="28"/>
          <w:u w:val="single"/>
        </w:rPr>
        <w:t>autorizado</w:t>
      </w:r>
      <w:r w:rsidRPr="00345ECE">
        <w:rPr>
          <w:sz w:val="28"/>
          <w:szCs w:val="28"/>
        </w:rPr>
        <w:t xml:space="preserve"> y prevalente del órgano de la comunidad que ha de verificar, con fuerza vinculante”, la ocurrencia de tal situación. Aun en esas circunstancias, las medidas excepcionales deben mantener el sello del Estado de derecho: su finalidad es restaurar la obediencia a la norma para que “las libertades y derechos recobren la vigencia plena de que gozan en tiempo de normalidad”</w:t>
      </w:r>
      <w:r w:rsidRPr="00345ECE">
        <w:rPr>
          <w:rFonts w:eastAsiaTheme="majorEastAsia"/>
          <w:sz w:val="28"/>
          <w:szCs w:val="28"/>
          <w:vertAlign w:val="superscript"/>
        </w:rPr>
        <w:footnoteReference w:id="100"/>
      </w:r>
      <w:r w:rsidRPr="00345ECE">
        <w:rPr>
          <w:sz w:val="28"/>
          <w:szCs w:val="28"/>
        </w:rPr>
        <w:t>.</w:t>
      </w:r>
    </w:p>
    <w:p w14:paraId="4F1D2947" w14:textId="77777777" w:rsidR="00B808B5" w:rsidRPr="00345ECE" w:rsidRDefault="00B808B5" w:rsidP="00B808B5">
      <w:pPr>
        <w:spacing w:after="0" w:line="240" w:lineRule="auto"/>
        <w:rPr>
          <w:rFonts w:ascii="Times New Roman" w:hAnsi="Times New Roman"/>
          <w:sz w:val="28"/>
          <w:szCs w:val="28"/>
        </w:rPr>
      </w:pPr>
    </w:p>
    <w:p w14:paraId="2CC55BE4" w14:textId="77777777" w:rsidR="00B808B5" w:rsidRPr="00230A53" w:rsidRDefault="00B808B5" w:rsidP="00B808B5">
      <w:pPr>
        <w:spacing w:after="0" w:line="240" w:lineRule="auto"/>
        <w:rPr>
          <w:rFonts w:ascii="Times New Roman" w:hAnsi="Times New Roman"/>
          <w:sz w:val="28"/>
          <w:szCs w:val="28"/>
        </w:rPr>
      </w:pPr>
      <w:r w:rsidRPr="302B9A25">
        <w:rPr>
          <w:rFonts w:ascii="Times New Roman" w:hAnsi="Times New Roman"/>
          <w:sz w:val="28"/>
          <w:szCs w:val="28"/>
        </w:rPr>
        <w:t>La institución de los estados de excepción, tradicionalmente denominada estados de sitio, es una figura de arraigo con la historia constitucional colombiana. Desde la Constitución de Cúcuta de 1821 se han contemplado determinados supuestos de hecho bajo los cuales el Gobierno puede declarar tales estados y por tal declaración quedar investido de ciertas facultades extraordinarias previstas en la Constitución, de las cuales “no goza en tiempo de normalidad y – en virtud de las cuales - sus decretos tienen fuerza de Ley”</w:t>
      </w:r>
      <w:r w:rsidRPr="302B9A25">
        <w:rPr>
          <w:rFonts w:ascii="Times New Roman" w:hAnsi="Times New Roman"/>
          <w:sz w:val="28"/>
          <w:szCs w:val="28"/>
          <w:vertAlign w:val="superscript"/>
          <w:lang w:eastAsia="es-MX"/>
        </w:rPr>
        <w:footnoteReference w:id="101"/>
      </w:r>
      <w:r w:rsidRPr="302B9A25">
        <w:rPr>
          <w:rFonts w:ascii="Times New Roman" w:hAnsi="Times New Roman"/>
          <w:sz w:val="28"/>
          <w:szCs w:val="28"/>
        </w:rPr>
        <w:t>. Estas situaciones se entendían que eran “tan especialmente graves que había necesidad de trasladar ciertas facultades del congreso al ejecutivo”</w:t>
      </w:r>
      <w:r w:rsidRPr="302B9A25">
        <w:rPr>
          <w:rFonts w:ascii="Times New Roman" w:hAnsi="Times New Roman"/>
          <w:sz w:val="28"/>
          <w:szCs w:val="28"/>
          <w:vertAlign w:val="superscript"/>
          <w:lang w:eastAsia="es-MX"/>
        </w:rPr>
        <w:footnoteReference w:id="102"/>
      </w:r>
      <w:r w:rsidRPr="302B9A25">
        <w:rPr>
          <w:rFonts w:ascii="Times New Roman" w:hAnsi="Times New Roman"/>
          <w:sz w:val="28"/>
          <w:szCs w:val="28"/>
        </w:rPr>
        <w:t>.</w:t>
      </w:r>
    </w:p>
    <w:p w14:paraId="2A62FE2A" w14:textId="77777777" w:rsidR="00B808B5" w:rsidRPr="005E5F02" w:rsidRDefault="00B808B5" w:rsidP="00B808B5">
      <w:pPr>
        <w:spacing w:after="0" w:line="240" w:lineRule="auto"/>
        <w:rPr>
          <w:rFonts w:ascii="Times New Roman" w:hAnsi="Times New Roman"/>
          <w:sz w:val="28"/>
          <w:szCs w:val="28"/>
        </w:rPr>
      </w:pPr>
    </w:p>
    <w:p w14:paraId="32BD5DE9" w14:textId="77777777" w:rsidR="00B808B5" w:rsidRPr="008E1A38" w:rsidRDefault="00B808B5" w:rsidP="00B808B5">
      <w:pPr>
        <w:spacing w:after="0" w:line="240" w:lineRule="auto"/>
        <w:rPr>
          <w:rFonts w:ascii="Times New Roman" w:hAnsi="Times New Roman"/>
          <w:sz w:val="28"/>
          <w:szCs w:val="28"/>
        </w:rPr>
      </w:pPr>
      <w:r w:rsidRPr="008E1A38">
        <w:rPr>
          <w:rFonts w:ascii="Times New Roman" w:hAnsi="Times New Roman"/>
          <w:sz w:val="28"/>
          <w:szCs w:val="28"/>
        </w:rPr>
        <w:t>En las constituciones colombianas de 1821, 1832, 1843, 1853, 1858</w:t>
      </w:r>
      <w:r>
        <w:rPr>
          <w:rFonts w:ascii="Times New Roman" w:hAnsi="Times New Roman"/>
          <w:sz w:val="28"/>
          <w:szCs w:val="28"/>
        </w:rPr>
        <w:t xml:space="preserve"> y</w:t>
      </w:r>
      <w:r w:rsidRPr="008E1A38">
        <w:rPr>
          <w:rFonts w:ascii="Times New Roman" w:hAnsi="Times New Roman"/>
          <w:sz w:val="28"/>
          <w:szCs w:val="28"/>
        </w:rPr>
        <w:t xml:space="preserve"> 1863 se empezaron a construir los pilares de lo que hoy denominamos control judicial de los decretos legislativos: en 1832, la Constitución misma estableció la posibilidad de que en el receso del Congreso, el Consejo de Estado fuese el que otorgara las facultades extraordinarias al Ejecutivo taxativamente previstas en la norma</w:t>
      </w:r>
      <w:r w:rsidRPr="302B9A25">
        <w:rPr>
          <w:vertAlign w:val="superscript"/>
          <w:lang w:eastAsia="es-MX"/>
        </w:rPr>
        <w:footnoteReference w:id="103"/>
      </w:r>
      <w:r w:rsidRPr="008E1A38">
        <w:rPr>
          <w:rFonts w:ascii="Times New Roman" w:hAnsi="Times New Roman"/>
        </w:rPr>
        <w:t xml:space="preserve">, </w:t>
      </w:r>
      <w:r w:rsidRPr="008E1A38">
        <w:rPr>
          <w:rFonts w:ascii="Times New Roman" w:hAnsi="Times New Roman"/>
          <w:sz w:val="28"/>
          <w:szCs w:val="28"/>
        </w:rPr>
        <w:t>y en la en 1863, se dispuso que el derecho de gentes haría parte de la legislación nacional y regiría inclusive en casos de un estado de sitio como lo era la guerra exterior.</w:t>
      </w:r>
    </w:p>
    <w:p w14:paraId="25C88684" w14:textId="77777777" w:rsidR="00B808B5" w:rsidRPr="008E1A38" w:rsidRDefault="00B808B5" w:rsidP="00B808B5">
      <w:pPr>
        <w:spacing w:after="0" w:line="240" w:lineRule="auto"/>
        <w:rPr>
          <w:rFonts w:ascii="Times New Roman" w:hAnsi="Times New Roman"/>
        </w:rPr>
      </w:pPr>
    </w:p>
    <w:p w14:paraId="18DD4BC0"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Bajo la vigencia de la Constitución de 1886, el régimen de excepción colombiano se estructuró principalmente alrededor de la figura del estado de sitio, concebido como un mecanismo para enfrentar graves perturbaciones del orden público, ya fuera por guerra exterior o conmoción interna. Esta institución, prevista en los artículos 121 y 122 de dicha Carta, otorgaba amplias facultades extraordinarias al presidente para suspender leyes, restringir derechos y expedir decretos con fuerza legislativa con el fin de restablecer la normalidad institucional</w:t>
      </w:r>
      <w:r w:rsidRPr="00345ECE">
        <w:rPr>
          <w:rFonts w:ascii="Times New Roman" w:hAnsi="Times New Roman"/>
          <w:sz w:val="28"/>
          <w:szCs w:val="28"/>
          <w:vertAlign w:val="superscript"/>
        </w:rPr>
        <w:footnoteReference w:id="104"/>
      </w:r>
      <w:r w:rsidRPr="00345ECE">
        <w:rPr>
          <w:rFonts w:ascii="Times New Roman" w:hAnsi="Times New Roman"/>
          <w:sz w:val="28"/>
          <w:szCs w:val="28"/>
        </w:rPr>
        <w:t>. </w:t>
      </w:r>
    </w:p>
    <w:p w14:paraId="7CAFB766" w14:textId="77777777" w:rsidR="00B808B5" w:rsidRPr="004D0F59" w:rsidRDefault="00B808B5" w:rsidP="00B808B5">
      <w:pPr>
        <w:spacing w:after="0" w:line="240" w:lineRule="auto"/>
        <w:rPr>
          <w:rFonts w:ascii="Times New Roman" w:hAnsi="Times New Roman"/>
          <w:sz w:val="28"/>
          <w:szCs w:val="28"/>
        </w:rPr>
      </w:pPr>
    </w:p>
    <w:p w14:paraId="7C1BBC29" w14:textId="77777777" w:rsidR="00B808B5" w:rsidRPr="004D0F59" w:rsidRDefault="00B808B5" w:rsidP="00B808B5">
      <w:pPr>
        <w:spacing w:after="0" w:line="240" w:lineRule="auto"/>
        <w:rPr>
          <w:rFonts w:ascii="Times New Roman" w:hAnsi="Times New Roman"/>
        </w:rPr>
      </w:pPr>
      <w:r w:rsidRPr="004D0F59">
        <w:rPr>
          <w:rFonts w:ascii="Times New Roman" w:hAnsi="Times New Roman"/>
          <w:sz w:val="28"/>
          <w:szCs w:val="28"/>
          <w:lang w:val="es"/>
        </w:rPr>
        <w:t xml:space="preserve">Ahora bien, hasta antes de la reforma constitucional de 1960, principalmente existían dos sistemas de control constitucional que eran: la acción pública de inconstitucionalidad (…) y la excepción de inconstitucionalidad (artículo 215 de la constitución nacional), ninguna de ellas creada directamente para realizar un control judicial sobre las medidas legislativas tomadas en el desarrollo de un </w:t>
      </w:r>
      <w:r w:rsidRPr="004D0F59">
        <w:rPr>
          <w:rFonts w:ascii="Times New Roman" w:hAnsi="Times New Roman"/>
          <w:sz w:val="28"/>
          <w:szCs w:val="28"/>
          <w:lang w:val="es"/>
        </w:rPr>
        <w:lastRenderedPageBreak/>
        <w:t>estado de sitio. No obstante, “En 1960 se crea el control por parte del Congreso, permitiéndole acusar ante la Corte Suprema de Justicia los decretos legislativos, mediante proposición aprobada por la mayoría de cada Cámara. Se le establecía un término de seis días a la Corte para fallar y si así no lo hacía quedaba suspendido el decreto y era para los magistrados causal de mala conducta”</w:t>
      </w:r>
      <w:r w:rsidRPr="004D0F59">
        <w:rPr>
          <w:rFonts w:ascii="Times New Roman" w:hAnsi="Times New Roman"/>
          <w:sz w:val="28"/>
          <w:szCs w:val="28"/>
          <w:vertAlign w:val="superscript"/>
        </w:rPr>
        <w:footnoteReference w:id="105"/>
      </w:r>
      <w:r>
        <w:rPr>
          <w:rFonts w:ascii="Times New Roman" w:hAnsi="Times New Roman"/>
          <w:sz w:val="28"/>
          <w:szCs w:val="28"/>
          <w:lang w:val="es"/>
        </w:rPr>
        <w:t>.</w:t>
      </w:r>
    </w:p>
    <w:p w14:paraId="4F0E77B1" w14:textId="77777777" w:rsidR="00B808B5" w:rsidRPr="004D0F59" w:rsidRDefault="00B808B5" w:rsidP="00B808B5">
      <w:pPr>
        <w:spacing w:after="0" w:line="240" w:lineRule="auto"/>
        <w:rPr>
          <w:rFonts w:ascii="Times New Roman" w:hAnsi="Times New Roman"/>
          <w:sz w:val="28"/>
          <w:szCs w:val="28"/>
          <w:lang w:val="es"/>
        </w:rPr>
      </w:pPr>
    </w:p>
    <w:p w14:paraId="79129272" w14:textId="77777777" w:rsidR="00B808B5" w:rsidRPr="004D0F59" w:rsidRDefault="00B808B5" w:rsidP="00B808B5">
      <w:pPr>
        <w:spacing w:after="0" w:line="240" w:lineRule="auto"/>
        <w:rPr>
          <w:rFonts w:ascii="Times New Roman" w:hAnsi="Times New Roman"/>
          <w:sz w:val="28"/>
          <w:szCs w:val="28"/>
          <w:lang w:val="es"/>
        </w:rPr>
      </w:pPr>
      <w:r w:rsidRPr="004D0F59">
        <w:rPr>
          <w:rFonts w:ascii="Times New Roman" w:hAnsi="Times New Roman"/>
          <w:sz w:val="28"/>
          <w:szCs w:val="28"/>
          <w:lang w:val="es"/>
        </w:rPr>
        <w:t>Aunque el estado de sitio fue concebido como una medida excepcional y transitoria, durante amplios periodos del siglo XX el país vivió bajo estados de excepción casi permanentes, inclusive para adoptar medidas económicas que no eran propias de su naturaleza, situación que, aun siendo autorizada por la Corte Suprema de Justicia</w:t>
      </w:r>
      <w:r w:rsidRPr="004D0F59">
        <w:rPr>
          <w:rFonts w:ascii="Times New Roman" w:hAnsi="Times New Roman"/>
          <w:sz w:val="28"/>
          <w:szCs w:val="28"/>
          <w:vertAlign w:val="superscript"/>
          <w:lang w:val="es"/>
        </w:rPr>
        <w:footnoteReference w:id="106"/>
      </w:r>
      <w:r w:rsidRPr="004D0F59">
        <w:t>,</w:t>
      </w:r>
      <w:r w:rsidRPr="004D0F59">
        <w:rPr>
          <w:rFonts w:ascii="Times New Roman" w:hAnsi="Times New Roman"/>
          <w:sz w:val="28"/>
          <w:szCs w:val="28"/>
          <w:lang w:val="es"/>
        </w:rPr>
        <w:t xml:space="preserve"> erosionó la vigencia material del Estado de Derecho</w:t>
      </w:r>
      <w:r w:rsidRPr="004D0F59">
        <w:rPr>
          <w:rFonts w:ascii="Times New Roman" w:hAnsi="Times New Roman"/>
          <w:sz w:val="28"/>
          <w:szCs w:val="28"/>
          <w:vertAlign w:val="superscript"/>
          <w:lang w:val="es"/>
        </w:rPr>
        <w:footnoteReference w:id="107"/>
      </w:r>
      <w:r w:rsidRPr="004D0F59">
        <w:rPr>
          <w:rFonts w:ascii="Times New Roman" w:hAnsi="Times New Roman"/>
          <w:sz w:val="28"/>
          <w:szCs w:val="28"/>
          <w:lang w:val="es"/>
        </w:rPr>
        <w:t>, tal y como lo relata el exministro Rodrigo Lara Bonilla en su tesis de grado titulada: “Evolución de los Estados de Sitio en la Constitución Colombiana”</w:t>
      </w:r>
      <w:r w:rsidRPr="004D0F59">
        <w:rPr>
          <w:rFonts w:ascii="Times New Roman" w:hAnsi="Times New Roman"/>
          <w:sz w:val="28"/>
          <w:szCs w:val="28"/>
          <w:vertAlign w:val="superscript"/>
          <w:lang w:val="es"/>
        </w:rPr>
        <w:footnoteReference w:id="108"/>
      </w:r>
      <w:r w:rsidRPr="004D0F59">
        <w:rPr>
          <w:rFonts w:ascii="Times New Roman" w:hAnsi="Times New Roman"/>
          <w:sz w:val="28"/>
          <w:szCs w:val="28"/>
          <w:lang w:val="es"/>
        </w:rPr>
        <w:t>:</w:t>
      </w:r>
    </w:p>
    <w:p w14:paraId="588914C0" w14:textId="77777777" w:rsidR="00B808B5" w:rsidRPr="004D0F59" w:rsidRDefault="00B808B5" w:rsidP="00B808B5">
      <w:pPr>
        <w:spacing w:after="0" w:line="240" w:lineRule="auto"/>
        <w:rPr>
          <w:rFonts w:ascii="Times New Roman" w:hAnsi="Times New Roman"/>
          <w:sz w:val="28"/>
          <w:szCs w:val="28"/>
          <w:lang w:val="es"/>
        </w:rPr>
      </w:pPr>
    </w:p>
    <w:p w14:paraId="1DEDF4FA" w14:textId="77777777" w:rsidR="00B808B5" w:rsidRPr="008E1A38" w:rsidRDefault="00B808B5" w:rsidP="00B808B5">
      <w:pPr>
        <w:pStyle w:val="Prrafodelista"/>
        <w:spacing w:after="0" w:line="240" w:lineRule="auto"/>
        <w:ind w:left="567"/>
        <w:rPr>
          <w:rFonts w:ascii="Times New Roman" w:hAnsi="Times New Roman"/>
        </w:rPr>
      </w:pPr>
      <w:r w:rsidRPr="008E1A38">
        <w:rPr>
          <w:rFonts w:ascii="Times New Roman" w:hAnsi="Times New Roman"/>
        </w:rPr>
        <w:t>“Es indiscutible la urgencia de ciertas medidas de carácter económico para combatir las causas económicas de una perturbación del orden público; pero el constituyente de 86 y el de 1910 no previeron las convulsiones y crisis permanentes que viviría Colombia durante el siglo 20, ellos habían dejado una herramienta que era el articulo76 ordinal 12 mediante el cual el Congreso podía dota</w:t>
      </w:r>
      <w:r w:rsidRPr="302B9A25">
        <w:rPr>
          <w:rFonts w:ascii="Times New Roman" w:hAnsi="Times New Roman"/>
        </w:rPr>
        <w:t>r</w:t>
      </w:r>
      <w:r w:rsidRPr="008E1A38">
        <w:rPr>
          <w:rFonts w:ascii="Times New Roman" w:hAnsi="Times New Roman"/>
        </w:rPr>
        <w:t xml:space="preserve"> de facultades extraordinarias al Ejecutivo en caso de necesidad. Cualquier interpretación por teleológica que se</w:t>
      </w:r>
      <w:r w:rsidRPr="302B9A25">
        <w:rPr>
          <w:rFonts w:ascii="Times New Roman" w:hAnsi="Times New Roman"/>
        </w:rPr>
        <w:t>a</w:t>
      </w:r>
      <w:r w:rsidRPr="008E1A38">
        <w:rPr>
          <w:rFonts w:ascii="Times New Roman" w:hAnsi="Times New Roman"/>
        </w:rPr>
        <w:t xml:space="preserve"> no podrá desconocer que el art</w:t>
      </w:r>
      <w:r w:rsidRPr="302B9A25">
        <w:rPr>
          <w:rFonts w:ascii="Times New Roman" w:hAnsi="Times New Roman"/>
        </w:rPr>
        <w:t>í</w:t>
      </w:r>
      <w:r w:rsidRPr="008E1A38">
        <w:rPr>
          <w:rFonts w:ascii="Times New Roman" w:hAnsi="Times New Roman"/>
        </w:rPr>
        <w:t xml:space="preserve">culo 121 </w:t>
      </w:r>
      <w:proofErr w:type="spellStart"/>
      <w:r w:rsidRPr="008E1A38">
        <w:rPr>
          <w:rFonts w:ascii="Times New Roman" w:hAnsi="Times New Roman"/>
        </w:rPr>
        <w:t>dá</w:t>
      </w:r>
      <w:proofErr w:type="spellEnd"/>
      <w:r w:rsidRPr="008E1A38">
        <w:rPr>
          <w:rFonts w:ascii="Times New Roman" w:hAnsi="Times New Roman"/>
        </w:rPr>
        <w:t xml:space="preserve"> facultades al Gobierno únicamente para atacar las causas de la crisis mediante normas de policía y militares.”</w:t>
      </w:r>
    </w:p>
    <w:p w14:paraId="4CDBCB86" w14:textId="77777777" w:rsidR="00B808B5" w:rsidRPr="00526F2D" w:rsidRDefault="00B808B5" w:rsidP="00B808B5">
      <w:pPr>
        <w:tabs>
          <w:tab w:val="left" w:pos="8080"/>
        </w:tabs>
        <w:spacing w:after="0" w:line="240" w:lineRule="auto"/>
        <w:rPr>
          <w:rFonts w:ascii="Times New Roman" w:hAnsi="Times New Roman"/>
          <w:sz w:val="28"/>
          <w:szCs w:val="28"/>
          <w:lang w:val="es"/>
        </w:rPr>
      </w:pPr>
    </w:p>
    <w:p w14:paraId="271BB011" w14:textId="77777777" w:rsidR="00B808B5" w:rsidRPr="00526F2D" w:rsidRDefault="00B808B5" w:rsidP="00B808B5">
      <w:pPr>
        <w:tabs>
          <w:tab w:val="left" w:pos="8080"/>
        </w:tabs>
        <w:spacing w:after="0" w:line="240" w:lineRule="auto"/>
        <w:rPr>
          <w:vertAlign w:val="superscript"/>
        </w:rPr>
      </w:pPr>
      <w:r w:rsidRPr="00526F2D">
        <w:rPr>
          <w:rFonts w:ascii="Times New Roman" w:hAnsi="Times New Roman"/>
          <w:sz w:val="28"/>
          <w:szCs w:val="28"/>
          <w:lang w:val="es"/>
        </w:rPr>
        <w:t>En respuesta a este problema normativo, mediante la Reforma Constitucional de 1968 se creó la figura del Estado de Emergencia Económica como una institución diferente del Estado de Sitio. De tal manera que, mientras este último respondía a una situación de orden militar, la emergencia económica se configuró como una “institución completamente nueva dentro del derecho público colombiano”</w:t>
      </w:r>
      <w:r w:rsidRPr="00526F2D">
        <w:rPr>
          <w:rFonts w:ascii="Times New Roman" w:hAnsi="Times New Roman"/>
          <w:sz w:val="28"/>
          <w:szCs w:val="28"/>
          <w:vertAlign w:val="superscript"/>
          <w:lang w:val="es"/>
        </w:rPr>
        <w:footnoteReference w:id="109"/>
      </w:r>
      <w:r w:rsidRPr="00526F2D">
        <w:rPr>
          <w:rFonts w:ascii="Times New Roman" w:hAnsi="Times New Roman"/>
          <w:sz w:val="28"/>
          <w:szCs w:val="28"/>
          <w:lang w:val="es"/>
        </w:rPr>
        <w:t>, que dotaba al Gobierno de facultades para resolver una crisis económica. Así, se hizo “una distinción entre el orden público policivo o militar y el orden público económico, buscando con ello evitar el abuso del artículo 121”</w:t>
      </w:r>
      <w:r w:rsidRPr="00526F2D">
        <w:rPr>
          <w:rFonts w:ascii="Times New Roman" w:hAnsi="Times New Roman"/>
          <w:sz w:val="28"/>
          <w:szCs w:val="28"/>
          <w:vertAlign w:val="superscript"/>
          <w:lang w:val="es"/>
        </w:rPr>
        <w:footnoteReference w:id="110"/>
      </w:r>
      <w:r w:rsidRPr="00526F2D">
        <w:rPr>
          <w:rFonts w:ascii="Times New Roman" w:hAnsi="Times New Roman"/>
          <w:sz w:val="28"/>
          <w:szCs w:val="28"/>
          <w:lang w:val="es"/>
        </w:rPr>
        <w:t xml:space="preserve"> de la Constitución política de 1886.</w:t>
      </w:r>
    </w:p>
    <w:p w14:paraId="6C3E5497" w14:textId="77777777" w:rsidR="00B808B5" w:rsidRPr="00526F2D" w:rsidRDefault="00B808B5" w:rsidP="00B808B5">
      <w:pPr>
        <w:spacing w:after="0" w:line="240" w:lineRule="auto"/>
        <w:rPr>
          <w:rFonts w:ascii="Times New Roman" w:hAnsi="Times New Roman"/>
          <w:sz w:val="28"/>
          <w:szCs w:val="28"/>
          <w:lang w:val="es"/>
        </w:rPr>
      </w:pPr>
    </w:p>
    <w:p w14:paraId="2E400B95" w14:textId="77777777" w:rsidR="00B808B5" w:rsidRPr="00345ECE" w:rsidRDefault="00B808B5" w:rsidP="00B808B5">
      <w:pPr>
        <w:spacing w:after="0" w:line="240" w:lineRule="auto"/>
        <w:rPr>
          <w:rFonts w:ascii="Times New Roman" w:hAnsi="Times New Roman"/>
          <w:sz w:val="28"/>
          <w:szCs w:val="28"/>
        </w:rPr>
      </w:pPr>
      <w:r w:rsidRPr="00526F2D">
        <w:rPr>
          <w:rFonts w:ascii="Times New Roman" w:hAnsi="Times New Roman"/>
          <w:sz w:val="28"/>
          <w:szCs w:val="28"/>
        </w:rPr>
        <w:t>Aunque el estado de sitio fue concebido como una medida excepcional y transitoria, durante amplios periodos del siglo XX el país vivió bajo estados de excepción casi permanentes</w:t>
      </w:r>
      <w:r w:rsidRPr="00345ECE">
        <w:rPr>
          <w:rFonts w:ascii="Times New Roman" w:hAnsi="Times New Roman"/>
          <w:sz w:val="28"/>
          <w:szCs w:val="28"/>
        </w:rPr>
        <w:t>, situación que erosionó la vigencia material del Estado de Derecho</w:t>
      </w:r>
      <w:r w:rsidRPr="00345ECE">
        <w:rPr>
          <w:rFonts w:ascii="Times New Roman" w:hAnsi="Times New Roman"/>
          <w:sz w:val="28"/>
          <w:szCs w:val="28"/>
          <w:vertAlign w:val="superscript"/>
        </w:rPr>
        <w:footnoteReference w:id="111"/>
      </w:r>
      <w:r w:rsidRPr="00345ECE">
        <w:rPr>
          <w:rFonts w:ascii="Times New Roman" w:hAnsi="Times New Roman"/>
          <w:sz w:val="28"/>
          <w:szCs w:val="28"/>
        </w:rPr>
        <w:t>. Este contexto de uso intensivo de las facultades excepcionales fue uno de los principales antecedentes que motivaron a la Asamblea Nacional Constituyente de 1991 a rediseñar integralmente el régimen de excepción, introduciendo límites temporales, controles reforzados y garantías sustantivas para la protección de los derechos fundamentales.</w:t>
      </w:r>
    </w:p>
    <w:p w14:paraId="6A092E2A" w14:textId="77777777" w:rsidR="00B808B5" w:rsidRPr="00345ECE" w:rsidRDefault="00B808B5" w:rsidP="00B808B5">
      <w:pPr>
        <w:spacing w:after="0" w:line="240" w:lineRule="auto"/>
        <w:rPr>
          <w:rFonts w:ascii="Times New Roman" w:hAnsi="Times New Roman"/>
          <w:sz w:val="28"/>
          <w:szCs w:val="28"/>
        </w:rPr>
      </w:pPr>
    </w:p>
    <w:p w14:paraId="7D3CF5B1"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lastRenderedPageBreak/>
        <w:t>En los debates de la Asamblea Nacional Constituyente, el diseño de los estados de excepción reflejó un claro propósito de evitar los excesos del pasado, sin despojar al Ejecutivo de su capacidad de respuesta ante crisis graves. La preocupación central giró en torno a establecer límites temporales y controles estrictos, especialmente de carácter político</w:t>
      </w:r>
      <w:r w:rsidRPr="00345ECE">
        <w:rPr>
          <w:rFonts w:ascii="Times New Roman" w:hAnsi="Times New Roman"/>
          <w:sz w:val="28"/>
          <w:szCs w:val="28"/>
          <w:vertAlign w:val="superscript"/>
        </w:rPr>
        <w:footnoteReference w:id="112"/>
      </w:r>
      <w:r w:rsidRPr="00345ECE">
        <w:rPr>
          <w:rFonts w:ascii="Times New Roman" w:hAnsi="Times New Roman"/>
          <w:sz w:val="28"/>
          <w:szCs w:val="28"/>
        </w:rPr>
        <w:t xml:space="preserve">. </w:t>
      </w:r>
    </w:p>
    <w:p w14:paraId="26AA91D8" w14:textId="77777777" w:rsidR="00B808B5" w:rsidRPr="00345ECE" w:rsidRDefault="00B808B5" w:rsidP="00B808B5">
      <w:pPr>
        <w:spacing w:after="0" w:line="240" w:lineRule="auto"/>
        <w:rPr>
          <w:rFonts w:ascii="Times New Roman" w:hAnsi="Times New Roman"/>
          <w:sz w:val="28"/>
          <w:szCs w:val="28"/>
        </w:rPr>
      </w:pPr>
    </w:p>
    <w:p w14:paraId="78A9DFC3"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Aunque algunos constituyentes proponían ampliar el control constitucional mediante, por ejemplo, el control previo de los decretos legislativos</w:t>
      </w:r>
      <w:r w:rsidRPr="00345ECE">
        <w:rPr>
          <w:rFonts w:ascii="Times New Roman" w:hAnsi="Times New Roman"/>
          <w:sz w:val="28"/>
          <w:szCs w:val="28"/>
          <w:vertAlign w:val="superscript"/>
        </w:rPr>
        <w:footnoteReference w:id="113"/>
      </w:r>
      <w:r w:rsidRPr="00345ECE">
        <w:rPr>
          <w:rFonts w:ascii="Times New Roman" w:hAnsi="Times New Roman"/>
          <w:sz w:val="28"/>
          <w:szCs w:val="28"/>
        </w:rPr>
        <w:t xml:space="preserve"> o, incluso, expresaron su inconformidad con el hecho de que no se hubiera previsto la posibilidad de suspensión provisional por parte de la Corte Constitucional, a diferencia del modelo expresamente diseñado para el Consejo de Estado</w:t>
      </w:r>
      <w:r w:rsidRPr="00345ECE">
        <w:rPr>
          <w:rFonts w:ascii="Times New Roman" w:hAnsi="Times New Roman"/>
          <w:sz w:val="28"/>
          <w:szCs w:val="28"/>
          <w:vertAlign w:val="superscript"/>
        </w:rPr>
        <w:footnoteReference w:id="114"/>
      </w:r>
      <w:r w:rsidRPr="00345ECE">
        <w:rPr>
          <w:rFonts w:ascii="Times New Roman" w:hAnsi="Times New Roman"/>
          <w:sz w:val="28"/>
          <w:szCs w:val="28"/>
        </w:rPr>
        <w:t>, lo cierto es que ninguna de estas posturas fue acogida en el articulado aprobado, que se decantó por consagrar un control posterior, integral y definitivo a cargo de la Corte Constitucional</w:t>
      </w:r>
      <w:r w:rsidRPr="00345ECE">
        <w:rPr>
          <w:rFonts w:ascii="Times New Roman" w:hAnsi="Times New Roman"/>
          <w:sz w:val="28"/>
          <w:szCs w:val="28"/>
          <w:vertAlign w:val="superscript"/>
        </w:rPr>
        <w:footnoteReference w:id="115"/>
      </w:r>
      <w:r w:rsidRPr="00345ECE">
        <w:rPr>
          <w:rFonts w:ascii="Times New Roman" w:hAnsi="Times New Roman"/>
          <w:sz w:val="28"/>
          <w:szCs w:val="28"/>
        </w:rPr>
        <w:t xml:space="preserve">. En ese marco, se reafirmó que el Ejecutivo debía conservar el manejo directo de la crisis, pero bajo un esquema de </w:t>
      </w:r>
      <w:r w:rsidRPr="302B9A25">
        <w:rPr>
          <w:rFonts w:ascii="Times New Roman" w:hAnsi="Times New Roman"/>
          <w:i/>
          <w:iCs/>
          <w:sz w:val="28"/>
          <w:szCs w:val="28"/>
        </w:rPr>
        <w:t>controles rigurosos</w:t>
      </w:r>
      <w:r w:rsidRPr="00345ECE">
        <w:rPr>
          <w:rFonts w:ascii="Times New Roman" w:hAnsi="Times New Roman"/>
          <w:sz w:val="28"/>
          <w:szCs w:val="28"/>
        </w:rPr>
        <w:t>, limitado sobre todo en aspectos de tiempo y control político, sin convertir a las otras ramas en cogestoras del estado de excepción. </w:t>
      </w:r>
    </w:p>
    <w:p w14:paraId="27FA22F1" w14:textId="77777777" w:rsidR="00B808B5" w:rsidRPr="00345ECE" w:rsidRDefault="00B808B5" w:rsidP="00B808B5">
      <w:pPr>
        <w:spacing w:after="0" w:line="240" w:lineRule="auto"/>
        <w:rPr>
          <w:rFonts w:ascii="Times New Roman" w:hAnsi="Times New Roman"/>
          <w:sz w:val="28"/>
          <w:szCs w:val="28"/>
        </w:rPr>
      </w:pPr>
    </w:p>
    <w:p w14:paraId="421B4EFE"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La Constitución de 1991 establece tres tipos de estados de excepción</w:t>
      </w:r>
      <w:r w:rsidRPr="00345ECE">
        <w:rPr>
          <w:rFonts w:ascii="Times New Roman" w:hAnsi="Times New Roman"/>
          <w:sz w:val="28"/>
          <w:szCs w:val="28"/>
          <w:vertAlign w:val="superscript"/>
        </w:rPr>
        <w:footnoteReference w:id="116"/>
      </w:r>
      <w:r w:rsidRPr="00345ECE">
        <w:rPr>
          <w:rFonts w:ascii="Times New Roman" w:hAnsi="Times New Roman"/>
          <w:sz w:val="28"/>
          <w:szCs w:val="28"/>
        </w:rPr>
        <w:t>: guerra exterior (art. 212), conmoción interior (art. 213) y emergencia económica, social o ecológica (art. 215)</w:t>
      </w:r>
      <w:r w:rsidRPr="00345ECE">
        <w:rPr>
          <w:rFonts w:ascii="Times New Roman" w:hAnsi="Times New Roman"/>
          <w:sz w:val="28"/>
          <w:szCs w:val="28"/>
          <w:vertAlign w:val="superscript"/>
        </w:rPr>
        <w:footnoteReference w:id="117"/>
      </w:r>
      <w:r w:rsidRPr="00345ECE">
        <w:rPr>
          <w:rFonts w:ascii="Times New Roman" w:hAnsi="Times New Roman"/>
          <w:sz w:val="28"/>
          <w:szCs w:val="28"/>
        </w:rPr>
        <w:t xml:space="preserve">. En todos los casos, el </w:t>
      </w:r>
      <w:proofErr w:type="gramStart"/>
      <w:r w:rsidRPr="00345ECE">
        <w:rPr>
          <w:rFonts w:ascii="Times New Roman" w:hAnsi="Times New Roman"/>
          <w:sz w:val="28"/>
          <w:szCs w:val="28"/>
        </w:rPr>
        <w:t>Presidente</w:t>
      </w:r>
      <w:proofErr w:type="gramEnd"/>
      <w:r w:rsidRPr="00345ECE">
        <w:rPr>
          <w:rFonts w:ascii="Times New Roman" w:hAnsi="Times New Roman"/>
          <w:sz w:val="28"/>
          <w:szCs w:val="28"/>
        </w:rPr>
        <w:t xml:space="preserve"> de la República, con la firma de todos los ministros, puede expedir decretos legislativos con fuerza de ley, los cuales deben ser estrictamente necesarios, proporcionales y guardar conexidad con las causas que motivan la declaración del estado excepcional</w:t>
      </w:r>
      <w:r w:rsidRPr="00345ECE">
        <w:rPr>
          <w:rFonts w:ascii="Times New Roman" w:hAnsi="Times New Roman"/>
          <w:sz w:val="28"/>
          <w:szCs w:val="28"/>
          <w:vertAlign w:val="superscript"/>
        </w:rPr>
        <w:footnoteReference w:id="118"/>
      </w:r>
      <w:r w:rsidRPr="00345ECE">
        <w:rPr>
          <w:rFonts w:ascii="Times New Roman" w:hAnsi="Times New Roman"/>
          <w:sz w:val="28"/>
          <w:szCs w:val="28"/>
        </w:rPr>
        <w:t>.</w:t>
      </w:r>
    </w:p>
    <w:p w14:paraId="2CB23F24" w14:textId="77777777" w:rsidR="00B808B5" w:rsidRPr="00345ECE" w:rsidRDefault="00B808B5" w:rsidP="00B808B5">
      <w:pPr>
        <w:pStyle w:val="NormalWeb"/>
        <w:spacing w:before="0" w:beforeAutospacing="0" w:after="0" w:afterAutospacing="0"/>
        <w:rPr>
          <w:sz w:val="28"/>
          <w:szCs w:val="28"/>
        </w:rPr>
      </w:pPr>
    </w:p>
    <w:p w14:paraId="4D2D0BE3" w14:textId="77777777" w:rsidR="00B808B5" w:rsidRPr="00345ECE" w:rsidRDefault="00B808B5" w:rsidP="00B808B5">
      <w:pPr>
        <w:pStyle w:val="NormalWeb"/>
        <w:spacing w:before="0" w:beforeAutospacing="0" w:after="0" w:afterAutospacing="0"/>
        <w:rPr>
          <w:sz w:val="28"/>
          <w:szCs w:val="28"/>
        </w:rPr>
      </w:pPr>
      <w:r w:rsidRPr="00345ECE">
        <w:rPr>
          <w:sz w:val="28"/>
          <w:szCs w:val="28"/>
        </w:rPr>
        <w:t xml:space="preserve">El Constituyente diseñó un sistema de control integral sobre los estados de excepción, desarrollado por la Ley Estatutaria 137 de </w:t>
      </w:r>
      <w:proofErr w:type="gramStart"/>
      <w:r w:rsidRPr="00345ECE">
        <w:rPr>
          <w:sz w:val="28"/>
          <w:szCs w:val="28"/>
        </w:rPr>
        <w:t>1994,  que</w:t>
      </w:r>
      <w:proofErr w:type="gramEnd"/>
      <w:r w:rsidRPr="00345ECE">
        <w:rPr>
          <w:sz w:val="28"/>
          <w:szCs w:val="28"/>
        </w:rPr>
        <w:t xml:space="preserve"> ha sido objeto de múltiples pronunciamientos </w:t>
      </w:r>
      <w:r w:rsidRPr="302B9A25">
        <w:rPr>
          <w:sz w:val="28"/>
          <w:szCs w:val="28"/>
        </w:rPr>
        <w:t xml:space="preserve">por parte </w:t>
      </w:r>
      <w:r w:rsidRPr="00345ECE">
        <w:rPr>
          <w:sz w:val="28"/>
          <w:szCs w:val="28"/>
        </w:rPr>
        <w:t xml:space="preserve">de la Corte Constitucional, entre ellos la </w:t>
      </w:r>
      <w:r w:rsidRPr="00345ECE">
        <w:rPr>
          <w:b/>
          <w:bCs/>
          <w:sz w:val="28"/>
          <w:szCs w:val="28"/>
        </w:rPr>
        <w:t>Sentencia C-179 de 1994</w:t>
      </w:r>
      <w:r w:rsidRPr="00345ECE">
        <w:rPr>
          <w:sz w:val="28"/>
          <w:szCs w:val="28"/>
        </w:rPr>
        <w:t xml:space="preserve"> que efectuó </w:t>
      </w:r>
      <w:r w:rsidRPr="302B9A25">
        <w:rPr>
          <w:sz w:val="28"/>
          <w:szCs w:val="28"/>
        </w:rPr>
        <w:t>su</w:t>
      </w:r>
      <w:r w:rsidRPr="00345ECE">
        <w:rPr>
          <w:sz w:val="28"/>
          <w:szCs w:val="28"/>
        </w:rPr>
        <w:t xml:space="preserve"> control automático, previo, integral, omnicomprensivo y definitivo</w:t>
      </w:r>
      <w:r w:rsidRPr="00345ECE">
        <w:rPr>
          <w:rFonts w:eastAsiaTheme="majorEastAsia"/>
          <w:sz w:val="28"/>
          <w:szCs w:val="28"/>
          <w:vertAlign w:val="superscript"/>
        </w:rPr>
        <w:footnoteReference w:id="119"/>
      </w:r>
      <w:r w:rsidRPr="302B9A25">
        <w:rPr>
          <w:sz w:val="28"/>
          <w:szCs w:val="28"/>
        </w:rPr>
        <w:t>.</w:t>
      </w:r>
    </w:p>
    <w:p w14:paraId="542DEC10" w14:textId="77777777" w:rsidR="00B808B5" w:rsidRPr="00345ECE" w:rsidRDefault="00B808B5" w:rsidP="00B808B5">
      <w:pPr>
        <w:pStyle w:val="NormalWeb"/>
        <w:spacing w:before="0" w:beforeAutospacing="0" w:after="0" w:afterAutospacing="0"/>
        <w:rPr>
          <w:sz w:val="28"/>
          <w:szCs w:val="28"/>
        </w:rPr>
      </w:pPr>
    </w:p>
    <w:p w14:paraId="00C61189" w14:textId="77777777" w:rsidR="00B808B5" w:rsidRPr="00345ECE" w:rsidRDefault="00B808B5" w:rsidP="00B808B5">
      <w:pPr>
        <w:pStyle w:val="NormalWeb"/>
        <w:spacing w:before="0" w:beforeAutospacing="0" w:after="0" w:afterAutospacing="0"/>
        <w:rPr>
          <w:sz w:val="28"/>
          <w:szCs w:val="28"/>
        </w:rPr>
      </w:pPr>
      <w:r w:rsidRPr="00345ECE">
        <w:rPr>
          <w:sz w:val="28"/>
          <w:szCs w:val="28"/>
        </w:rPr>
        <w:lastRenderedPageBreak/>
        <w:t>En el ámbito político, el Congreso conserva sus competencias ordinarias (arts. 114 y 138 CP) y ejerce un control permanente sobre el Ejecutivo durante los estados de excepción, a través de mecanismos expresamente reforzados. Entre ellos se incluye la obligación del Gobierno nacional de presentar informes periódicos y motivados sobre la declaratoria y las medidas adoptadas (arts. 31, 39 y 48 L.E. 137 de 1994 y 114, 135, 213 y 215 CP), así como la participación</w:t>
      </w:r>
      <w:r>
        <w:rPr>
          <w:sz w:val="28"/>
          <w:szCs w:val="28"/>
        </w:rPr>
        <w:t xml:space="preserve"> </w:t>
      </w:r>
      <w:r w:rsidRPr="00345ECE">
        <w:rPr>
          <w:sz w:val="28"/>
          <w:szCs w:val="28"/>
        </w:rPr>
        <w:t xml:space="preserve">de las Comisiones de Derechos Humanos (arts. 39 y 52 L.E. 137 de 1994). </w:t>
      </w:r>
    </w:p>
    <w:p w14:paraId="499B6194" w14:textId="77777777" w:rsidR="00B808B5" w:rsidRPr="00345ECE" w:rsidRDefault="00B808B5" w:rsidP="00B808B5">
      <w:pPr>
        <w:pStyle w:val="NormalWeb"/>
        <w:spacing w:before="0" w:beforeAutospacing="0" w:after="0" w:afterAutospacing="0"/>
        <w:rPr>
          <w:sz w:val="28"/>
          <w:szCs w:val="28"/>
        </w:rPr>
      </w:pPr>
    </w:p>
    <w:p w14:paraId="68FB3611" w14:textId="77777777" w:rsidR="00B808B5" w:rsidRPr="00345ECE" w:rsidRDefault="00B808B5" w:rsidP="00B808B5">
      <w:pPr>
        <w:pStyle w:val="NormalWeb"/>
        <w:spacing w:before="0" w:beforeAutospacing="0" w:after="0" w:afterAutospacing="0"/>
        <w:rPr>
          <w:sz w:val="28"/>
          <w:szCs w:val="28"/>
        </w:rPr>
      </w:pPr>
      <w:r w:rsidRPr="00345ECE">
        <w:rPr>
          <w:sz w:val="28"/>
          <w:szCs w:val="28"/>
        </w:rPr>
        <w:t xml:space="preserve">Además, en el caso del estado de guerra exterior, se exige autorización previa del Senado para su declaratoria (art. 212 CP), y durante la conmoción interior, la segunda prórroga requiere concepto previo y favorable de esa misma corporación (art. 213 CP y art. 40 L.E. 137 de 1994). De igual forma, </w:t>
      </w:r>
      <w:r w:rsidRPr="302B9A25">
        <w:rPr>
          <w:sz w:val="28"/>
          <w:szCs w:val="28"/>
        </w:rPr>
        <w:t xml:space="preserve">se </w:t>
      </w:r>
      <w:r w:rsidRPr="00345ECE">
        <w:rPr>
          <w:sz w:val="28"/>
          <w:szCs w:val="28"/>
        </w:rPr>
        <w:t xml:space="preserve">puede ejercer juicios de responsabilidad contra el </w:t>
      </w:r>
      <w:proofErr w:type="gramStart"/>
      <w:r w:rsidRPr="00345ECE">
        <w:rPr>
          <w:sz w:val="28"/>
          <w:szCs w:val="28"/>
        </w:rPr>
        <w:t>Presidente</w:t>
      </w:r>
      <w:proofErr w:type="gramEnd"/>
      <w:r w:rsidRPr="00345ECE">
        <w:rPr>
          <w:sz w:val="28"/>
          <w:szCs w:val="28"/>
        </w:rPr>
        <w:t xml:space="preserve">, </w:t>
      </w:r>
      <w:r w:rsidRPr="302B9A25">
        <w:rPr>
          <w:sz w:val="28"/>
          <w:szCs w:val="28"/>
        </w:rPr>
        <w:t xml:space="preserve">y los </w:t>
      </w:r>
      <w:r w:rsidRPr="00345ECE">
        <w:rPr>
          <w:sz w:val="28"/>
          <w:szCs w:val="28"/>
        </w:rPr>
        <w:t>ministros por declaratorias injustificadas o abusos en el ejercicio de estas facultades (art. 214.</w:t>
      </w:r>
      <w:r w:rsidRPr="302B9A25">
        <w:rPr>
          <w:sz w:val="28"/>
          <w:szCs w:val="28"/>
        </w:rPr>
        <w:t>5</w:t>
      </w:r>
      <w:r w:rsidRPr="00345ECE">
        <w:rPr>
          <w:sz w:val="28"/>
          <w:szCs w:val="28"/>
        </w:rPr>
        <w:t xml:space="preserve"> CP y art. 52 L.E.). En particular, durante el estado de guerra exterior, el Congreso puede reformar o derogar los decretos legislativos con el voto favorable de las dos terceras partes de los miembros de cada cámara (art. 32 L.E. 137 de 1994 y 212 CP)</w:t>
      </w:r>
      <w:bookmarkStart w:id="14" w:name="OLE_LINK2"/>
      <w:r w:rsidRPr="00345ECE">
        <w:rPr>
          <w:rFonts w:eastAsiaTheme="majorEastAsia"/>
          <w:sz w:val="28"/>
          <w:szCs w:val="28"/>
          <w:vertAlign w:val="superscript"/>
        </w:rPr>
        <w:footnoteReference w:id="120"/>
      </w:r>
      <w:r w:rsidRPr="00345ECE">
        <w:rPr>
          <w:sz w:val="28"/>
          <w:szCs w:val="28"/>
        </w:rPr>
        <w:t>.</w:t>
      </w:r>
    </w:p>
    <w:bookmarkEnd w:id="14"/>
    <w:p w14:paraId="0856248A" w14:textId="77777777" w:rsidR="00B808B5" w:rsidRPr="00345ECE" w:rsidRDefault="00B808B5" w:rsidP="00B808B5">
      <w:pPr>
        <w:pStyle w:val="NormalWeb"/>
        <w:spacing w:before="0" w:beforeAutospacing="0" w:after="0" w:afterAutospacing="0"/>
        <w:rPr>
          <w:sz w:val="28"/>
          <w:szCs w:val="28"/>
        </w:rPr>
      </w:pPr>
    </w:p>
    <w:p w14:paraId="6BC466FF" w14:textId="77777777" w:rsidR="00B808B5" w:rsidRPr="00345ECE" w:rsidRDefault="00B808B5" w:rsidP="00B808B5">
      <w:pPr>
        <w:pStyle w:val="NormalWeb"/>
        <w:spacing w:before="0" w:beforeAutospacing="0" w:after="0" w:afterAutospacing="0"/>
        <w:rPr>
          <w:sz w:val="28"/>
          <w:szCs w:val="28"/>
        </w:rPr>
      </w:pPr>
      <w:r w:rsidRPr="00345ECE">
        <w:rPr>
          <w:sz w:val="28"/>
          <w:szCs w:val="28"/>
        </w:rPr>
        <w:t>Además, el régimen estatutario también desarrolla mecanismos adicionales de control institucional incorporados por el Constituyente de 1991, como la responsabilidad de los demás funcionarios</w:t>
      </w:r>
      <w:r>
        <w:rPr>
          <w:sz w:val="28"/>
          <w:szCs w:val="28"/>
        </w:rPr>
        <w:t xml:space="preserve"> </w:t>
      </w:r>
      <w:r w:rsidRPr="00345ECE">
        <w:rPr>
          <w:sz w:val="28"/>
          <w:szCs w:val="28"/>
        </w:rPr>
        <w:t>(art. 52 L.E. 137 de 1994 y 214 y 215 C.P.) y el control del Ministerio Público (art. 54 L.E. 137 de 1994). En este marco, el Procurador General de la Nación está facultado para sugerir la revocatoria inmediata de medidas que, a su juicio, vulneren abiertamente la Constitución o afecten el núcleo esencial de los derechos fundamentales.</w:t>
      </w:r>
    </w:p>
    <w:p w14:paraId="68B02C8F" w14:textId="77777777" w:rsidR="00B808B5" w:rsidRPr="00345ECE" w:rsidRDefault="00B808B5" w:rsidP="00B808B5">
      <w:pPr>
        <w:pStyle w:val="NormalWeb"/>
        <w:spacing w:before="0" w:beforeAutospacing="0" w:after="0" w:afterAutospacing="0"/>
        <w:rPr>
          <w:sz w:val="28"/>
          <w:szCs w:val="28"/>
        </w:rPr>
      </w:pPr>
    </w:p>
    <w:p w14:paraId="49AA67C1"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En el plano jurisdiccional, el artículo 55 de dicha ley contempla el control de constitucionalidad que ejerce la Corte Constitucional sobre los decretos legislativos</w:t>
      </w:r>
      <w:r w:rsidRPr="00345ECE">
        <w:rPr>
          <w:rFonts w:ascii="Times New Roman" w:hAnsi="Times New Roman"/>
          <w:sz w:val="28"/>
          <w:szCs w:val="28"/>
          <w:vertAlign w:val="superscript"/>
        </w:rPr>
        <w:footnoteReference w:id="121"/>
      </w:r>
      <w:r w:rsidRPr="00345ECE">
        <w:rPr>
          <w:rFonts w:ascii="Times New Roman" w:hAnsi="Times New Roman"/>
          <w:sz w:val="28"/>
          <w:szCs w:val="28"/>
        </w:rPr>
        <w:t xml:space="preserve"> expedidos con fundamento en los artículos 212, 213 y 215 de la Carta. Reitera que dicho control es ejercido “de manera automática, de conformidad con el numeral 7 del artículo 241 de la Constitución, dentro de los plazos establecidos en su artículo 242 y de acuerdo con las condiciones previstas en el Decreto 2067 de 1991”.</w:t>
      </w:r>
    </w:p>
    <w:p w14:paraId="295B2FFB" w14:textId="77777777" w:rsidR="00B808B5" w:rsidRPr="00345ECE" w:rsidRDefault="00B808B5" w:rsidP="00B808B5">
      <w:pPr>
        <w:spacing w:after="0" w:line="240" w:lineRule="auto"/>
        <w:rPr>
          <w:rFonts w:ascii="Times New Roman" w:hAnsi="Times New Roman"/>
          <w:sz w:val="28"/>
          <w:szCs w:val="28"/>
        </w:rPr>
      </w:pPr>
    </w:p>
    <w:p w14:paraId="2A4C73FF"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Específicamente</w:t>
      </w:r>
      <w:r w:rsidRPr="302B9A25">
        <w:rPr>
          <w:rFonts w:ascii="Times New Roman" w:hAnsi="Times New Roman"/>
          <w:sz w:val="28"/>
          <w:szCs w:val="28"/>
        </w:rPr>
        <w:t>, respecto de este control constitucional,</w:t>
      </w:r>
      <w:r w:rsidRPr="00345ECE">
        <w:rPr>
          <w:rFonts w:ascii="Times New Roman" w:hAnsi="Times New Roman"/>
          <w:sz w:val="28"/>
          <w:szCs w:val="28"/>
        </w:rPr>
        <w:t xml:space="preserve"> la </w:t>
      </w:r>
      <w:r w:rsidRPr="00345ECE">
        <w:rPr>
          <w:rFonts w:ascii="Times New Roman" w:hAnsi="Times New Roman"/>
          <w:b/>
          <w:bCs/>
          <w:sz w:val="28"/>
          <w:szCs w:val="28"/>
        </w:rPr>
        <w:t xml:space="preserve">Sentencia C-179 de 1994 </w:t>
      </w:r>
      <w:r w:rsidRPr="00345ECE">
        <w:rPr>
          <w:rFonts w:ascii="Times New Roman" w:hAnsi="Times New Roman"/>
          <w:sz w:val="28"/>
          <w:szCs w:val="28"/>
        </w:rPr>
        <w:t xml:space="preserve">precisó que este recae “no sólo sobre los </w:t>
      </w:r>
      <w:r w:rsidRPr="00345ECE">
        <w:rPr>
          <w:rFonts w:ascii="Times New Roman" w:hAnsi="Times New Roman"/>
          <w:b/>
          <w:bCs/>
          <w:sz w:val="28"/>
          <w:szCs w:val="28"/>
        </w:rPr>
        <w:t xml:space="preserve">decretos declarativos </w:t>
      </w:r>
      <w:r w:rsidRPr="00345ECE">
        <w:rPr>
          <w:rFonts w:ascii="Times New Roman" w:hAnsi="Times New Roman"/>
          <w:sz w:val="28"/>
          <w:szCs w:val="28"/>
        </w:rPr>
        <w:t xml:space="preserve">de los tres estados excepcionales, sino también con respecto a </w:t>
      </w:r>
      <w:r w:rsidRPr="00345ECE">
        <w:rPr>
          <w:rFonts w:ascii="Times New Roman" w:hAnsi="Times New Roman"/>
          <w:b/>
          <w:bCs/>
          <w:sz w:val="28"/>
          <w:szCs w:val="28"/>
        </w:rPr>
        <w:t xml:space="preserve">cada uno de los decretos legislativos que expida el Gobierno, </w:t>
      </w:r>
      <w:r w:rsidRPr="00345ECE">
        <w:rPr>
          <w:rFonts w:ascii="Times New Roman" w:hAnsi="Times New Roman"/>
          <w:sz w:val="28"/>
          <w:szCs w:val="28"/>
        </w:rPr>
        <w:t xml:space="preserve">en desarrollo de las atribuciones que le confiere la Constitución, para ser utilizadas durante los periodos transitorios”. En dicha oportunidad, esta Corporación reiteró que tal competencia implica un control integral de forma y fondo, incluyendo aspectos como la firma del </w:t>
      </w:r>
      <w:proofErr w:type="gramStart"/>
      <w:r w:rsidRPr="00345ECE">
        <w:rPr>
          <w:rFonts w:ascii="Times New Roman" w:hAnsi="Times New Roman"/>
          <w:sz w:val="28"/>
          <w:szCs w:val="28"/>
        </w:rPr>
        <w:t>Presidente</w:t>
      </w:r>
      <w:proofErr w:type="gramEnd"/>
      <w:r w:rsidRPr="00345ECE">
        <w:rPr>
          <w:rFonts w:ascii="Times New Roman" w:hAnsi="Times New Roman"/>
          <w:sz w:val="28"/>
          <w:szCs w:val="28"/>
        </w:rPr>
        <w:t xml:space="preserve"> y sus ministros, la conexidad, transitoriedad, finalidad y proporcionalidad de las medidas adoptadas. Sin embargo, subrayó, </w:t>
      </w:r>
      <w:r w:rsidRPr="00345ECE">
        <w:rPr>
          <w:rFonts w:ascii="Times New Roman" w:hAnsi="Times New Roman"/>
          <w:sz w:val="28"/>
          <w:szCs w:val="28"/>
        </w:rPr>
        <w:lastRenderedPageBreak/>
        <w:t xml:space="preserve">además, que la competencia de la Corte Constitucional para conocer de dichos decretos es </w:t>
      </w:r>
      <w:r w:rsidRPr="00345ECE">
        <w:rPr>
          <w:rFonts w:ascii="Times New Roman" w:hAnsi="Times New Roman"/>
          <w:b/>
          <w:bCs/>
          <w:sz w:val="28"/>
          <w:szCs w:val="28"/>
        </w:rPr>
        <w:t>exclusiva y definitiva</w:t>
      </w:r>
      <w:r w:rsidRPr="00345ECE">
        <w:rPr>
          <w:rFonts w:ascii="Times New Roman" w:hAnsi="Times New Roman"/>
          <w:sz w:val="28"/>
          <w:szCs w:val="28"/>
        </w:rPr>
        <w:t>, ya que: “</w:t>
      </w:r>
      <w:r w:rsidRPr="00345ECE">
        <w:rPr>
          <w:rFonts w:ascii="Times New Roman" w:hAnsi="Times New Roman"/>
          <w:b/>
          <w:bCs/>
          <w:sz w:val="28"/>
          <w:szCs w:val="28"/>
        </w:rPr>
        <w:t>Decidir definitivamente significa por una sola vez y para siempre, pues los fallos que sobre ellos se dicte tienen la fuerza de cosa juzgada constitucional</w:t>
      </w:r>
      <w:r w:rsidRPr="00345ECE">
        <w:rPr>
          <w:rFonts w:ascii="Times New Roman" w:hAnsi="Times New Roman"/>
          <w:sz w:val="28"/>
          <w:szCs w:val="28"/>
        </w:rPr>
        <w:t>”</w:t>
      </w:r>
      <w:r w:rsidRPr="00345ECE">
        <w:rPr>
          <w:rFonts w:ascii="Times New Roman" w:hAnsi="Times New Roman"/>
          <w:sz w:val="28"/>
          <w:szCs w:val="28"/>
          <w:vertAlign w:val="superscript"/>
        </w:rPr>
        <w:footnoteReference w:id="122"/>
      </w:r>
      <w:r w:rsidRPr="00345ECE">
        <w:rPr>
          <w:rFonts w:ascii="Times New Roman" w:hAnsi="Times New Roman"/>
          <w:sz w:val="28"/>
          <w:szCs w:val="28"/>
        </w:rPr>
        <w:t xml:space="preserve"> (énfasis añadido). </w:t>
      </w:r>
    </w:p>
    <w:p w14:paraId="520ABFDF" w14:textId="77777777" w:rsidR="00B808B5" w:rsidRPr="00345ECE" w:rsidRDefault="00B808B5" w:rsidP="00B808B5">
      <w:pPr>
        <w:spacing w:after="0" w:line="240" w:lineRule="auto"/>
        <w:rPr>
          <w:rFonts w:ascii="Times New Roman" w:hAnsi="Times New Roman"/>
          <w:sz w:val="28"/>
          <w:szCs w:val="28"/>
        </w:rPr>
      </w:pPr>
    </w:p>
    <w:p w14:paraId="016FBDBC"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 xml:space="preserve">En paralelo, el </w:t>
      </w:r>
      <w:r w:rsidRPr="00345ECE">
        <w:rPr>
          <w:rFonts w:ascii="Times New Roman" w:hAnsi="Times New Roman"/>
          <w:b/>
          <w:bCs/>
          <w:sz w:val="28"/>
          <w:szCs w:val="28"/>
        </w:rPr>
        <w:t>artículo 20</w:t>
      </w:r>
      <w:r w:rsidRPr="00345ECE">
        <w:rPr>
          <w:rFonts w:ascii="Times New Roman" w:hAnsi="Times New Roman"/>
          <w:sz w:val="28"/>
          <w:szCs w:val="28"/>
        </w:rPr>
        <w:t xml:space="preserve"> de la Ley Estatutaria 137 de 1994, prevé un control de legalidad de las medidas administrativas generales expedidas en desarrollo de los decretos legislativos durante los estados de excepción. En sus dos primeros incisos, la disposición contempla un control inmediato del Consejo de Estado cuando las medidas provengan de autoridades nacionales. Al respecto, </w:t>
      </w:r>
      <w:r w:rsidRPr="00526F2D">
        <w:rPr>
          <w:rFonts w:ascii="Times New Roman" w:hAnsi="Times New Roman"/>
          <w:sz w:val="28"/>
          <w:szCs w:val="28"/>
        </w:rPr>
        <w:t xml:space="preserve">en la sentencia precitada, </w:t>
      </w:r>
      <w:r w:rsidRPr="00345ECE">
        <w:rPr>
          <w:rFonts w:ascii="Times New Roman" w:hAnsi="Times New Roman"/>
          <w:sz w:val="28"/>
          <w:szCs w:val="28"/>
        </w:rPr>
        <w:t>la Corte consideró que estas reglas “no atentan contra la Ley Suprema y, por el contrario, encajan dentro de lo contemplado en el artículo 237 de la Carta”, que le atribuye al Consejo de Estado el ejercicio de funciones como tribunal supremo de lo contencioso-administrativo y garante de la legalidad de los actos administrativos.</w:t>
      </w:r>
    </w:p>
    <w:p w14:paraId="36CE821B" w14:textId="77777777" w:rsidR="00B808B5" w:rsidRPr="00345ECE" w:rsidRDefault="00B808B5" w:rsidP="00B808B5">
      <w:pPr>
        <w:spacing w:after="0" w:line="240" w:lineRule="auto"/>
        <w:rPr>
          <w:rFonts w:ascii="Times New Roman" w:hAnsi="Times New Roman"/>
          <w:sz w:val="28"/>
          <w:szCs w:val="28"/>
        </w:rPr>
      </w:pPr>
    </w:p>
    <w:p w14:paraId="2B62111D"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No obstante, e</w:t>
      </w:r>
      <w:r w:rsidRPr="302B9A25">
        <w:rPr>
          <w:rFonts w:ascii="Times New Roman" w:hAnsi="Times New Roman"/>
          <w:sz w:val="28"/>
          <w:szCs w:val="28"/>
        </w:rPr>
        <w:t>ste</w:t>
      </w:r>
      <w:r w:rsidRPr="00345ECE">
        <w:rPr>
          <w:rFonts w:ascii="Times New Roman" w:hAnsi="Times New Roman"/>
          <w:sz w:val="28"/>
          <w:szCs w:val="28"/>
        </w:rPr>
        <w:t xml:space="preserve"> Alto Tribunal declaró inexequible</w:t>
      </w:r>
      <w:r w:rsidRPr="00345ECE">
        <w:rPr>
          <w:rFonts w:ascii="Times New Roman" w:hAnsi="Times New Roman"/>
          <w:sz w:val="28"/>
          <w:szCs w:val="28"/>
          <w:vertAlign w:val="superscript"/>
        </w:rPr>
        <w:footnoteReference w:id="123"/>
      </w:r>
      <w:r w:rsidRPr="00345ECE">
        <w:rPr>
          <w:rFonts w:ascii="Times New Roman" w:hAnsi="Times New Roman"/>
          <w:sz w:val="28"/>
          <w:szCs w:val="28"/>
        </w:rPr>
        <w:t xml:space="preserve"> el inciso tercero del mismo artículo, en cuanto prohibía a otras autoridades judiciales o administrativas suspender o inaplicar decretos legislativos durante su revisión constitucional, si la Corte</w:t>
      </w:r>
      <w:r w:rsidRPr="302B9A25">
        <w:rPr>
          <w:rFonts w:ascii="Times New Roman" w:hAnsi="Times New Roman"/>
          <w:sz w:val="28"/>
          <w:szCs w:val="28"/>
        </w:rPr>
        <w:t xml:space="preserve"> Constitucional</w:t>
      </w:r>
      <w:r w:rsidRPr="00345ECE">
        <w:rPr>
          <w:rFonts w:ascii="Times New Roman" w:hAnsi="Times New Roman"/>
          <w:sz w:val="28"/>
          <w:szCs w:val="28"/>
        </w:rPr>
        <w:t xml:space="preserve"> no los hubiese suspendido previamente en virtud del inciso segundo del artículo 56 de la misma ley. Para esta Corporación, </w:t>
      </w:r>
      <w:r w:rsidRPr="008E1A38">
        <w:rPr>
          <w:rFonts w:ascii="Times New Roman" w:hAnsi="Times New Roman"/>
          <w:b/>
          <w:bCs/>
          <w:sz w:val="28"/>
          <w:szCs w:val="28"/>
        </w:rPr>
        <w:t>esta disposición era inconstitucional por reproducir la figura de la suspensión provisional de</w:t>
      </w:r>
      <w:r w:rsidRPr="00345ECE">
        <w:rPr>
          <w:rFonts w:ascii="Times New Roman" w:hAnsi="Times New Roman"/>
          <w:sz w:val="28"/>
          <w:szCs w:val="28"/>
        </w:rPr>
        <w:t xml:space="preserve"> </w:t>
      </w:r>
      <w:r w:rsidRPr="008E1A38">
        <w:rPr>
          <w:rFonts w:ascii="Times New Roman" w:hAnsi="Times New Roman"/>
          <w:b/>
          <w:bCs/>
          <w:sz w:val="28"/>
          <w:szCs w:val="28"/>
        </w:rPr>
        <w:t>decretos legislativos por parte de la Corte Constitucional, competencia que no le ha sido atribuida por la Constitución</w:t>
      </w:r>
      <w:r w:rsidRPr="00345ECE">
        <w:rPr>
          <w:rFonts w:ascii="Times New Roman" w:hAnsi="Times New Roman"/>
          <w:sz w:val="28"/>
          <w:szCs w:val="28"/>
        </w:rPr>
        <w:t>.</w:t>
      </w:r>
    </w:p>
    <w:p w14:paraId="6C375987" w14:textId="77777777" w:rsidR="00B808B5" w:rsidRPr="00345ECE" w:rsidRDefault="00B808B5" w:rsidP="00B808B5">
      <w:pPr>
        <w:spacing w:after="0" w:line="240" w:lineRule="auto"/>
        <w:rPr>
          <w:rFonts w:ascii="Times New Roman" w:hAnsi="Times New Roman"/>
          <w:sz w:val="28"/>
          <w:szCs w:val="28"/>
        </w:rPr>
      </w:pPr>
    </w:p>
    <w:p w14:paraId="227281A3"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 xml:space="preserve">En el mismo sentido, </w:t>
      </w:r>
      <w:r w:rsidRPr="00526F2D">
        <w:rPr>
          <w:rFonts w:ascii="Times New Roman" w:hAnsi="Times New Roman"/>
          <w:sz w:val="28"/>
          <w:szCs w:val="28"/>
        </w:rPr>
        <w:t>la Sala Plena de la Corte Constitucional, dentro de la Sentencia C-179 de 1994,</w:t>
      </w:r>
      <w:r w:rsidRPr="00345ECE">
        <w:rPr>
          <w:rFonts w:ascii="Times New Roman" w:hAnsi="Times New Roman"/>
          <w:sz w:val="28"/>
          <w:szCs w:val="28"/>
        </w:rPr>
        <w:t xml:space="preserve"> al examinar el </w:t>
      </w:r>
      <w:r w:rsidRPr="008E1A38">
        <w:rPr>
          <w:rFonts w:ascii="Times New Roman" w:hAnsi="Times New Roman"/>
          <w:b/>
          <w:bCs/>
          <w:sz w:val="28"/>
          <w:szCs w:val="28"/>
        </w:rPr>
        <w:t>artículo 19</w:t>
      </w:r>
      <w:r w:rsidRPr="00345ECE">
        <w:rPr>
          <w:rFonts w:ascii="Times New Roman" w:hAnsi="Times New Roman"/>
          <w:sz w:val="28"/>
          <w:szCs w:val="28"/>
        </w:rPr>
        <w:t xml:space="preserve"> del proyecto de Ley Estatutaria, el cual prohibía la reproducción de decretos legislativos declarados “inconstitucional[es] o suspendido[s] en sus efectos”, salvo que “hayan desaparecido los fundamentos que la originaron”, </w:t>
      </w:r>
      <w:r w:rsidRPr="008E1A38">
        <w:rPr>
          <w:rFonts w:ascii="Times New Roman" w:hAnsi="Times New Roman"/>
          <w:b/>
          <w:bCs/>
          <w:sz w:val="28"/>
          <w:szCs w:val="28"/>
        </w:rPr>
        <w:t xml:space="preserve">consideró que esta disposición regulaba los decretos legislativos dictados al amparo de los </w:t>
      </w:r>
      <w:r w:rsidRPr="00BB3B8E">
        <w:rPr>
          <w:rFonts w:ascii="Times New Roman" w:hAnsi="Times New Roman"/>
          <w:b/>
          <w:bCs/>
          <w:sz w:val="28"/>
          <w:szCs w:val="28"/>
        </w:rPr>
        <w:t>artículos 212, 213 y 215 de</w:t>
      </w:r>
      <w:r w:rsidRPr="008E1A38">
        <w:rPr>
          <w:rFonts w:ascii="Times New Roman" w:hAnsi="Times New Roman"/>
          <w:b/>
          <w:bCs/>
          <w:sz w:val="28"/>
          <w:szCs w:val="28"/>
        </w:rPr>
        <w:t xml:space="preserve"> la Constitución</w:t>
      </w:r>
      <w:r w:rsidRPr="00345ECE">
        <w:rPr>
          <w:rFonts w:ascii="Times New Roman" w:hAnsi="Times New Roman"/>
          <w:sz w:val="28"/>
          <w:szCs w:val="28"/>
        </w:rPr>
        <w:t xml:space="preserve">, los cuales están sometidos al control automático y definitivo de constitucionalidad previsto en el artículo 241.7. En ese sentido, enfatizó que los fallos que emite sobre estos decretos </w:t>
      </w:r>
      <w:r w:rsidRPr="008E1A38">
        <w:rPr>
          <w:rFonts w:ascii="Times New Roman" w:hAnsi="Times New Roman"/>
          <w:b/>
          <w:bCs/>
          <w:sz w:val="28"/>
          <w:szCs w:val="28"/>
        </w:rPr>
        <w:t>“tienen el carácter de definitivos y sobre ellos no se puede volver, porque, según el artículo 243 de la Constitución, hacen tránsito a cosa juzgada constitucional”</w:t>
      </w:r>
      <w:r w:rsidRPr="00345ECE">
        <w:rPr>
          <w:rFonts w:ascii="Times New Roman" w:hAnsi="Times New Roman"/>
          <w:sz w:val="28"/>
          <w:szCs w:val="28"/>
        </w:rPr>
        <w:t xml:space="preserve"> (énfasis añadido). Así, declaró inexequibles tales disposiciones, por cuanto permitir una suspensión provisional de decretos legislativos contrariaba el mandato constitucional según el cual la Corte debe decidir “en los estrictos y precisos términos” establecidos por la Carta. </w:t>
      </w:r>
    </w:p>
    <w:p w14:paraId="1DE40BC8" w14:textId="77777777" w:rsidR="00B808B5" w:rsidRPr="00345ECE" w:rsidRDefault="00B808B5" w:rsidP="00B808B5">
      <w:pPr>
        <w:spacing w:after="0" w:line="240" w:lineRule="auto"/>
        <w:rPr>
          <w:rFonts w:ascii="Times New Roman" w:hAnsi="Times New Roman"/>
          <w:sz w:val="28"/>
          <w:szCs w:val="28"/>
        </w:rPr>
      </w:pPr>
    </w:p>
    <w:p w14:paraId="50A4A8A9"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No obstante, declaró exequible el inciso primero en lo restante, precisando que la cláusula de excepción allí contenida debía interpretarse conforme al artículo 243 inciso segundo de la Constitución: “Ninguna autoridad podrá reproducir el contenido material del acto jurídico declarado inexequible por razones de fondo, mientras subsistan en la Carta las disposiciones que sirvieron para hacer la confrontación entre la norma ordinaria y la Constitución”.</w:t>
      </w:r>
    </w:p>
    <w:p w14:paraId="57E72D4A" w14:textId="77777777" w:rsidR="00B808B5" w:rsidRPr="00345ECE" w:rsidRDefault="00B808B5" w:rsidP="00B808B5">
      <w:pPr>
        <w:spacing w:after="0" w:line="240" w:lineRule="auto"/>
        <w:rPr>
          <w:rFonts w:ascii="Times New Roman" w:hAnsi="Times New Roman"/>
          <w:sz w:val="28"/>
          <w:szCs w:val="28"/>
        </w:rPr>
      </w:pPr>
    </w:p>
    <w:p w14:paraId="5AC15E2D"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lastRenderedPageBreak/>
        <w:t xml:space="preserve">Asimismo, </w:t>
      </w:r>
      <w:r w:rsidRPr="00526F2D">
        <w:rPr>
          <w:rFonts w:ascii="Times New Roman" w:hAnsi="Times New Roman"/>
          <w:sz w:val="28"/>
          <w:szCs w:val="28"/>
        </w:rPr>
        <w:t>en dicha decisión</w:t>
      </w:r>
      <w:r w:rsidRPr="00345ECE">
        <w:rPr>
          <w:rFonts w:ascii="Times New Roman" w:hAnsi="Times New Roman"/>
          <w:sz w:val="28"/>
          <w:szCs w:val="28"/>
        </w:rPr>
        <w:t xml:space="preserve">, la Corte Constitucional analizó de manera conjunta </w:t>
      </w:r>
      <w:r w:rsidRPr="00A169BC">
        <w:rPr>
          <w:rFonts w:ascii="Times New Roman" w:hAnsi="Times New Roman"/>
          <w:b/>
          <w:bCs/>
          <w:sz w:val="28"/>
          <w:szCs w:val="28"/>
        </w:rPr>
        <w:t>el</w:t>
      </w:r>
      <w:r w:rsidRPr="00345ECE">
        <w:rPr>
          <w:rFonts w:ascii="Times New Roman" w:hAnsi="Times New Roman"/>
          <w:sz w:val="28"/>
          <w:szCs w:val="28"/>
        </w:rPr>
        <w:t xml:space="preserve"> </w:t>
      </w:r>
      <w:r w:rsidRPr="008E1A38">
        <w:rPr>
          <w:rFonts w:ascii="Times New Roman" w:hAnsi="Times New Roman"/>
          <w:b/>
          <w:bCs/>
          <w:sz w:val="28"/>
          <w:szCs w:val="28"/>
        </w:rPr>
        <w:t>artículo 27 y el literal c) del artículo 38</w:t>
      </w:r>
      <w:r w:rsidRPr="00345ECE">
        <w:rPr>
          <w:rFonts w:ascii="Times New Roman" w:hAnsi="Times New Roman"/>
          <w:sz w:val="28"/>
          <w:szCs w:val="28"/>
        </w:rPr>
        <w:t xml:space="preserve"> del proyecto de ley estatutaria, en lo relativo al control que esta Corporación ejerce sobre las medidas adoptadas por el Gobierno en el marco de los estados de excepción. Ambos artículos otorgaban expresamente a la Corte Constitucional la facultad de suspender provisionalmente decretos legislativos. </w:t>
      </w:r>
    </w:p>
    <w:p w14:paraId="4746CC93" w14:textId="77777777" w:rsidR="00B808B5" w:rsidRPr="00345ECE" w:rsidRDefault="00B808B5" w:rsidP="00B808B5">
      <w:pPr>
        <w:spacing w:after="0" w:line="240" w:lineRule="auto"/>
        <w:rPr>
          <w:rFonts w:ascii="Times New Roman" w:hAnsi="Times New Roman"/>
          <w:sz w:val="28"/>
          <w:szCs w:val="28"/>
        </w:rPr>
      </w:pPr>
    </w:p>
    <w:p w14:paraId="0222F048" w14:textId="77777777" w:rsidR="00B808B5" w:rsidRPr="00345ECE" w:rsidRDefault="00B808B5" w:rsidP="00B808B5">
      <w:pPr>
        <w:spacing w:after="0" w:line="240" w:lineRule="auto"/>
        <w:rPr>
          <w:rFonts w:ascii="Times New Roman" w:hAnsi="Times New Roman"/>
          <w:sz w:val="28"/>
          <w:szCs w:val="28"/>
        </w:rPr>
      </w:pPr>
      <w:r w:rsidRPr="00DA57B8">
        <w:rPr>
          <w:rFonts w:ascii="Times New Roman" w:hAnsi="Times New Roman"/>
          <w:b/>
          <w:bCs/>
          <w:sz w:val="28"/>
          <w:szCs w:val="28"/>
        </w:rPr>
        <w:t>La Corte</w:t>
      </w:r>
      <w:r w:rsidRPr="00345ECE">
        <w:rPr>
          <w:rFonts w:ascii="Times New Roman" w:hAnsi="Times New Roman"/>
          <w:sz w:val="28"/>
          <w:szCs w:val="28"/>
        </w:rPr>
        <w:t xml:space="preserve"> </w:t>
      </w:r>
      <w:r w:rsidRPr="008E1A38">
        <w:rPr>
          <w:rFonts w:ascii="Times New Roman" w:hAnsi="Times New Roman"/>
          <w:b/>
          <w:bCs/>
          <w:sz w:val="28"/>
          <w:szCs w:val="28"/>
        </w:rPr>
        <w:t>consideró que estos apartes eran inconstitucionales, por cuanto descon</w:t>
      </w:r>
      <w:r w:rsidRPr="00345ECE">
        <w:rPr>
          <w:rFonts w:ascii="Times New Roman" w:hAnsi="Times New Roman"/>
          <w:b/>
          <w:bCs/>
          <w:sz w:val="28"/>
          <w:szCs w:val="28"/>
        </w:rPr>
        <w:t>ocían</w:t>
      </w:r>
      <w:r w:rsidRPr="008E1A38">
        <w:rPr>
          <w:rFonts w:ascii="Times New Roman" w:hAnsi="Times New Roman"/>
          <w:b/>
          <w:bCs/>
          <w:sz w:val="28"/>
          <w:szCs w:val="28"/>
        </w:rPr>
        <w:t xml:space="preserve"> los límites que la propia Carta Política establece para el ejercicio de sus competencias</w:t>
      </w:r>
      <w:r w:rsidRPr="00345ECE">
        <w:rPr>
          <w:rFonts w:ascii="Times New Roman" w:hAnsi="Times New Roman"/>
          <w:sz w:val="28"/>
          <w:szCs w:val="28"/>
        </w:rPr>
        <w:t xml:space="preserve">. </w:t>
      </w:r>
      <w:r w:rsidRPr="00526F2D">
        <w:rPr>
          <w:rFonts w:ascii="Times New Roman" w:hAnsi="Times New Roman"/>
          <w:sz w:val="28"/>
          <w:szCs w:val="28"/>
        </w:rPr>
        <w:t>Reiteró, una vez más,</w:t>
      </w:r>
      <w:r w:rsidRPr="00345ECE">
        <w:rPr>
          <w:rFonts w:ascii="Times New Roman" w:hAnsi="Times New Roman"/>
          <w:sz w:val="28"/>
          <w:szCs w:val="28"/>
        </w:rPr>
        <w:t xml:space="preserve"> que el artículo 241 superior le confiere la función de “decidir definitivamente” sobre la constitucionalidad de los decretos legislativos dictados por el Gobierno con fundamento en los artículos 212, 213 y 215 de la Carta, lo cual excluye la posibilidad de adoptar decisiones de carácter provisional. En palabras de la Sala, “esta entidad no puede suspender provisionalmente dichos ordenamientos, pues sus decisiones deben ser definitivas, esto es, por una sola vez y para siempre”, y subrayó que “los fallos que la Corte dicta en ejercicio del control constitucional hacen tránsito a cosa juzgada de conformidad con lo previsto en el artículo 243 de la Carta, </w:t>
      </w:r>
      <w:proofErr w:type="gramStart"/>
      <w:r w:rsidRPr="00345ECE">
        <w:rPr>
          <w:rFonts w:ascii="Times New Roman" w:hAnsi="Times New Roman"/>
          <w:sz w:val="28"/>
          <w:szCs w:val="28"/>
        </w:rPr>
        <w:t>y</w:t>
      </w:r>
      <w:proofErr w:type="gramEnd"/>
      <w:r w:rsidRPr="00345ECE">
        <w:rPr>
          <w:rFonts w:ascii="Times New Roman" w:hAnsi="Times New Roman"/>
          <w:sz w:val="28"/>
          <w:szCs w:val="28"/>
        </w:rPr>
        <w:t xml:space="preserve"> en consecuencia, sobre ellos no se puede volver”. Por tanto, declaró inexequibles los apartes en mención, al considerar que implicaban atribuirle a la Corte Constitucional una facultad que no le ha sido conferida por la Constitución.</w:t>
      </w:r>
    </w:p>
    <w:p w14:paraId="1168BB92" w14:textId="77777777" w:rsidR="00B808B5" w:rsidRPr="00345ECE" w:rsidRDefault="00B808B5" w:rsidP="00B808B5">
      <w:pPr>
        <w:spacing w:after="0" w:line="240" w:lineRule="auto"/>
        <w:rPr>
          <w:rFonts w:ascii="Times New Roman" w:hAnsi="Times New Roman"/>
          <w:sz w:val="28"/>
          <w:szCs w:val="28"/>
        </w:rPr>
      </w:pPr>
    </w:p>
    <w:p w14:paraId="79F09978"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 xml:space="preserve">Finalmente, en la precitada providencia </w:t>
      </w:r>
      <w:r w:rsidRPr="00DA57B8">
        <w:rPr>
          <w:rFonts w:ascii="Times New Roman" w:hAnsi="Times New Roman"/>
          <w:b/>
          <w:bCs/>
          <w:sz w:val="28"/>
          <w:szCs w:val="28"/>
        </w:rPr>
        <w:t>la Corte</w:t>
      </w:r>
      <w:r w:rsidRPr="00345ECE">
        <w:rPr>
          <w:rFonts w:ascii="Times New Roman" w:hAnsi="Times New Roman"/>
          <w:sz w:val="28"/>
          <w:szCs w:val="28"/>
        </w:rPr>
        <w:t xml:space="preserve"> </w:t>
      </w:r>
      <w:r w:rsidRPr="008E1A38">
        <w:rPr>
          <w:rFonts w:ascii="Times New Roman" w:hAnsi="Times New Roman"/>
          <w:b/>
          <w:bCs/>
          <w:sz w:val="28"/>
          <w:szCs w:val="28"/>
        </w:rPr>
        <w:t>también declaró inexequibles el título y el inciso segundo del artículo 56 de la Ley Estatutaria 137 de 1994, “por vulnerar la Constitución” al consagrar igualmente la procedencia del instituto de la suspensión provisional</w:t>
      </w:r>
      <w:r w:rsidRPr="00345ECE">
        <w:rPr>
          <w:rFonts w:ascii="Times New Roman" w:hAnsi="Times New Roman"/>
          <w:sz w:val="28"/>
          <w:szCs w:val="28"/>
        </w:rPr>
        <w:t xml:space="preserve"> dentro del proceso de control constitucional de los decretos legislativos expedidos por el presidente de la República durante los periodos excepcionales.</w:t>
      </w:r>
    </w:p>
    <w:p w14:paraId="1E3C81BD" w14:textId="77777777" w:rsidR="00B808B5" w:rsidRPr="00345ECE" w:rsidRDefault="00B808B5" w:rsidP="00B808B5">
      <w:pPr>
        <w:spacing w:after="0" w:line="240" w:lineRule="auto"/>
        <w:rPr>
          <w:rFonts w:ascii="Times New Roman" w:hAnsi="Times New Roman"/>
          <w:sz w:val="28"/>
          <w:szCs w:val="28"/>
        </w:rPr>
      </w:pPr>
    </w:p>
    <w:p w14:paraId="1249EDEE"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En suma, la Corte Constitucional, en la Sentencia C-179 de 1994, determinó que carece de competencia para suspender provisionalmente los decretos dictado</w:t>
      </w:r>
      <w:r w:rsidRPr="008E1A38">
        <w:rPr>
          <w:rFonts w:ascii="Times New Roman" w:hAnsi="Times New Roman"/>
          <w:sz w:val="28"/>
          <w:szCs w:val="28"/>
        </w:rPr>
        <w:t>s  por el gobierno con fundamento en los artículos 212, 213 y 215 de la Constitución, dado que: (i) conforme a previsión expresa del artículo 241 de la Carta Política, el control que ejerce la Corte debe cumplirse en los “estrictos y precisos términos” establecidos en dicho artículo; (</w:t>
      </w:r>
      <w:proofErr w:type="spellStart"/>
      <w:r w:rsidRPr="008E1A38">
        <w:rPr>
          <w:rFonts w:ascii="Times New Roman" w:hAnsi="Times New Roman"/>
          <w:sz w:val="28"/>
          <w:szCs w:val="28"/>
        </w:rPr>
        <w:t>ii</w:t>
      </w:r>
      <w:proofErr w:type="spellEnd"/>
      <w:r w:rsidRPr="008E1A38">
        <w:rPr>
          <w:rFonts w:ascii="Times New Roman" w:hAnsi="Times New Roman"/>
          <w:sz w:val="28"/>
          <w:szCs w:val="28"/>
        </w:rPr>
        <w:t>)  el numeral 7 del artículo 241 de la Constitución le asigna la función de “decidir definitivamente”  lo que implica que sus decisiones deben ser únicas, definitivas y revestidas de cosa juzgada constitucional; y (</w:t>
      </w:r>
      <w:proofErr w:type="spellStart"/>
      <w:r w:rsidRPr="008E1A38">
        <w:rPr>
          <w:rFonts w:ascii="Times New Roman" w:hAnsi="Times New Roman"/>
          <w:sz w:val="28"/>
          <w:szCs w:val="28"/>
        </w:rPr>
        <w:t>iii</w:t>
      </w:r>
      <w:proofErr w:type="spellEnd"/>
      <w:r w:rsidRPr="008E1A38">
        <w:rPr>
          <w:rFonts w:ascii="Times New Roman" w:hAnsi="Times New Roman"/>
          <w:sz w:val="28"/>
          <w:szCs w:val="28"/>
        </w:rPr>
        <w:t>) admitir una suspensión prov</w:t>
      </w:r>
      <w:r w:rsidRPr="00345ECE">
        <w:rPr>
          <w:rFonts w:ascii="Times New Roman" w:hAnsi="Times New Roman"/>
          <w:sz w:val="28"/>
          <w:szCs w:val="28"/>
        </w:rPr>
        <w:t>isional permitiría decisiones interinas que relativizarían el carácter definitivo de sus providencias y abrirían la puerta a eventuales contradicciones frente al principio de cosa juzgada constitucional consagrado en el artículo 243 de la Carta Política.</w:t>
      </w:r>
    </w:p>
    <w:p w14:paraId="393974C4" w14:textId="77777777" w:rsidR="00B808B5" w:rsidRPr="00345ECE" w:rsidRDefault="00B808B5" w:rsidP="00B808B5">
      <w:pPr>
        <w:spacing w:after="0" w:line="240" w:lineRule="auto"/>
        <w:rPr>
          <w:rFonts w:ascii="Times New Roman" w:hAnsi="Times New Roman"/>
          <w:sz w:val="28"/>
          <w:szCs w:val="28"/>
        </w:rPr>
      </w:pPr>
    </w:p>
    <w:p w14:paraId="6C414A9B"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 xml:space="preserve">Con fundamento en tales premisas, la Corte declaró inexequibles las disposiciones contenidas en los artículos 19, 20, 27, 38 y 56 que preveían la facultad de suspender los decretos expedidos por el Gobierno en ejercicio de las atribuciones conferidas por los artículos 212, 213 y 215 de la Constitución Política, es decir, tanto los decretos de declaratoria de los estados de excepción como los adoptados en desarrollo de estos. </w:t>
      </w:r>
    </w:p>
    <w:p w14:paraId="1FD8207C" w14:textId="77777777" w:rsidR="00B808B5" w:rsidRPr="00345ECE" w:rsidRDefault="00B808B5" w:rsidP="00B808B5">
      <w:pPr>
        <w:spacing w:after="0" w:line="240" w:lineRule="auto"/>
        <w:rPr>
          <w:rFonts w:ascii="Times New Roman" w:hAnsi="Times New Roman"/>
          <w:sz w:val="28"/>
          <w:szCs w:val="28"/>
        </w:rPr>
      </w:pPr>
    </w:p>
    <w:p w14:paraId="4162F868"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 xml:space="preserve">La jurisprudencia constitucional que ha reiterado esta interpretación ha subrayado, además, que el artículo 238 de la Carta prevé expresamente la posibilidad de que el Consejo de Estado suspenda provisionalmente los efectos </w:t>
      </w:r>
      <w:r w:rsidRPr="00345ECE">
        <w:rPr>
          <w:rFonts w:ascii="Times New Roman" w:hAnsi="Times New Roman"/>
          <w:sz w:val="28"/>
          <w:szCs w:val="28"/>
        </w:rPr>
        <w:lastRenderedPageBreak/>
        <w:t>de los actos administrativos, lo cual evidencia la intención del constituyente de reservar dicha potestad al Alto Tribunal de lo Contencioso Administrativo “como competente para ‘[c]</w:t>
      </w:r>
      <w:proofErr w:type="spellStart"/>
      <w:r w:rsidRPr="00345ECE">
        <w:rPr>
          <w:rFonts w:ascii="Times New Roman" w:hAnsi="Times New Roman"/>
          <w:sz w:val="28"/>
          <w:szCs w:val="28"/>
        </w:rPr>
        <w:t>onocer</w:t>
      </w:r>
      <w:proofErr w:type="spellEnd"/>
      <w:r w:rsidRPr="00345ECE">
        <w:rPr>
          <w:rFonts w:ascii="Times New Roman" w:hAnsi="Times New Roman"/>
          <w:sz w:val="28"/>
          <w:szCs w:val="28"/>
        </w:rPr>
        <w:t xml:space="preserve"> de las acciones de nulidad por inconstitucionalidad de los decretos dictados por el Gobierno Nacional, cuya competencia no corresponda a la Corte Constitucional”</w:t>
      </w:r>
      <w:r w:rsidRPr="00345ECE">
        <w:rPr>
          <w:rFonts w:ascii="Times New Roman" w:hAnsi="Times New Roman"/>
          <w:sz w:val="28"/>
          <w:szCs w:val="28"/>
          <w:vertAlign w:val="superscript"/>
        </w:rPr>
        <w:footnoteReference w:id="124"/>
      </w:r>
      <w:r w:rsidRPr="00345ECE">
        <w:rPr>
          <w:rFonts w:ascii="Times New Roman" w:hAnsi="Times New Roman"/>
          <w:sz w:val="28"/>
          <w:szCs w:val="28"/>
        </w:rPr>
        <w:t>. Por el contrario, “su silencio en la norma que dispone las competencias de la Corte Constitucional es muestra inequívoca de que tal circunstancia no es admisible en el trámite de las acciones de inconstitucionalidad de su competencia”</w:t>
      </w:r>
      <w:r w:rsidRPr="00345ECE">
        <w:rPr>
          <w:rFonts w:ascii="Times New Roman" w:hAnsi="Times New Roman"/>
          <w:sz w:val="28"/>
          <w:szCs w:val="28"/>
          <w:vertAlign w:val="superscript"/>
        </w:rPr>
        <w:footnoteReference w:id="125"/>
      </w:r>
      <w:r w:rsidRPr="00345ECE">
        <w:rPr>
          <w:rFonts w:ascii="Times New Roman" w:hAnsi="Times New Roman"/>
          <w:sz w:val="28"/>
          <w:szCs w:val="28"/>
        </w:rPr>
        <w:t>.</w:t>
      </w:r>
    </w:p>
    <w:p w14:paraId="0CE092F0" w14:textId="77777777" w:rsidR="00B808B5" w:rsidRPr="00345ECE" w:rsidRDefault="00B808B5" w:rsidP="00B808B5">
      <w:pPr>
        <w:spacing w:after="0" w:line="240" w:lineRule="auto"/>
        <w:rPr>
          <w:rFonts w:ascii="Times New Roman" w:hAnsi="Times New Roman"/>
          <w:sz w:val="28"/>
          <w:szCs w:val="28"/>
        </w:rPr>
      </w:pPr>
    </w:p>
    <w:p w14:paraId="1E71BCE8" w14:textId="77777777" w:rsidR="00B808B5" w:rsidRPr="00345ECE" w:rsidRDefault="00B808B5" w:rsidP="00B808B5">
      <w:pPr>
        <w:pStyle w:val="Textonotapie"/>
        <w:rPr>
          <w:rFonts w:ascii="Times New Roman" w:hAnsi="Times New Roman"/>
          <w:sz w:val="28"/>
          <w:szCs w:val="28"/>
        </w:rPr>
      </w:pPr>
      <w:r w:rsidRPr="00345ECE">
        <w:rPr>
          <w:rFonts w:ascii="Times New Roman" w:hAnsi="Times New Roman"/>
          <w:sz w:val="28"/>
          <w:szCs w:val="28"/>
        </w:rPr>
        <w:t>En la Sentencia C-193 de 2020, al estudiar la constitucionalidad del Decreto 567 del 15 de abril de 2020</w:t>
      </w:r>
      <w:r w:rsidRPr="00345ECE">
        <w:rPr>
          <w:rFonts w:ascii="Times New Roman" w:hAnsi="Times New Roman"/>
          <w:sz w:val="28"/>
          <w:szCs w:val="28"/>
          <w:vertAlign w:val="superscript"/>
        </w:rPr>
        <w:footnoteReference w:id="126"/>
      </w:r>
      <w:r w:rsidRPr="00345ECE">
        <w:rPr>
          <w:rFonts w:ascii="Times New Roman" w:hAnsi="Times New Roman"/>
          <w:sz w:val="28"/>
          <w:szCs w:val="28"/>
        </w:rPr>
        <w:t xml:space="preserve">, la Corte </w:t>
      </w:r>
      <w:r w:rsidRPr="302B9A25">
        <w:rPr>
          <w:rFonts w:ascii="Times New Roman" w:hAnsi="Times New Roman"/>
          <w:sz w:val="28"/>
          <w:szCs w:val="28"/>
        </w:rPr>
        <w:t>también señaló</w:t>
      </w:r>
      <w:r w:rsidRPr="00345ECE">
        <w:rPr>
          <w:rFonts w:ascii="Times New Roman" w:hAnsi="Times New Roman"/>
          <w:sz w:val="28"/>
          <w:szCs w:val="28"/>
        </w:rPr>
        <w:t xml:space="preserve"> que </w:t>
      </w:r>
      <w:r w:rsidRPr="302B9A25">
        <w:rPr>
          <w:rFonts w:ascii="Times New Roman" w:hAnsi="Times New Roman"/>
          <w:sz w:val="28"/>
          <w:szCs w:val="28"/>
        </w:rPr>
        <w:t xml:space="preserve">la solicitud referente a que se declarará </w:t>
      </w:r>
      <w:r w:rsidRPr="00345ECE">
        <w:rPr>
          <w:rFonts w:ascii="Times New Roman" w:hAnsi="Times New Roman"/>
          <w:sz w:val="28"/>
          <w:szCs w:val="28"/>
        </w:rPr>
        <w:t>la “suspensión provisional”</w:t>
      </w:r>
      <w:r w:rsidRPr="302B9A25">
        <w:rPr>
          <w:rFonts w:ascii="Times New Roman" w:hAnsi="Times New Roman"/>
          <w:sz w:val="28"/>
          <w:szCs w:val="28"/>
        </w:rPr>
        <w:t xml:space="preserve"> de dicha norma, no era procedente</w:t>
      </w:r>
      <w:r w:rsidRPr="00345ECE">
        <w:rPr>
          <w:rFonts w:ascii="Times New Roman" w:hAnsi="Times New Roman"/>
          <w:sz w:val="28"/>
          <w:szCs w:val="28"/>
        </w:rPr>
        <w:t xml:space="preserve"> dado que en la Sentencia C-179 de 1994 se dejó “en claro que la competencia constitucional de la Corte es ‘decidir definitivamente’ sobre los decretos expedidos por el Presidente al amparo de un estado de excepción (artículos 241-7 y 214-6 de la Constitución)”. Por tanto, señaló que se imponía el rechazo de las solicitudes de esa índole, dado que las “condiciones normativas allí señaladas continúan sin modificación alguna, de la misma manera que permanecen las circunstancias contextuales en las que se impide que la Corte Constitucional adopte medidas cautelares o transitorias para suspender efectos de leyes”. </w:t>
      </w:r>
    </w:p>
    <w:p w14:paraId="0C68E135" w14:textId="77777777" w:rsidR="00B808B5" w:rsidRPr="00345ECE" w:rsidRDefault="00B808B5" w:rsidP="00B808B5">
      <w:pPr>
        <w:pStyle w:val="Textonotapie"/>
        <w:rPr>
          <w:rFonts w:ascii="Times New Roman" w:hAnsi="Times New Roman"/>
          <w:sz w:val="28"/>
          <w:szCs w:val="28"/>
        </w:rPr>
      </w:pPr>
    </w:p>
    <w:p w14:paraId="2E946853" w14:textId="77777777" w:rsidR="00B808B5" w:rsidRPr="00345ECE" w:rsidRDefault="00B808B5" w:rsidP="00B808B5">
      <w:pPr>
        <w:pStyle w:val="Textonotapie"/>
        <w:rPr>
          <w:rFonts w:ascii="Times New Roman" w:hAnsi="Times New Roman"/>
          <w:sz w:val="28"/>
          <w:szCs w:val="28"/>
        </w:rPr>
      </w:pPr>
      <w:r w:rsidRPr="00345ECE">
        <w:rPr>
          <w:rFonts w:ascii="Times New Roman" w:hAnsi="Times New Roman"/>
          <w:sz w:val="28"/>
          <w:szCs w:val="28"/>
        </w:rPr>
        <w:t>Frente a este precedente, en el Auto 272 de 2023</w:t>
      </w:r>
      <w:r w:rsidRPr="00345ECE">
        <w:rPr>
          <w:rFonts w:ascii="Times New Roman" w:hAnsi="Times New Roman"/>
          <w:sz w:val="28"/>
          <w:szCs w:val="28"/>
          <w:vertAlign w:val="superscript"/>
        </w:rPr>
        <w:footnoteReference w:id="127"/>
      </w:r>
      <w:r w:rsidRPr="00345ECE">
        <w:rPr>
          <w:rFonts w:ascii="Times New Roman" w:hAnsi="Times New Roman"/>
          <w:sz w:val="28"/>
          <w:szCs w:val="28"/>
        </w:rPr>
        <w:t xml:space="preserve"> la Corte subrayó que: “la Sala no estudió la procedencia de la suspensión provisional de leyes, sino respecto de decretos legislativos, frente a los cuales ejerce un </w:t>
      </w:r>
      <w:r w:rsidRPr="008E1A38">
        <w:rPr>
          <w:rFonts w:ascii="Times New Roman" w:hAnsi="Times New Roman"/>
          <w:i/>
          <w:iCs/>
          <w:sz w:val="28"/>
          <w:szCs w:val="28"/>
        </w:rPr>
        <w:t>control diferente</w:t>
      </w:r>
      <w:r w:rsidRPr="00345ECE">
        <w:rPr>
          <w:rFonts w:ascii="Times New Roman" w:hAnsi="Times New Roman"/>
          <w:sz w:val="28"/>
          <w:szCs w:val="28"/>
        </w:rPr>
        <w:t xml:space="preserve">, pues éste es oficioso, integral y tiene unos términos significativamente más cortos”. Sobre el alcance del ajuste o modificación parcial del precedente constitucional efectuado en dicho auto se ahondará en </w:t>
      </w:r>
      <w:r>
        <w:rPr>
          <w:rFonts w:ascii="Times New Roman" w:hAnsi="Times New Roman"/>
          <w:sz w:val="28"/>
          <w:szCs w:val="28"/>
        </w:rPr>
        <w:t>el acápite final</w:t>
      </w:r>
      <w:r w:rsidRPr="00345ECE">
        <w:rPr>
          <w:rFonts w:ascii="Times New Roman" w:hAnsi="Times New Roman"/>
          <w:sz w:val="28"/>
          <w:szCs w:val="28"/>
        </w:rPr>
        <w:t>, luego de examinar las implicaciones que comporta la cosa juzgada constitucional absoluta derivada de la Sentencia C-179 de 1994.</w:t>
      </w:r>
    </w:p>
    <w:p w14:paraId="0E73093A" w14:textId="77777777" w:rsidR="00B808B5" w:rsidRPr="00345ECE" w:rsidRDefault="00B808B5" w:rsidP="00B808B5">
      <w:pPr>
        <w:pStyle w:val="Textonotapie"/>
        <w:rPr>
          <w:rFonts w:ascii="Times New Roman" w:hAnsi="Times New Roman"/>
          <w:sz w:val="28"/>
          <w:szCs w:val="28"/>
        </w:rPr>
      </w:pPr>
    </w:p>
    <w:p w14:paraId="6E35BE13" w14:textId="77777777" w:rsidR="00B808B5" w:rsidRPr="00345ECE" w:rsidRDefault="00B808B5" w:rsidP="00B808B5">
      <w:pPr>
        <w:pStyle w:val="Textonotapie"/>
        <w:rPr>
          <w:rFonts w:ascii="Times New Roman" w:hAnsi="Times New Roman"/>
          <w:sz w:val="28"/>
          <w:szCs w:val="28"/>
        </w:rPr>
      </w:pPr>
      <w:r w:rsidRPr="00345ECE">
        <w:rPr>
          <w:rFonts w:ascii="Times New Roman" w:hAnsi="Times New Roman"/>
          <w:sz w:val="28"/>
          <w:szCs w:val="28"/>
        </w:rPr>
        <w:t xml:space="preserve">Sin embargo, frente a esta disimilitud en la que enfatizó el Auto 272 de 2023, debe considerarse que la Constitución solo emplea expresamente la fórmula “decidir definitivamente” en tres de las competencias asignadas a la Corte Constitucional, los numerales 7, 8 y 10 del artículo 241 de la Constitución Política, relativos al control de constitucionalidad de decretos legislativos en estados de excepción, de leyes estatutarias y de tratados internacionales. Este carácter definitivo del control constitucional sobre los decretos dictados al amparo de los artículos 212, 213 y 215 de la Carta se contempla de manera expresa en el numeral 6 del artículo 214 constitucional. En contraste, dicha expresión no se emplea en otras funciones asignadas a la Corte Constitucional ni en las atribuciones del Consejo de Estado, al cual, por el contrario, el artículo 238 le reconoce expresamente la facultad de suspensión provisional, como lo ha subrayado ya la jurisprudencia constitucional. </w:t>
      </w:r>
    </w:p>
    <w:p w14:paraId="1EC9CE19" w14:textId="77777777" w:rsidR="00B808B5" w:rsidRPr="00345ECE" w:rsidRDefault="00B808B5" w:rsidP="00B808B5">
      <w:pPr>
        <w:pStyle w:val="Textonotapie"/>
        <w:rPr>
          <w:rFonts w:ascii="Times New Roman" w:hAnsi="Times New Roman"/>
          <w:sz w:val="28"/>
          <w:szCs w:val="28"/>
        </w:rPr>
      </w:pPr>
    </w:p>
    <w:p w14:paraId="3EF45DD6" w14:textId="77777777" w:rsidR="00B808B5" w:rsidRPr="00345ECE" w:rsidRDefault="00B808B5" w:rsidP="00B808B5">
      <w:pPr>
        <w:pStyle w:val="NormalWeb"/>
        <w:spacing w:before="0" w:beforeAutospacing="0" w:after="0" w:afterAutospacing="0"/>
        <w:rPr>
          <w:sz w:val="28"/>
          <w:szCs w:val="28"/>
        </w:rPr>
      </w:pPr>
      <w:r w:rsidRPr="00345ECE">
        <w:rPr>
          <w:sz w:val="28"/>
          <w:szCs w:val="28"/>
        </w:rPr>
        <w:t xml:space="preserve">El desarrollo jurisprudencial sobre medidas cautelares que se cita en el Auto 082 de 2026 para justificar la procedencia de la medida en el caso de decretos </w:t>
      </w:r>
      <w:r w:rsidRPr="00345ECE">
        <w:rPr>
          <w:sz w:val="28"/>
          <w:szCs w:val="28"/>
        </w:rPr>
        <w:lastRenderedPageBreak/>
        <w:t xml:space="preserve">dictados con fundamento en los artículos 212, 213 y 215 superiores, consta de consideraciones atenientes al control sobre las leyes ordinarias. Esta línea, sin embargo, ha sido cuidadosamente diferenciada por la propia Corte respecto del control automático y definitivo de este tipo de decretos. </w:t>
      </w:r>
    </w:p>
    <w:p w14:paraId="3FC0C2E5" w14:textId="77777777" w:rsidR="00B808B5" w:rsidRPr="00345ECE" w:rsidRDefault="00B808B5" w:rsidP="00B808B5">
      <w:pPr>
        <w:pStyle w:val="NormalWeb"/>
        <w:spacing w:before="0" w:beforeAutospacing="0" w:after="0" w:afterAutospacing="0"/>
        <w:rPr>
          <w:sz w:val="28"/>
          <w:szCs w:val="28"/>
        </w:rPr>
      </w:pPr>
    </w:p>
    <w:p w14:paraId="61019119" w14:textId="77777777" w:rsidR="00B808B5" w:rsidRPr="00345ECE" w:rsidRDefault="00B808B5" w:rsidP="00B808B5">
      <w:pPr>
        <w:pStyle w:val="NormalWeb"/>
        <w:spacing w:before="0" w:beforeAutospacing="0" w:after="0" w:afterAutospacing="0"/>
        <w:rPr>
          <w:sz w:val="28"/>
          <w:szCs w:val="28"/>
        </w:rPr>
      </w:pPr>
      <w:r w:rsidRPr="00345ECE">
        <w:rPr>
          <w:sz w:val="28"/>
          <w:szCs w:val="28"/>
        </w:rPr>
        <w:t xml:space="preserve">A pesar de esas distinciones claras, reiteradas y suficientemente consolidadas, el Auto no reconoce la cosa juzgada constitucional absoluta de la Sentencia C-179 de 1994, sino que busca desviarla mediante un artificio argumentativo. En efecto, para enfrentar dicha </w:t>
      </w:r>
      <w:proofErr w:type="gramStart"/>
      <w:r w:rsidRPr="00345ECE">
        <w:rPr>
          <w:sz w:val="28"/>
          <w:szCs w:val="28"/>
        </w:rPr>
        <w:t>decisión,  el</w:t>
      </w:r>
      <w:proofErr w:type="gramEnd"/>
      <w:r w:rsidRPr="00345ECE">
        <w:rPr>
          <w:sz w:val="28"/>
          <w:szCs w:val="28"/>
        </w:rPr>
        <w:t xml:space="preserve"> Auto recurre a la aplicación extensiva e inadecuada de un precedente (Auto 272 de 2023) expresamente excluido para esta hipótesis. </w:t>
      </w:r>
    </w:p>
    <w:p w14:paraId="142857FB" w14:textId="77777777" w:rsidR="00B808B5" w:rsidRPr="00345ECE" w:rsidRDefault="00B808B5" w:rsidP="00B808B5">
      <w:pPr>
        <w:pStyle w:val="NormalWeb"/>
        <w:spacing w:before="0" w:beforeAutospacing="0" w:after="0" w:afterAutospacing="0"/>
        <w:rPr>
          <w:sz w:val="28"/>
          <w:szCs w:val="28"/>
        </w:rPr>
      </w:pPr>
    </w:p>
    <w:p w14:paraId="6AC4013D" w14:textId="77777777" w:rsidR="00B808B5" w:rsidRPr="00345ECE" w:rsidRDefault="00B808B5" w:rsidP="00B808B5">
      <w:pPr>
        <w:pStyle w:val="NormalWeb"/>
        <w:spacing w:before="0" w:beforeAutospacing="0" w:after="0" w:afterAutospacing="0"/>
        <w:rPr>
          <w:sz w:val="28"/>
          <w:szCs w:val="28"/>
        </w:rPr>
      </w:pPr>
      <w:r w:rsidRPr="00345ECE">
        <w:rPr>
          <w:sz w:val="28"/>
          <w:szCs w:val="28"/>
        </w:rPr>
        <w:t xml:space="preserve">Sin embargo, este razonamiento omite considerar que la Corte excluyó expresamente esa posibilidad. En 1994 lo hizo con base en el artículo 241 de la Constitución, que sí establece un mandato textual específico: la Corte debe “decidir definitivamente” sobre los decretos legislativos dictados con fundamento en los artículos 212, 213 y 215 de la Constitución, en esos precisos términos. Esta disposición no deja margen para decisiones interinas, ni permite una modulación temporal, discusión que se ubica en un escenario distinto respecto al control de leyes ordinarias, en el que el carácter del control no es descrito como definitivo. Postura que además fue expresamente reiterada por el mismo Auto 272 de 2023, que realizó el énfasis referido en la diferenciación que se presenta ante estos distintos escenarios. </w:t>
      </w:r>
    </w:p>
    <w:p w14:paraId="7C705ED1" w14:textId="77777777" w:rsidR="00B808B5" w:rsidRPr="00345ECE" w:rsidRDefault="00B808B5" w:rsidP="00B808B5">
      <w:pPr>
        <w:pStyle w:val="NormalWeb"/>
        <w:spacing w:before="0" w:beforeAutospacing="0" w:after="0" w:afterAutospacing="0"/>
        <w:rPr>
          <w:sz w:val="28"/>
          <w:szCs w:val="28"/>
        </w:rPr>
      </w:pPr>
    </w:p>
    <w:p w14:paraId="7DF27A13" w14:textId="77777777" w:rsidR="00B808B5" w:rsidRPr="00345ECE" w:rsidRDefault="00B808B5" w:rsidP="00B808B5">
      <w:pPr>
        <w:pStyle w:val="NormalWeb"/>
        <w:spacing w:before="0" w:beforeAutospacing="0" w:after="0" w:afterAutospacing="0"/>
        <w:rPr>
          <w:sz w:val="28"/>
          <w:szCs w:val="28"/>
        </w:rPr>
      </w:pPr>
      <w:r w:rsidRPr="00345ECE">
        <w:rPr>
          <w:sz w:val="28"/>
          <w:szCs w:val="28"/>
        </w:rPr>
        <w:t xml:space="preserve">Por tanto, a diferencia del caso del control sobre leyes ordinarias –donde podría debatirse si la Corte cuenta con competencias implícitas para adoptar medidas cautelares por silencio constitucional– en el régimen excepcional el Constituyente no guardó silencio, sino que fue categórico: el control debe ser </w:t>
      </w:r>
      <w:r w:rsidRPr="008E1A38">
        <w:rPr>
          <w:i/>
          <w:sz w:val="28"/>
          <w:szCs w:val="28"/>
        </w:rPr>
        <w:t>definitivo</w:t>
      </w:r>
      <w:r w:rsidRPr="00345ECE">
        <w:rPr>
          <w:sz w:val="28"/>
          <w:szCs w:val="28"/>
        </w:rPr>
        <w:t xml:space="preserve">. No estamos ante una omisión normativa, sino ante un límite constitucional deliberado, interpretado y definido en sede de control de una ley estatutaria. El intento de reintroducir esta facultad bajo el ropaje de autocontención o necesidad procesal desconoce el principio de legalidad y la cosa juzgada constitucional. </w:t>
      </w:r>
    </w:p>
    <w:p w14:paraId="5A42185F" w14:textId="77777777" w:rsidR="00B808B5" w:rsidRPr="00345ECE" w:rsidRDefault="00B808B5" w:rsidP="00B808B5">
      <w:pPr>
        <w:pStyle w:val="NormalWeb"/>
        <w:spacing w:before="0" w:beforeAutospacing="0" w:after="0" w:afterAutospacing="0"/>
        <w:rPr>
          <w:sz w:val="28"/>
          <w:szCs w:val="28"/>
        </w:rPr>
      </w:pPr>
    </w:p>
    <w:p w14:paraId="34ADDCE3" w14:textId="77777777" w:rsidR="00B808B5" w:rsidRPr="00345ECE" w:rsidRDefault="00B808B5" w:rsidP="00B808B5">
      <w:pPr>
        <w:pStyle w:val="NormalWeb"/>
        <w:spacing w:before="0" w:beforeAutospacing="0" w:after="0" w:afterAutospacing="0"/>
        <w:rPr>
          <w:sz w:val="28"/>
          <w:szCs w:val="28"/>
        </w:rPr>
      </w:pPr>
      <w:r w:rsidRPr="00345ECE">
        <w:rPr>
          <w:sz w:val="28"/>
          <w:szCs w:val="28"/>
        </w:rPr>
        <w:t xml:space="preserve">Como ya lo había indicado este Tribunal en 1994, aceptar una decisión interina en este marco equivale, en la práctica, a anticipar el juicio de constitucionalidad, pues supone evaluar y limitar preventivamente los efectos del decreto legislativo antes de que la Corte profiera su decisión definitiva. Se trata de un verdadero prejuzgamiento que rompe con el diseño estructural del control en estados de excepción. Esa función no fue asignada a la Corte y fue expresamente descartada, como lo demuestran los múltiples apartes declarados inexequibles en la C-179 de 1994. </w:t>
      </w:r>
    </w:p>
    <w:p w14:paraId="0CFFCB48" w14:textId="77777777" w:rsidR="00B808B5" w:rsidRPr="00345ECE" w:rsidRDefault="00B808B5" w:rsidP="00B808B5">
      <w:pPr>
        <w:pStyle w:val="NormalWeb"/>
        <w:spacing w:before="0" w:beforeAutospacing="0" w:after="0" w:afterAutospacing="0"/>
        <w:rPr>
          <w:sz w:val="28"/>
          <w:szCs w:val="28"/>
        </w:rPr>
      </w:pPr>
    </w:p>
    <w:p w14:paraId="4C264253" w14:textId="77777777" w:rsidR="00B808B5" w:rsidRPr="00345ECE" w:rsidRDefault="00B808B5" w:rsidP="00B808B5">
      <w:pPr>
        <w:pStyle w:val="NormalWeb"/>
        <w:spacing w:before="0" w:beforeAutospacing="0" w:after="0" w:afterAutospacing="0"/>
        <w:rPr>
          <w:sz w:val="28"/>
          <w:szCs w:val="28"/>
        </w:rPr>
      </w:pPr>
      <w:r w:rsidRPr="00345ECE">
        <w:rPr>
          <w:sz w:val="28"/>
          <w:szCs w:val="28"/>
        </w:rPr>
        <w:t>No estamos, en este caso, ante una competencia implícita susceptible de ser deducida por vía interpretativa, como</w:t>
      </w:r>
      <w:r>
        <w:rPr>
          <w:sz w:val="28"/>
          <w:szCs w:val="28"/>
        </w:rPr>
        <w:t xml:space="preserve"> bien</w:t>
      </w:r>
      <w:r w:rsidRPr="00345ECE">
        <w:rPr>
          <w:sz w:val="28"/>
          <w:szCs w:val="28"/>
        </w:rPr>
        <w:t xml:space="preserve"> podría argumentarse en relación con las leyes ordinarias, mediante una interpretación sistemática de la Constitución. Estamos, por el contrario, ante una función que el propio Constituyente excluyó expresamente. La Constitución, en su artículo 241.7, no guarda silencio: ordena que el control que ejerce la Corte sobre los decretos legislativos dictados con fundamento en los artículos 212, 213 y 215 de la Constitución sea “definitivo”. </w:t>
      </w:r>
    </w:p>
    <w:p w14:paraId="72CB5AB1" w14:textId="77777777" w:rsidR="00B808B5" w:rsidRPr="00345ECE" w:rsidRDefault="00B808B5" w:rsidP="00B808B5">
      <w:pPr>
        <w:pStyle w:val="NormalWeb"/>
        <w:spacing w:before="0" w:beforeAutospacing="0" w:after="0" w:afterAutospacing="0"/>
        <w:rPr>
          <w:sz w:val="28"/>
          <w:szCs w:val="28"/>
        </w:rPr>
      </w:pPr>
    </w:p>
    <w:p w14:paraId="7E6331C2" w14:textId="77777777" w:rsidR="00B808B5" w:rsidRPr="00345ECE" w:rsidRDefault="00B808B5" w:rsidP="00B808B5">
      <w:pPr>
        <w:pStyle w:val="NormalWeb"/>
        <w:spacing w:before="0" w:beforeAutospacing="0" w:after="0" w:afterAutospacing="0"/>
        <w:rPr>
          <w:sz w:val="28"/>
          <w:szCs w:val="28"/>
        </w:rPr>
      </w:pPr>
      <w:r w:rsidRPr="00345ECE">
        <w:rPr>
          <w:sz w:val="28"/>
          <w:szCs w:val="28"/>
        </w:rPr>
        <w:t xml:space="preserve">Aceptar la suspensión provisional en el marco del artículo 241.7 implica desconocer el carácter definitivo del control, anticipar el juicio de </w:t>
      </w:r>
      <w:r w:rsidRPr="00345ECE">
        <w:rPr>
          <w:sz w:val="28"/>
          <w:szCs w:val="28"/>
        </w:rPr>
        <w:lastRenderedPageBreak/>
        <w:t xml:space="preserve">constitucionalidad, asumir competencias expresamente descartadas y romper el diseño estructural del régimen de excepción. No es una mera omisión que pueda suplirse; es una exclusión categórica que no admite reinterpretación sin vulnerar los principios de legalidad y cosa juzgada constitucional. </w:t>
      </w:r>
    </w:p>
    <w:p w14:paraId="3E78CA40" w14:textId="77777777" w:rsidR="00B808B5" w:rsidRPr="00345ECE" w:rsidRDefault="00B808B5" w:rsidP="00B808B5">
      <w:pPr>
        <w:pStyle w:val="NormalWeb"/>
        <w:spacing w:before="0" w:beforeAutospacing="0" w:after="0" w:afterAutospacing="0"/>
        <w:rPr>
          <w:sz w:val="28"/>
          <w:szCs w:val="28"/>
        </w:rPr>
      </w:pPr>
    </w:p>
    <w:p w14:paraId="3AF3CCF2" w14:textId="77777777" w:rsidR="00B808B5" w:rsidRPr="00345ECE" w:rsidRDefault="00B808B5" w:rsidP="00B808B5">
      <w:pPr>
        <w:pStyle w:val="NormalWeb"/>
        <w:spacing w:before="0" w:beforeAutospacing="0" w:after="0" w:afterAutospacing="0"/>
        <w:rPr>
          <w:sz w:val="28"/>
          <w:szCs w:val="28"/>
        </w:rPr>
      </w:pPr>
      <w:r w:rsidRPr="00345ECE">
        <w:rPr>
          <w:sz w:val="28"/>
          <w:szCs w:val="28"/>
        </w:rPr>
        <w:t xml:space="preserve">En conclusión, el rediseño del régimen de los estados de excepción en la Constitución de 1991 respondió a la necesidad de superar los abusos derivados del uso prolongado del estado de sitio y restaurar la primacía del Estado de Derecho. Para ello, se estructuró un modelo basado en el principio de juridicidad, con una marcada preferencia por el control político del Congreso y un control constitucional concentrado, automático y definitivo por parte de la Corte Constitucional. Aunque en los debates constituyentes se barajaron fórmulas de control previo o de suspensión provisional por parte de la Corte, finalmente se optó por un modelo que refuerza la responsabilidad del Ejecutivo frente al Congreso y que confía a la Corte un control </w:t>
      </w:r>
      <w:r w:rsidRPr="008E1A38">
        <w:rPr>
          <w:i/>
          <w:sz w:val="28"/>
          <w:szCs w:val="28"/>
        </w:rPr>
        <w:t>ex post</w:t>
      </w:r>
      <w:r w:rsidRPr="00345ECE">
        <w:rPr>
          <w:sz w:val="28"/>
          <w:szCs w:val="28"/>
        </w:rPr>
        <w:t>, integral y definitivo, como garantía de cierre jurídico. Así, se delimitó con precisión el alcance del poder excepcional y los controles institucionales que lo rodean, sin vaciar al Ejecutivo de su capacidad de respuesta ante situaciones de crisis ni invadir la órbita de sus competencias propias. La Sentencia C-179 de 1994, al ejercer el control previo de la Ley Estatutaria que desarrolla dicho diseño constitucional, reafirmó que la Corte debe cumplir su función en los estrictos términos previstos por la Constitución: mediante decisiones definitivas revestidas de cosa juzgada constitucional, sin que le sea atribuible la competencia para suspender provisionalmente los decretos dictados con fundamento en los artículos 212, 213 y 215.</w:t>
      </w:r>
    </w:p>
    <w:p w14:paraId="360A35A2" w14:textId="77777777" w:rsidR="00B808B5" w:rsidRPr="008E1A38" w:rsidRDefault="00B808B5" w:rsidP="00B808B5">
      <w:pPr>
        <w:spacing w:after="0" w:line="240" w:lineRule="auto"/>
        <w:rPr>
          <w:rFonts w:ascii="Times New Roman" w:hAnsi="Times New Roman"/>
          <w:sz w:val="28"/>
          <w:szCs w:val="28"/>
        </w:rPr>
      </w:pPr>
    </w:p>
    <w:p w14:paraId="40B859E6" w14:textId="77777777" w:rsidR="00B808B5" w:rsidRPr="00345ECE" w:rsidRDefault="00B808B5" w:rsidP="00B808B5">
      <w:pPr>
        <w:pStyle w:val="Prrafodelista"/>
        <w:numPr>
          <w:ilvl w:val="0"/>
          <w:numId w:val="91"/>
        </w:numPr>
        <w:spacing w:after="0" w:line="240" w:lineRule="auto"/>
        <w:ind w:left="567" w:hanging="567"/>
        <w:rPr>
          <w:rFonts w:ascii="Times New Roman" w:hAnsi="Times New Roman"/>
          <w:b/>
          <w:bCs/>
          <w:sz w:val="28"/>
          <w:szCs w:val="28"/>
        </w:rPr>
      </w:pPr>
      <w:r w:rsidRPr="00345ECE">
        <w:rPr>
          <w:rFonts w:ascii="Times New Roman" w:hAnsi="Times New Roman"/>
          <w:b/>
          <w:bCs/>
          <w:sz w:val="28"/>
          <w:szCs w:val="28"/>
        </w:rPr>
        <w:t>Sobre la cosa juzgada constitucional y los límites competenciales de la Corte en estados de excepción: el artículo 243 de la Constitución y los efectos de la Sentencia C-179 de 1994</w:t>
      </w:r>
    </w:p>
    <w:p w14:paraId="7B5DA26B" w14:textId="77777777" w:rsidR="00B808B5" w:rsidRPr="00345ECE" w:rsidRDefault="00B808B5" w:rsidP="00B808B5">
      <w:pPr>
        <w:spacing w:after="0" w:line="240" w:lineRule="auto"/>
        <w:rPr>
          <w:rFonts w:ascii="Times New Roman" w:hAnsi="Times New Roman"/>
          <w:sz w:val="28"/>
          <w:szCs w:val="28"/>
        </w:rPr>
      </w:pPr>
    </w:p>
    <w:p w14:paraId="522CE937" w14:textId="77777777" w:rsidR="00B808B5" w:rsidRPr="00345ECE" w:rsidRDefault="00B808B5" w:rsidP="00B808B5">
      <w:pPr>
        <w:spacing w:after="0" w:line="240" w:lineRule="auto"/>
        <w:rPr>
          <w:rFonts w:ascii="Times New Roman" w:hAnsi="Times New Roman"/>
          <w:i/>
          <w:iCs/>
          <w:sz w:val="28"/>
          <w:szCs w:val="28"/>
        </w:rPr>
      </w:pPr>
      <w:r w:rsidRPr="00345ECE">
        <w:rPr>
          <w:rFonts w:ascii="Times New Roman" w:hAnsi="Times New Roman"/>
          <w:i/>
          <w:iCs/>
          <w:sz w:val="28"/>
          <w:szCs w:val="28"/>
        </w:rPr>
        <w:t>2.1 Alcance de la cosa juzgada constitucional y la prohibición de reabrir el debate constitucional</w:t>
      </w:r>
    </w:p>
    <w:p w14:paraId="1FFBD70C" w14:textId="77777777" w:rsidR="00B808B5" w:rsidRPr="00345ECE" w:rsidRDefault="00B808B5" w:rsidP="00B808B5">
      <w:pPr>
        <w:spacing w:after="0" w:line="240" w:lineRule="auto"/>
        <w:rPr>
          <w:rFonts w:ascii="Times New Roman" w:hAnsi="Times New Roman"/>
          <w:sz w:val="28"/>
          <w:szCs w:val="28"/>
        </w:rPr>
      </w:pPr>
    </w:p>
    <w:p w14:paraId="1B75A8B3"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 xml:space="preserve">En este orden de ideas, la decisión de la Corte Constitucional, en particular, la adoptada en el resolutivo </w:t>
      </w:r>
      <w:r w:rsidRPr="302B9A25">
        <w:rPr>
          <w:rFonts w:ascii="Times New Roman" w:hAnsi="Times New Roman"/>
          <w:i/>
          <w:iCs/>
          <w:sz w:val="28"/>
          <w:szCs w:val="28"/>
        </w:rPr>
        <w:t>décimo tercero</w:t>
      </w:r>
      <w:r w:rsidRPr="00345ECE">
        <w:rPr>
          <w:rFonts w:ascii="Times New Roman" w:hAnsi="Times New Roman"/>
          <w:sz w:val="28"/>
          <w:szCs w:val="28"/>
        </w:rPr>
        <w:t xml:space="preserve"> de la Sentencia C-179 de 1994, que declaró </w:t>
      </w:r>
      <w:r w:rsidRPr="008E1A38">
        <w:rPr>
          <w:rFonts w:ascii="Times New Roman" w:hAnsi="Times New Roman"/>
          <w:i/>
          <w:iCs/>
          <w:sz w:val="28"/>
          <w:szCs w:val="28"/>
        </w:rPr>
        <w:t>inexequible</w:t>
      </w:r>
      <w:r w:rsidRPr="008E1A38">
        <w:rPr>
          <w:rFonts w:ascii="Times New Roman" w:hAnsi="Times New Roman"/>
          <w:sz w:val="28"/>
          <w:szCs w:val="28"/>
        </w:rPr>
        <w:t xml:space="preserve"> la facultad de la Sala Plena de la Corte Constitucional de suspender “aún de oficio, los efectos de un decreto expedido durante los estados de excepción, siempre que contenga una manifiesta violación de la Constitución”</w:t>
      </w:r>
      <w:r w:rsidRPr="00345ECE">
        <w:rPr>
          <w:rFonts w:ascii="Times New Roman" w:hAnsi="Times New Roman"/>
          <w:sz w:val="28"/>
          <w:szCs w:val="28"/>
          <w:vertAlign w:val="superscript"/>
        </w:rPr>
        <w:footnoteReference w:id="128"/>
      </w:r>
      <w:r w:rsidRPr="00345ECE">
        <w:rPr>
          <w:rFonts w:ascii="Times New Roman" w:hAnsi="Times New Roman"/>
          <w:sz w:val="28"/>
          <w:szCs w:val="28"/>
        </w:rPr>
        <w:t xml:space="preserve"> hizo tránsito a </w:t>
      </w:r>
      <w:r w:rsidRPr="302B9A25">
        <w:rPr>
          <w:rFonts w:ascii="Times New Roman" w:hAnsi="Times New Roman"/>
          <w:i/>
          <w:iCs/>
          <w:sz w:val="28"/>
          <w:szCs w:val="28"/>
        </w:rPr>
        <w:t>cosa juzgada constitucional absoluta,</w:t>
      </w:r>
      <w:r w:rsidRPr="00345ECE">
        <w:rPr>
          <w:rFonts w:ascii="Times New Roman" w:hAnsi="Times New Roman"/>
          <w:sz w:val="28"/>
          <w:szCs w:val="28"/>
        </w:rPr>
        <w:t xml:space="preserve"> al ser el resultado de un control constitucional automático, </w:t>
      </w:r>
      <w:r w:rsidRPr="302B9A25">
        <w:rPr>
          <w:rFonts w:ascii="Times New Roman" w:hAnsi="Times New Roman"/>
          <w:i/>
          <w:iCs/>
          <w:sz w:val="28"/>
          <w:szCs w:val="28"/>
        </w:rPr>
        <w:t>jurisdiccional</w:t>
      </w:r>
      <w:r w:rsidRPr="00345ECE">
        <w:rPr>
          <w:rFonts w:ascii="Times New Roman" w:hAnsi="Times New Roman"/>
          <w:sz w:val="28"/>
          <w:szCs w:val="28"/>
        </w:rPr>
        <w:t xml:space="preserve">, previo, </w:t>
      </w:r>
      <w:r w:rsidRPr="302B9A25">
        <w:rPr>
          <w:rFonts w:ascii="Times New Roman" w:hAnsi="Times New Roman"/>
          <w:i/>
          <w:iCs/>
          <w:sz w:val="28"/>
          <w:szCs w:val="28"/>
        </w:rPr>
        <w:t>integral</w:t>
      </w:r>
      <w:r w:rsidRPr="00345ECE">
        <w:rPr>
          <w:rFonts w:ascii="Times New Roman" w:hAnsi="Times New Roman"/>
          <w:sz w:val="28"/>
          <w:szCs w:val="28"/>
          <w:vertAlign w:val="superscript"/>
        </w:rPr>
        <w:footnoteReference w:id="129"/>
      </w:r>
      <w:r w:rsidRPr="00345ECE">
        <w:rPr>
          <w:rFonts w:ascii="Times New Roman" w:hAnsi="Times New Roman"/>
          <w:sz w:val="28"/>
          <w:szCs w:val="28"/>
        </w:rPr>
        <w:t xml:space="preserve">, </w:t>
      </w:r>
      <w:r w:rsidRPr="302B9A25">
        <w:rPr>
          <w:rFonts w:ascii="Times New Roman" w:hAnsi="Times New Roman"/>
          <w:i/>
          <w:iCs/>
          <w:sz w:val="28"/>
          <w:szCs w:val="28"/>
        </w:rPr>
        <w:t>definitivo</w:t>
      </w:r>
      <w:r w:rsidRPr="00345ECE">
        <w:rPr>
          <w:rFonts w:ascii="Times New Roman" w:hAnsi="Times New Roman"/>
          <w:sz w:val="28"/>
          <w:szCs w:val="28"/>
        </w:rPr>
        <w:t xml:space="preserve"> y participativo. </w:t>
      </w:r>
    </w:p>
    <w:p w14:paraId="0BD59D7E" w14:textId="77777777" w:rsidR="00B808B5" w:rsidRPr="00345ECE" w:rsidRDefault="00B808B5" w:rsidP="00B808B5">
      <w:pPr>
        <w:spacing w:after="0" w:line="240" w:lineRule="auto"/>
        <w:rPr>
          <w:rFonts w:ascii="Times New Roman" w:hAnsi="Times New Roman"/>
          <w:sz w:val="28"/>
          <w:szCs w:val="28"/>
        </w:rPr>
      </w:pPr>
    </w:p>
    <w:p w14:paraId="1D07A2AC"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 xml:space="preserve">Además, como se refirió anteriormente, esta declaración no se limitó al artículo 56, sino que, conforme los resolutivos quinto, sexto, séptimo y noveno, también recayó sobre otras disposiciones que contemplaban la facultad de la Corte de suspender provisionalmente decretos dictados por el Gobierno en ejercicio de las facultades excepcionales previstas en los artículos 212, 213 y 215 de la </w:t>
      </w:r>
      <w:r w:rsidRPr="00345ECE">
        <w:rPr>
          <w:rFonts w:ascii="Times New Roman" w:hAnsi="Times New Roman"/>
          <w:sz w:val="28"/>
          <w:szCs w:val="28"/>
        </w:rPr>
        <w:lastRenderedPageBreak/>
        <w:t>Constitución. Lo anterior en cumplimiento del mandato constitucional según el cual la Corte debe “</w:t>
      </w:r>
      <w:r w:rsidRPr="008E1A38">
        <w:rPr>
          <w:rFonts w:ascii="Times New Roman" w:hAnsi="Times New Roman"/>
          <w:i/>
          <w:sz w:val="28"/>
          <w:szCs w:val="28"/>
        </w:rPr>
        <w:t>decidir definitivamente</w:t>
      </w:r>
      <w:r w:rsidRPr="00345ECE">
        <w:rPr>
          <w:rFonts w:ascii="Times New Roman" w:hAnsi="Times New Roman"/>
          <w:sz w:val="28"/>
          <w:szCs w:val="28"/>
        </w:rPr>
        <w:t xml:space="preserve">” en los estrictos y precisos términos del artículo 241 superior. </w:t>
      </w:r>
    </w:p>
    <w:p w14:paraId="48F8674B" w14:textId="77777777" w:rsidR="00B808B5" w:rsidRPr="00345ECE" w:rsidRDefault="00B808B5" w:rsidP="00B808B5">
      <w:pPr>
        <w:spacing w:after="0" w:line="240" w:lineRule="auto"/>
        <w:rPr>
          <w:rFonts w:ascii="Times New Roman" w:hAnsi="Times New Roman"/>
          <w:sz w:val="28"/>
          <w:szCs w:val="28"/>
        </w:rPr>
      </w:pPr>
    </w:p>
    <w:p w14:paraId="7C9F74AB" w14:textId="77777777" w:rsidR="00B808B5" w:rsidRPr="00345ECE" w:rsidRDefault="00B808B5" w:rsidP="00B808B5">
      <w:pPr>
        <w:spacing w:after="0" w:line="240" w:lineRule="auto"/>
        <w:rPr>
          <w:rFonts w:ascii="Times New Roman" w:hAnsi="Times New Roman"/>
          <w:sz w:val="28"/>
          <w:szCs w:val="28"/>
        </w:rPr>
      </w:pPr>
      <w:r w:rsidRPr="302B9A25">
        <w:rPr>
          <w:rFonts w:ascii="Times New Roman" w:hAnsi="Times New Roman"/>
          <w:sz w:val="28"/>
          <w:szCs w:val="28"/>
        </w:rPr>
        <w:t>P</w:t>
      </w:r>
      <w:r w:rsidRPr="00345ECE">
        <w:rPr>
          <w:rFonts w:ascii="Times New Roman" w:hAnsi="Times New Roman"/>
          <w:sz w:val="28"/>
          <w:szCs w:val="28"/>
        </w:rPr>
        <w:t>or definición del control constitucional de las leyes estatutarias y sus efectos, no es posible volver a discutir su contenido</w:t>
      </w:r>
      <w:r w:rsidRPr="00345ECE">
        <w:rPr>
          <w:rFonts w:ascii="Times New Roman" w:hAnsi="Times New Roman"/>
          <w:sz w:val="28"/>
          <w:szCs w:val="28"/>
          <w:vertAlign w:val="superscript"/>
        </w:rPr>
        <w:footnoteReference w:id="130"/>
      </w:r>
      <w:r w:rsidRPr="00345ECE">
        <w:rPr>
          <w:rFonts w:ascii="Times New Roman" w:hAnsi="Times New Roman"/>
          <w:sz w:val="28"/>
          <w:szCs w:val="28"/>
        </w:rPr>
        <w:t xml:space="preserve">. El carácter </w:t>
      </w:r>
      <w:r w:rsidRPr="302B9A25">
        <w:rPr>
          <w:rFonts w:ascii="Times New Roman" w:hAnsi="Times New Roman"/>
          <w:i/>
          <w:iCs/>
          <w:sz w:val="28"/>
          <w:szCs w:val="28"/>
        </w:rPr>
        <w:t>definitivo e integral</w:t>
      </w:r>
      <w:r w:rsidRPr="00345ECE">
        <w:rPr>
          <w:rFonts w:ascii="Times New Roman" w:hAnsi="Times New Roman"/>
          <w:sz w:val="28"/>
          <w:szCs w:val="28"/>
        </w:rPr>
        <w:t xml:space="preserve"> de ese tipo de control, como se indicó, implica que, una vez expedida una ley estatutaria, ésta no podrá ser demandada en el futuro por ningún ciudadano. Se reitera que, en materia de leyes estatutarias, las providencias que realizan el control sobre esa clase de disposiciones generan </w:t>
      </w:r>
      <w:r w:rsidRPr="302B9A25">
        <w:rPr>
          <w:rFonts w:ascii="Times New Roman" w:hAnsi="Times New Roman"/>
          <w:i/>
          <w:iCs/>
          <w:sz w:val="28"/>
          <w:szCs w:val="28"/>
        </w:rPr>
        <w:t>cosa juzgada constitucional absoluta</w:t>
      </w:r>
      <w:r w:rsidRPr="00345ECE">
        <w:rPr>
          <w:rFonts w:ascii="Times New Roman" w:hAnsi="Times New Roman"/>
          <w:sz w:val="28"/>
          <w:szCs w:val="28"/>
        </w:rPr>
        <w:t xml:space="preserve">, de modo que existe una </w:t>
      </w:r>
      <w:r w:rsidRPr="00345ECE">
        <w:rPr>
          <w:rFonts w:ascii="Times New Roman" w:hAnsi="Times New Roman"/>
          <w:b/>
          <w:bCs/>
          <w:sz w:val="28"/>
          <w:szCs w:val="28"/>
        </w:rPr>
        <w:t>prohibición general</w:t>
      </w:r>
      <w:r w:rsidRPr="00345ECE">
        <w:rPr>
          <w:rFonts w:ascii="Times New Roman" w:hAnsi="Times New Roman"/>
          <w:sz w:val="28"/>
          <w:szCs w:val="28"/>
        </w:rPr>
        <w:t xml:space="preserve"> de que exista un nuevo pronunciamiento sobre esos contenidos</w:t>
      </w:r>
      <w:r w:rsidRPr="00345ECE">
        <w:rPr>
          <w:rFonts w:ascii="Times New Roman" w:hAnsi="Times New Roman"/>
          <w:sz w:val="28"/>
          <w:szCs w:val="28"/>
          <w:vertAlign w:val="superscript"/>
        </w:rPr>
        <w:footnoteReference w:id="131"/>
      </w:r>
      <w:r w:rsidRPr="00345ECE">
        <w:rPr>
          <w:rFonts w:ascii="Times New Roman" w:hAnsi="Times New Roman"/>
          <w:sz w:val="28"/>
          <w:szCs w:val="28"/>
        </w:rPr>
        <w:t xml:space="preserve">. </w:t>
      </w:r>
    </w:p>
    <w:p w14:paraId="0C4BCED1" w14:textId="77777777" w:rsidR="00B808B5" w:rsidRPr="00345ECE" w:rsidRDefault="00B808B5" w:rsidP="00B808B5">
      <w:pPr>
        <w:spacing w:after="0" w:line="240" w:lineRule="auto"/>
        <w:rPr>
          <w:rFonts w:ascii="Times New Roman" w:hAnsi="Times New Roman"/>
          <w:b/>
          <w:bCs/>
          <w:sz w:val="28"/>
          <w:szCs w:val="28"/>
        </w:rPr>
      </w:pPr>
      <w:r w:rsidRPr="00345ECE">
        <w:rPr>
          <w:rFonts w:ascii="Times New Roman" w:hAnsi="Times New Roman"/>
          <w:sz w:val="28"/>
          <w:szCs w:val="28"/>
        </w:rPr>
        <w:t xml:space="preserve"> </w:t>
      </w:r>
    </w:p>
    <w:p w14:paraId="5349E3CB" w14:textId="77777777" w:rsidR="00B808B5" w:rsidRPr="00345ECE" w:rsidRDefault="00B808B5" w:rsidP="00B808B5">
      <w:pPr>
        <w:spacing w:after="0" w:line="240" w:lineRule="auto"/>
        <w:rPr>
          <w:rFonts w:ascii="Times New Roman" w:hAnsi="Times New Roman"/>
          <w:b/>
          <w:bCs/>
          <w:sz w:val="28"/>
          <w:szCs w:val="28"/>
        </w:rPr>
      </w:pPr>
      <w:r w:rsidRPr="00345ECE">
        <w:rPr>
          <w:rFonts w:ascii="Times New Roman" w:hAnsi="Times New Roman"/>
          <w:sz w:val="28"/>
          <w:szCs w:val="28"/>
        </w:rPr>
        <w:t>En diversos escenarios (de nulidad, solicitudes de adición, aclaración, súplica, entre otros), la Corte ha sido enfática en que sus decisiones tienen “</w:t>
      </w:r>
      <w:r w:rsidRPr="302B9A25">
        <w:rPr>
          <w:rFonts w:ascii="Times New Roman" w:hAnsi="Times New Roman"/>
          <w:i/>
          <w:iCs/>
          <w:sz w:val="28"/>
          <w:szCs w:val="28"/>
        </w:rPr>
        <w:t>carácter inmutable, intangible, definitivo, indiscutible y obligatorio</w:t>
      </w:r>
      <w:r w:rsidRPr="00345ECE">
        <w:rPr>
          <w:rFonts w:ascii="Times New Roman" w:hAnsi="Times New Roman"/>
          <w:sz w:val="28"/>
          <w:szCs w:val="28"/>
        </w:rPr>
        <w:t>”</w:t>
      </w:r>
      <w:r w:rsidRPr="00345ECE">
        <w:rPr>
          <w:rFonts w:ascii="Times New Roman" w:hAnsi="Times New Roman"/>
          <w:sz w:val="28"/>
          <w:szCs w:val="28"/>
          <w:vertAlign w:val="superscript"/>
        </w:rPr>
        <w:footnoteReference w:id="132"/>
      </w:r>
      <w:r w:rsidRPr="00345ECE">
        <w:rPr>
          <w:rFonts w:ascii="Times New Roman" w:hAnsi="Times New Roman"/>
          <w:sz w:val="28"/>
          <w:szCs w:val="28"/>
        </w:rPr>
        <w:t xml:space="preserve">. Las decisiones judiciales tomadas en cumplimiento de la misión constitucional de garantizar la integridad y la supremacía de la Constitución adquieren un valor jurídico y fuerza vinculante. Así, las controversias puestas a conocimiento de esta Corporación, que obtengan un pronunciamiento de fondo, quedan resueltas de forma </w:t>
      </w:r>
      <w:r w:rsidRPr="302B9A25">
        <w:rPr>
          <w:rFonts w:ascii="Times New Roman" w:hAnsi="Times New Roman"/>
          <w:i/>
          <w:iCs/>
          <w:sz w:val="28"/>
          <w:szCs w:val="28"/>
        </w:rPr>
        <w:t>definitiva y son inmodificables</w:t>
      </w:r>
      <w:r w:rsidRPr="00345ECE">
        <w:rPr>
          <w:rFonts w:ascii="Times New Roman" w:hAnsi="Times New Roman"/>
          <w:sz w:val="28"/>
          <w:szCs w:val="28"/>
        </w:rPr>
        <w:t>, incluso para este tribunal.</w:t>
      </w:r>
      <w:r w:rsidRPr="00345ECE">
        <w:rPr>
          <w:rFonts w:ascii="Times New Roman" w:hAnsi="Times New Roman"/>
          <w:b/>
          <w:bCs/>
          <w:sz w:val="28"/>
          <w:szCs w:val="28"/>
        </w:rPr>
        <w:t xml:space="preserve"> </w:t>
      </w:r>
    </w:p>
    <w:p w14:paraId="54B4C19B" w14:textId="77777777" w:rsidR="00B808B5" w:rsidRPr="008E1A38" w:rsidRDefault="00B808B5" w:rsidP="00B808B5">
      <w:pPr>
        <w:spacing w:after="0" w:line="240" w:lineRule="auto"/>
        <w:rPr>
          <w:rFonts w:ascii="Times New Roman" w:hAnsi="Times New Roman"/>
        </w:rPr>
      </w:pPr>
      <w:r w:rsidRPr="00345ECE">
        <w:rPr>
          <w:rFonts w:ascii="Times New Roman" w:hAnsi="Times New Roman"/>
          <w:sz w:val="28"/>
          <w:szCs w:val="28"/>
        </w:rPr>
        <w:t xml:space="preserve"> </w:t>
      </w:r>
    </w:p>
    <w:p w14:paraId="35742F80" w14:textId="77777777" w:rsidR="00B808B5" w:rsidRPr="00C461D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 xml:space="preserve">En este sentido, se derivan, en principio, dos consecuencias a partir de la definición de la </w:t>
      </w:r>
      <w:r w:rsidRPr="302B9A25">
        <w:rPr>
          <w:rFonts w:ascii="Times New Roman" w:hAnsi="Times New Roman"/>
          <w:i/>
          <w:iCs/>
          <w:sz w:val="28"/>
          <w:szCs w:val="28"/>
        </w:rPr>
        <w:t>cosa juzgada constitucional.</w:t>
      </w:r>
      <w:r w:rsidRPr="00345ECE">
        <w:rPr>
          <w:rFonts w:ascii="Times New Roman" w:hAnsi="Times New Roman"/>
          <w:sz w:val="28"/>
          <w:szCs w:val="28"/>
        </w:rPr>
        <w:t xml:space="preserve"> Por un lado, los efectos de la cosa juzgada impiden</w:t>
      </w:r>
      <w:r w:rsidRPr="00345ECE">
        <w:rPr>
          <w:rFonts w:ascii="Times New Roman" w:hAnsi="Times New Roman"/>
          <w:b/>
          <w:bCs/>
          <w:sz w:val="28"/>
          <w:szCs w:val="28"/>
        </w:rPr>
        <w:t xml:space="preserve"> </w:t>
      </w:r>
      <w:r w:rsidRPr="00345ECE">
        <w:rPr>
          <w:rFonts w:ascii="Times New Roman" w:hAnsi="Times New Roman"/>
          <w:sz w:val="28"/>
          <w:szCs w:val="28"/>
        </w:rPr>
        <w:t xml:space="preserve">al juez </w:t>
      </w:r>
      <w:r w:rsidRPr="302B9A25">
        <w:rPr>
          <w:rFonts w:ascii="Times New Roman" w:hAnsi="Times New Roman"/>
          <w:sz w:val="28"/>
          <w:szCs w:val="28"/>
        </w:rPr>
        <w:t xml:space="preserve">(incluyendo a la Corte Constitucional) </w:t>
      </w:r>
      <w:r w:rsidRPr="00345ECE">
        <w:rPr>
          <w:rFonts w:ascii="Times New Roman" w:hAnsi="Times New Roman"/>
          <w:sz w:val="28"/>
          <w:szCs w:val="28"/>
        </w:rPr>
        <w:t xml:space="preserve">su libre determinación, y, por otro lado, otorgan un valor </w:t>
      </w:r>
      <w:r w:rsidRPr="00345ECE">
        <w:rPr>
          <w:rFonts w:ascii="Times New Roman" w:hAnsi="Times New Roman"/>
          <w:b/>
          <w:bCs/>
          <w:sz w:val="28"/>
          <w:szCs w:val="28"/>
        </w:rPr>
        <w:t>definitivo e inmutable</w:t>
      </w:r>
      <w:r w:rsidRPr="00345ECE">
        <w:rPr>
          <w:rFonts w:ascii="Times New Roman" w:hAnsi="Times New Roman"/>
          <w:sz w:val="28"/>
          <w:szCs w:val="28"/>
        </w:rPr>
        <w:t xml:space="preserve"> a las providencias, por lo que se prohíbe a los funcionarios judiciales (y eventualmente a la comunidad) volver a entablar el mismo litigio. </w:t>
      </w:r>
      <w:r w:rsidRPr="302B9A25">
        <w:rPr>
          <w:rFonts w:ascii="Times New Roman" w:hAnsi="Times New Roman"/>
          <w:sz w:val="28"/>
          <w:szCs w:val="28"/>
        </w:rPr>
        <w:t>R</w:t>
      </w:r>
      <w:r w:rsidRPr="00345ECE">
        <w:rPr>
          <w:rFonts w:ascii="Times New Roman" w:hAnsi="Times New Roman"/>
          <w:sz w:val="28"/>
          <w:szCs w:val="28"/>
        </w:rPr>
        <w:t>eiterada jurisprudencia constitucional ha reconocido</w:t>
      </w:r>
      <w:r w:rsidRPr="302B9A25">
        <w:rPr>
          <w:rFonts w:ascii="Times New Roman" w:hAnsi="Times New Roman"/>
          <w:sz w:val="28"/>
          <w:szCs w:val="28"/>
        </w:rPr>
        <w:t xml:space="preserve"> que</w:t>
      </w:r>
      <w:r w:rsidRPr="00345ECE">
        <w:rPr>
          <w:rFonts w:ascii="Times New Roman" w:hAnsi="Times New Roman"/>
          <w:sz w:val="28"/>
          <w:szCs w:val="28"/>
        </w:rPr>
        <w:t xml:space="preserve">, dentro de las funciones de la cosa juzgada constitucional, </w:t>
      </w:r>
      <w:r w:rsidRPr="00C461DE">
        <w:rPr>
          <w:rFonts w:ascii="Times New Roman" w:hAnsi="Times New Roman"/>
          <w:sz w:val="28"/>
          <w:szCs w:val="28"/>
        </w:rPr>
        <w:t>se encuentra la prohibición</w:t>
      </w:r>
      <w:r w:rsidRPr="008E1A38">
        <w:rPr>
          <w:rFonts w:ascii="Times New Roman" w:hAnsi="Times New Roman"/>
        </w:rPr>
        <w:t xml:space="preserve"> </w:t>
      </w:r>
      <w:r w:rsidRPr="00345ECE">
        <w:rPr>
          <w:rFonts w:ascii="Times New Roman" w:hAnsi="Times New Roman"/>
          <w:sz w:val="28"/>
          <w:szCs w:val="28"/>
        </w:rPr>
        <w:t>a los funcionarios judiciales</w:t>
      </w:r>
      <w:r w:rsidRPr="302B9A25">
        <w:rPr>
          <w:rFonts w:ascii="Times New Roman" w:hAnsi="Times New Roman"/>
          <w:sz w:val="28"/>
          <w:szCs w:val="28"/>
        </w:rPr>
        <w:t xml:space="preserve"> de</w:t>
      </w:r>
      <w:r w:rsidRPr="00345ECE">
        <w:rPr>
          <w:rFonts w:ascii="Times New Roman" w:hAnsi="Times New Roman"/>
          <w:sz w:val="28"/>
          <w:szCs w:val="28"/>
        </w:rPr>
        <w:t xml:space="preserve"> conocer, tramitar y fallar sobre lo </w:t>
      </w:r>
      <w:r w:rsidRPr="00C461DE">
        <w:rPr>
          <w:rFonts w:ascii="Times New Roman" w:hAnsi="Times New Roman"/>
          <w:sz w:val="28"/>
          <w:szCs w:val="28"/>
        </w:rPr>
        <w:t>resuelto (</w:t>
      </w:r>
      <w:r w:rsidRPr="00C461DE">
        <w:rPr>
          <w:rFonts w:ascii="Times New Roman" w:hAnsi="Times New Roman"/>
          <w:i/>
          <w:iCs/>
          <w:sz w:val="28"/>
          <w:szCs w:val="28"/>
        </w:rPr>
        <w:t>función negativa</w:t>
      </w:r>
      <w:r w:rsidRPr="00C461DE">
        <w:rPr>
          <w:rFonts w:ascii="Times New Roman" w:hAnsi="Times New Roman"/>
          <w:sz w:val="28"/>
          <w:szCs w:val="28"/>
        </w:rPr>
        <w:t>), así como la de dotar de seguridad jurídica al ordenamiento (</w:t>
      </w:r>
      <w:r w:rsidRPr="00C461DE">
        <w:rPr>
          <w:rFonts w:ascii="Times New Roman" w:hAnsi="Times New Roman"/>
          <w:i/>
          <w:iCs/>
          <w:sz w:val="28"/>
          <w:szCs w:val="28"/>
        </w:rPr>
        <w:t>función positiva</w:t>
      </w:r>
      <w:r w:rsidRPr="00C461DE">
        <w:rPr>
          <w:rFonts w:ascii="Times New Roman" w:hAnsi="Times New Roman"/>
          <w:sz w:val="28"/>
          <w:szCs w:val="28"/>
        </w:rPr>
        <w:t>)</w:t>
      </w:r>
      <w:r w:rsidRPr="00C461DE">
        <w:rPr>
          <w:rFonts w:ascii="Times New Roman" w:hAnsi="Times New Roman"/>
          <w:sz w:val="28"/>
          <w:szCs w:val="28"/>
          <w:vertAlign w:val="superscript"/>
        </w:rPr>
        <w:footnoteReference w:id="133"/>
      </w:r>
      <w:r w:rsidRPr="00C461DE">
        <w:rPr>
          <w:rFonts w:ascii="Times New Roman" w:hAnsi="Times New Roman"/>
          <w:sz w:val="28"/>
          <w:szCs w:val="28"/>
        </w:rPr>
        <w:t xml:space="preserve">. </w:t>
      </w:r>
    </w:p>
    <w:p w14:paraId="454F1352" w14:textId="77777777" w:rsidR="00B808B5" w:rsidRPr="00345ECE" w:rsidRDefault="00B808B5" w:rsidP="00B808B5">
      <w:pPr>
        <w:spacing w:after="0" w:line="240" w:lineRule="auto"/>
        <w:rPr>
          <w:rFonts w:ascii="Times New Roman" w:hAnsi="Times New Roman"/>
          <w:sz w:val="28"/>
          <w:szCs w:val="28"/>
        </w:rPr>
      </w:pPr>
    </w:p>
    <w:p w14:paraId="05A5181E"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En este sentido, el valor de la cosa juzgada constitucional se relaciona con la preservación de la seguridad jurídica y la coherencia del ordenamiento jurídico. Además de proteger la supremacía normativa de la Carta, la efectiva aplicación de los principios de igualdad, seguridad jurídica y confianza legítima de las personas garantiza que el órgano encargado del control constitucional sea</w:t>
      </w:r>
      <w:r w:rsidRPr="00345ECE">
        <w:rPr>
          <w:rFonts w:ascii="Times New Roman" w:hAnsi="Times New Roman"/>
          <w:b/>
          <w:bCs/>
          <w:sz w:val="28"/>
          <w:szCs w:val="28"/>
        </w:rPr>
        <w:t xml:space="preserve"> coherente y consistente </w:t>
      </w:r>
      <w:r w:rsidRPr="00345ECE">
        <w:rPr>
          <w:rFonts w:ascii="Times New Roman" w:hAnsi="Times New Roman"/>
          <w:sz w:val="28"/>
          <w:szCs w:val="28"/>
        </w:rPr>
        <w:t xml:space="preserve">respecto de las decisiones que ha adoptado previamente. </w:t>
      </w:r>
    </w:p>
    <w:p w14:paraId="299AFCE2" w14:textId="77777777" w:rsidR="00B808B5" w:rsidRPr="008E1A38" w:rsidRDefault="00B808B5" w:rsidP="00B808B5">
      <w:pPr>
        <w:spacing w:after="0" w:line="240" w:lineRule="auto"/>
        <w:rPr>
          <w:rFonts w:ascii="Times New Roman" w:hAnsi="Times New Roman"/>
        </w:rPr>
      </w:pPr>
      <w:r w:rsidRPr="00345ECE">
        <w:rPr>
          <w:rFonts w:ascii="Times New Roman" w:hAnsi="Times New Roman"/>
          <w:sz w:val="28"/>
          <w:szCs w:val="28"/>
        </w:rPr>
        <w:t xml:space="preserve"> </w:t>
      </w:r>
    </w:p>
    <w:p w14:paraId="39E4369B"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 xml:space="preserve">En efecto, la </w:t>
      </w:r>
      <w:r w:rsidRPr="00345ECE">
        <w:rPr>
          <w:rFonts w:ascii="Times New Roman" w:hAnsi="Times New Roman"/>
          <w:i/>
          <w:iCs/>
          <w:sz w:val="28"/>
          <w:szCs w:val="28"/>
        </w:rPr>
        <w:t>cosa juzgada constitucional</w:t>
      </w:r>
      <w:r w:rsidRPr="00345ECE">
        <w:rPr>
          <w:rFonts w:ascii="Times New Roman" w:hAnsi="Times New Roman"/>
          <w:sz w:val="28"/>
          <w:szCs w:val="28"/>
        </w:rPr>
        <w:t xml:space="preserve">, al igual que sus efectos, tienen asidero en los siguientes fundamentos </w:t>
      </w:r>
      <w:r>
        <w:rPr>
          <w:rFonts w:ascii="Times New Roman" w:hAnsi="Times New Roman"/>
          <w:sz w:val="28"/>
          <w:szCs w:val="28"/>
        </w:rPr>
        <w:t>(</w:t>
      </w:r>
      <w:r w:rsidRPr="00345ECE">
        <w:rPr>
          <w:rFonts w:ascii="Times New Roman" w:hAnsi="Times New Roman"/>
          <w:sz w:val="28"/>
          <w:szCs w:val="28"/>
        </w:rPr>
        <w:t xml:space="preserve">i) en la protección de la seguridad jurídica que </w:t>
      </w:r>
      <w:r w:rsidRPr="00345ECE">
        <w:rPr>
          <w:rFonts w:ascii="Times New Roman" w:hAnsi="Times New Roman"/>
          <w:sz w:val="28"/>
          <w:szCs w:val="28"/>
        </w:rPr>
        <w:lastRenderedPageBreak/>
        <w:t xml:space="preserve">impone la estabilidad y certidumbre de las reglas que rigen la actuación de las autoridades y ciudadanos; </w:t>
      </w:r>
      <w:r>
        <w:rPr>
          <w:rFonts w:ascii="Times New Roman" w:hAnsi="Times New Roman"/>
          <w:sz w:val="28"/>
          <w:szCs w:val="28"/>
        </w:rPr>
        <w:t>(</w:t>
      </w:r>
      <w:proofErr w:type="spellStart"/>
      <w:r w:rsidRPr="00345ECE">
        <w:rPr>
          <w:rFonts w:ascii="Times New Roman" w:hAnsi="Times New Roman"/>
          <w:sz w:val="28"/>
          <w:szCs w:val="28"/>
        </w:rPr>
        <w:t>ii</w:t>
      </w:r>
      <w:proofErr w:type="spellEnd"/>
      <w:r w:rsidRPr="00345ECE">
        <w:rPr>
          <w:rFonts w:ascii="Times New Roman" w:hAnsi="Times New Roman"/>
          <w:sz w:val="28"/>
          <w:szCs w:val="28"/>
        </w:rPr>
        <w:t xml:space="preserve">) en la salvaguarda de la buena fe que exige asegurar la consistencia de las decisiones de la Corte; </w:t>
      </w:r>
      <w:r>
        <w:rPr>
          <w:rFonts w:ascii="Times New Roman" w:hAnsi="Times New Roman"/>
          <w:sz w:val="28"/>
          <w:szCs w:val="28"/>
        </w:rPr>
        <w:t>(</w:t>
      </w:r>
      <w:proofErr w:type="spellStart"/>
      <w:r w:rsidRPr="00345ECE">
        <w:rPr>
          <w:rFonts w:ascii="Times New Roman" w:hAnsi="Times New Roman"/>
          <w:sz w:val="28"/>
          <w:szCs w:val="28"/>
        </w:rPr>
        <w:t>iii</w:t>
      </w:r>
      <w:proofErr w:type="spellEnd"/>
      <w:r w:rsidRPr="00345ECE">
        <w:rPr>
          <w:rFonts w:ascii="Times New Roman" w:hAnsi="Times New Roman"/>
          <w:sz w:val="28"/>
          <w:szCs w:val="28"/>
        </w:rPr>
        <w:t xml:space="preserve">) en la garantía de la autonomía judicial al impedirse que luego de juzgado un asunto por parte del juez competente y siguiendo las reglas vigentes pueda ser nuevamente estudiado; y </w:t>
      </w:r>
      <w:r>
        <w:rPr>
          <w:rFonts w:ascii="Times New Roman" w:hAnsi="Times New Roman"/>
          <w:sz w:val="28"/>
          <w:szCs w:val="28"/>
        </w:rPr>
        <w:t>(</w:t>
      </w:r>
      <w:proofErr w:type="spellStart"/>
      <w:r w:rsidRPr="00345ECE">
        <w:rPr>
          <w:rFonts w:ascii="Times New Roman" w:hAnsi="Times New Roman"/>
          <w:sz w:val="28"/>
          <w:szCs w:val="28"/>
        </w:rPr>
        <w:t>iv</w:t>
      </w:r>
      <w:proofErr w:type="spellEnd"/>
      <w:r w:rsidRPr="00345ECE">
        <w:rPr>
          <w:rFonts w:ascii="Times New Roman" w:hAnsi="Times New Roman"/>
          <w:sz w:val="28"/>
          <w:szCs w:val="28"/>
        </w:rPr>
        <w:t>) en la condición de la Constitución como norma jurídica en tanto las decisiones de la Corte que ponen fin al debate tienen, por propósito, asegurar su integridad y supremacía.</w:t>
      </w:r>
    </w:p>
    <w:p w14:paraId="030F9D3F" w14:textId="77777777" w:rsidR="00B808B5" w:rsidRPr="008E1A38" w:rsidRDefault="00B808B5" w:rsidP="00B808B5">
      <w:pPr>
        <w:spacing w:after="0" w:line="240" w:lineRule="auto"/>
        <w:rPr>
          <w:rFonts w:ascii="Times New Roman" w:hAnsi="Times New Roman"/>
        </w:rPr>
      </w:pPr>
      <w:r w:rsidRPr="00345ECE">
        <w:rPr>
          <w:rFonts w:ascii="Times New Roman" w:hAnsi="Times New Roman"/>
          <w:sz w:val="28"/>
          <w:szCs w:val="28"/>
        </w:rPr>
        <w:t xml:space="preserve"> </w:t>
      </w:r>
    </w:p>
    <w:p w14:paraId="09103190"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La cosa juzgada constitucional, justamente, otorga eficacia al principio de supremacía constitucional, pues</w:t>
      </w:r>
      <w:r>
        <w:rPr>
          <w:rFonts w:ascii="Times New Roman" w:hAnsi="Times New Roman"/>
          <w:sz w:val="28"/>
          <w:szCs w:val="28"/>
        </w:rPr>
        <w:t>,</w:t>
      </w:r>
      <w:r w:rsidRPr="00345ECE">
        <w:rPr>
          <w:rFonts w:ascii="Times New Roman" w:hAnsi="Times New Roman"/>
          <w:sz w:val="28"/>
          <w:szCs w:val="28"/>
        </w:rPr>
        <w:t xml:space="preserve"> de acuerdo con la misma Corte Constitucional</w:t>
      </w:r>
      <w:r>
        <w:rPr>
          <w:rFonts w:ascii="Times New Roman" w:hAnsi="Times New Roman"/>
          <w:sz w:val="28"/>
          <w:szCs w:val="28"/>
        </w:rPr>
        <w:t>,</w:t>
      </w:r>
      <w:r w:rsidRPr="00345ECE">
        <w:rPr>
          <w:rFonts w:ascii="Times New Roman" w:hAnsi="Times New Roman"/>
          <w:sz w:val="28"/>
          <w:szCs w:val="28"/>
        </w:rPr>
        <w:t xml:space="preserve"> (i) evita que después de una decisión de este tribunal sobre la incompatibilidad de una norma con la Constitución, </w:t>
      </w:r>
      <w:r w:rsidRPr="00345ECE">
        <w:rPr>
          <w:rFonts w:ascii="Times New Roman" w:hAnsi="Times New Roman"/>
          <w:i/>
          <w:iCs/>
          <w:sz w:val="28"/>
          <w:szCs w:val="28"/>
        </w:rPr>
        <w:t>esta pueda regresar al orden jurídico, estableciendo una garantía de auto restricción y estabilidad</w:t>
      </w:r>
      <w:r w:rsidRPr="00345ECE">
        <w:rPr>
          <w:rFonts w:ascii="Times New Roman" w:hAnsi="Times New Roman"/>
          <w:sz w:val="28"/>
          <w:szCs w:val="28"/>
        </w:rPr>
        <w:t>; (</w:t>
      </w:r>
      <w:proofErr w:type="spellStart"/>
      <w:r w:rsidRPr="00345ECE">
        <w:rPr>
          <w:rFonts w:ascii="Times New Roman" w:hAnsi="Times New Roman"/>
          <w:sz w:val="28"/>
          <w:szCs w:val="28"/>
        </w:rPr>
        <w:t>ii</w:t>
      </w:r>
      <w:proofErr w:type="spellEnd"/>
      <w:r w:rsidRPr="00345ECE">
        <w:rPr>
          <w:rFonts w:ascii="Times New Roman" w:hAnsi="Times New Roman"/>
          <w:sz w:val="28"/>
          <w:szCs w:val="28"/>
        </w:rPr>
        <w:t>) desarrolla la interpretación autorizada de los mandatos constitucionales, dotándolos de precisión, y (</w:t>
      </w:r>
      <w:proofErr w:type="spellStart"/>
      <w:r w:rsidRPr="00345ECE">
        <w:rPr>
          <w:rFonts w:ascii="Times New Roman" w:hAnsi="Times New Roman"/>
          <w:sz w:val="28"/>
          <w:szCs w:val="28"/>
        </w:rPr>
        <w:t>iii</w:t>
      </w:r>
      <w:proofErr w:type="spellEnd"/>
      <w:r w:rsidRPr="00345ECE">
        <w:rPr>
          <w:rFonts w:ascii="Times New Roman" w:hAnsi="Times New Roman"/>
          <w:sz w:val="28"/>
          <w:szCs w:val="28"/>
        </w:rPr>
        <w:t xml:space="preserve">) </w:t>
      </w:r>
      <w:r w:rsidRPr="00345ECE">
        <w:rPr>
          <w:rFonts w:ascii="Times New Roman" w:hAnsi="Times New Roman"/>
          <w:i/>
          <w:iCs/>
          <w:sz w:val="28"/>
          <w:szCs w:val="28"/>
        </w:rPr>
        <w:t>previene sobre interpretaciones abiertamente incompatibles con la Carta</w:t>
      </w:r>
      <w:r w:rsidRPr="00345ECE">
        <w:rPr>
          <w:rFonts w:ascii="Times New Roman" w:hAnsi="Times New Roman"/>
          <w:sz w:val="28"/>
          <w:szCs w:val="28"/>
        </w:rPr>
        <w:t xml:space="preserve">. Por lo tanto, el examen de un asunto previamente resuelto solo es posible si se modifican las normas superiores concretas que sirvieron de parámetro de control. </w:t>
      </w:r>
    </w:p>
    <w:p w14:paraId="4D4A1337" w14:textId="77777777" w:rsidR="00B808B5" w:rsidRPr="008E1A38" w:rsidRDefault="00B808B5" w:rsidP="00B808B5">
      <w:pPr>
        <w:spacing w:after="0" w:line="240" w:lineRule="auto"/>
        <w:rPr>
          <w:rFonts w:ascii="Times New Roman" w:hAnsi="Times New Roman"/>
        </w:rPr>
      </w:pPr>
      <w:r w:rsidRPr="00345ECE">
        <w:rPr>
          <w:rFonts w:ascii="Times New Roman" w:hAnsi="Times New Roman"/>
          <w:sz w:val="28"/>
          <w:szCs w:val="28"/>
        </w:rPr>
        <w:t xml:space="preserve"> </w:t>
      </w:r>
    </w:p>
    <w:p w14:paraId="2DD014C4"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 xml:space="preserve">En esta línea, “sería </w:t>
      </w:r>
      <w:r w:rsidRPr="00345ECE">
        <w:rPr>
          <w:rFonts w:ascii="Times New Roman" w:hAnsi="Times New Roman"/>
          <w:b/>
          <w:bCs/>
          <w:sz w:val="28"/>
          <w:szCs w:val="28"/>
        </w:rPr>
        <w:t xml:space="preserve">particularmente lesivo para valores que se muestran nodales en una sociedad democrática, que </w:t>
      </w:r>
      <w:proofErr w:type="gramStart"/>
      <w:r w:rsidRPr="00345ECE">
        <w:rPr>
          <w:rFonts w:ascii="Times New Roman" w:hAnsi="Times New Roman"/>
          <w:b/>
          <w:bCs/>
          <w:sz w:val="28"/>
          <w:szCs w:val="28"/>
        </w:rPr>
        <w:t>el sentido de las decisiones del Tribunal encargado de la defensa de la Constitución resultasen</w:t>
      </w:r>
      <w:proofErr w:type="gramEnd"/>
      <w:r w:rsidRPr="00345ECE">
        <w:rPr>
          <w:rFonts w:ascii="Times New Roman" w:hAnsi="Times New Roman"/>
          <w:b/>
          <w:bCs/>
          <w:sz w:val="28"/>
          <w:szCs w:val="28"/>
        </w:rPr>
        <w:t xml:space="preserve"> temporales y apenas provisionales”</w:t>
      </w:r>
      <w:r w:rsidRPr="00345ECE">
        <w:rPr>
          <w:rFonts w:ascii="Times New Roman" w:hAnsi="Times New Roman"/>
          <w:sz w:val="28"/>
          <w:szCs w:val="28"/>
          <w:vertAlign w:val="superscript"/>
        </w:rPr>
        <w:footnoteReference w:id="134"/>
      </w:r>
      <w:r w:rsidRPr="00345ECE">
        <w:rPr>
          <w:rFonts w:ascii="Times New Roman" w:hAnsi="Times New Roman"/>
          <w:sz w:val="28"/>
          <w:szCs w:val="28"/>
        </w:rPr>
        <w:t xml:space="preserve">.  Así </w:t>
      </w:r>
      <w:proofErr w:type="gramStart"/>
      <w:r w:rsidRPr="00345ECE">
        <w:rPr>
          <w:rFonts w:ascii="Times New Roman" w:hAnsi="Times New Roman"/>
          <w:sz w:val="28"/>
          <w:szCs w:val="28"/>
        </w:rPr>
        <w:t>pues,  “</w:t>
      </w:r>
      <w:proofErr w:type="gramEnd"/>
      <w:r w:rsidRPr="00345ECE">
        <w:rPr>
          <w:rFonts w:ascii="Times New Roman" w:hAnsi="Times New Roman"/>
          <w:sz w:val="28"/>
          <w:szCs w:val="28"/>
        </w:rPr>
        <w:t>este principio (</w:t>
      </w:r>
      <w:r w:rsidRPr="302B9A25">
        <w:rPr>
          <w:rFonts w:ascii="Times New Roman" w:hAnsi="Times New Roman"/>
          <w:i/>
          <w:iCs/>
          <w:sz w:val="28"/>
          <w:szCs w:val="28"/>
        </w:rPr>
        <w:t>v.gr</w:t>
      </w:r>
      <w:r w:rsidRPr="00345ECE">
        <w:rPr>
          <w:rFonts w:ascii="Times New Roman" w:hAnsi="Times New Roman"/>
          <w:sz w:val="28"/>
          <w:szCs w:val="28"/>
        </w:rPr>
        <w:t xml:space="preserve">. la cosa juzgada constitucional) </w:t>
      </w:r>
      <w:r w:rsidRPr="00345ECE">
        <w:rPr>
          <w:rFonts w:ascii="Times New Roman" w:hAnsi="Times New Roman"/>
          <w:b/>
          <w:bCs/>
          <w:sz w:val="28"/>
          <w:szCs w:val="28"/>
        </w:rPr>
        <w:t>no puede ser pretermitido en ninguna circunstancia</w:t>
      </w:r>
      <w:r w:rsidRPr="00345ECE">
        <w:rPr>
          <w:rFonts w:ascii="Times New Roman" w:hAnsi="Times New Roman"/>
          <w:sz w:val="28"/>
          <w:szCs w:val="28"/>
        </w:rPr>
        <w:t xml:space="preserve">, sin con ello poner en grave riesgo elementos pilares para la comprensión no solo </w:t>
      </w:r>
      <w:r w:rsidRPr="302B9A25">
        <w:rPr>
          <w:rFonts w:ascii="Times New Roman" w:hAnsi="Times New Roman"/>
          <w:sz w:val="28"/>
          <w:szCs w:val="28"/>
        </w:rPr>
        <w:t>d</w:t>
      </w:r>
      <w:r w:rsidRPr="00345ECE">
        <w:rPr>
          <w:rFonts w:ascii="Times New Roman" w:hAnsi="Times New Roman"/>
          <w:sz w:val="28"/>
          <w:szCs w:val="28"/>
        </w:rPr>
        <w:t xml:space="preserve">el orden jurídico en su conjunto, sino también de la misma democracia constitucional”. </w:t>
      </w:r>
    </w:p>
    <w:p w14:paraId="22B96E0F" w14:textId="77777777" w:rsidR="00B808B5" w:rsidRPr="00345ECE" w:rsidRDefault="00B808B5" w:rsidP="00B808B5">
      <w:pPr>
        <w:spacing w:after="0" w:line="240" w:lineRule="auto"/>
        <w:rPr>
          <w:rFonts w:ascii="Times New Roman" w:hAnsi="Times New Roman"/>
          <w:sz w:val="28"/>
          <w:szCs w:val="28"/>
        </w:rPr>
      </w:pPr>
    </w:p>
    <w:p w14:paraId="3EBFFA89" w14:textId="77777777" w:rsidR="00B808B5" w:rsidRPr="00345ECE" w:rsidRDefault="00B808B5" w:rsidP="00B808B5">
      <w:pPr>
        <w:spacing w:after="0" w:line="240" w:lineRule="auto"/>
        <w:rPr>
          <w:rFonts w:ascii="Times New Roman" w:hAnsi="Times New Roman"/>
          <w:i/>
          <w:iCs/>
          <w:sz w:val="28"/>
          <w:szCs w:val="28"/>
        </w:rPr>
      </w:pPr>
      <w:r w:rsidRPr="00345ECE">
        <w:rPr>
          <w:rFonts w:ascii="Times New Roman" w:hAnsi="Times New Roman"/>
          <w:sz w:val="28"/>
          <w:szCs w:val="28"/>
        </w:rPr>
        <w:t>La actividad de la jurisdicción constitucional no puede moverse eternamente en el terreno de lo provisional.</w:t>
      </w:r>
      <w:r w:rsidRPr="302B9A25">
        <w:rPr>
          <w:rFonts w:ascii="Times New Roman" w:hAnsi="Times New Roman"/>
          <w:sz w:val="28"/>
          <w:szCs w:val="28"/>
        </w:rPr>
        <w:t xml:space="preserve"> </w:t>
      </w:r>
      <w:r w:rsidRPr="00345ECE">
        <w:rPr>
          <w:rFonts w:ascii="Times New Roman" w:hAnsi="Times New Roman"/>
          <w:sz w:val="28"/>
          <w:szCs w:val="28"/>
        </w:rPr>
        <w:t xml:space="preserve">La introducción de elementos que desconozcan este principio y que, por tanto, lesionen el valor de la seguridad jurídica, ha dicho esta Corte “impide la vigencia del </w:t>
      </w:r>
      <w:r w:rsidRPr="302B9A25">
        <w:rPr>
          <w:rFonts w:ascii="Times New Roman" w:hAnsi="Times New Roman"/>
          <w:i/>
          <w:iCs/>
          <w:sz w:val="28"/>
          <w:szCs w:val="28"/>
        </w:rPr>
        <w:t>orden justo</w:t>
      </w:r>
      <w:r w:rsidRPr="00345ECE">
        <w:rPr>
          <w:rFonts w:ascii="Times New Roman" w:hAnsi="Times New Roman"/>
          <w:sz w:val="28"/>
          <w:szCs w:val="28"/>
        </w:rPr>
        <w:t xml:space="preserve"> al que aspira la Carta Política tanto en el Preámbulo como en su artículo 2o., pues el logro de aquél exige momentos de definición judicial que otorguen al conglomerado la confianza en lo resuelto, </w:t>
      </w:r>
      <w:r w:rsidRPr="302B9A25">
        <w:rPr>
          <w:rFonts w:ascii="Times New Roman" w:hAnsi="Times New Roman"/>
          <w:i/>
          <w:iCs/>
          <w:sz w:val="28"/>
          <w:szCs w:val="28"/>
        </w:rPr>
        <w:t>sin el albur de nuevas y siempre posibles acciones que provoquen la indefinida reanudación de procesos nunca culminados”</w:t>
      </w:r>
      <w:r w:rsidRPr="00345ECE">
        <w:rPr>
          <w:rFonts w:ascii="Times New Roman" w:hAnsi="Times New Roman"/>
          <w:sz w:val="28"/>
          <w:szCs w:val="28"/>
          <w:vertAlign w:val="superscript"/>
        </w:rPr>
        <w:footnoteReference w:id="135"/>
      </w:r>
      <w:r w:rsidRPr="302B9A25">
        <w:rPr>
          <w:rFonts w:ascii="Times New Roman" w:hAnsi="Times New Roman"/>
          <w:i/>
          <w:iCs/>
          <w:sz w:val="28"/>
          <w:szCs w:val="28"/>
        </w:rPr>
        <w:t>.</w:t>
      </w:r>
    </w:p>
    <w:p w14:paraId="65FB1F60" w14:textId="77777777" w:rsidR="00B808B5" w:rsidRPr="008E1A38" w:rsidRDefault="00B808B5" w:rsidP="00B808B5">
      <w:pPr>
        <w:spacing w:after="0" w:line="240" w:lineRule="auto"/>
        <w:rPr>
          <w:rFonts w:ascii="Times New Roman" w:hAnsi="Times New Roman"/>
        </w:rPr>
      </w:pPr>
      <w:r w:rsidRPr="00345ECE">
        <w:rPr>
          <w:rFonts w:ascii="Times New Roman" w:hAnsi="Times New Roman"/>
          <w:sz w:val="28"/>
          <w:szCs w:val="28"/>
        </w:rPr>
        <w:t xml:space="preserve"> </w:t>
      </w:r>
    </w:p>
    <w:p w14:paraId="6DEF9C42" w14:textId="77777777" w:rsidR="00B808B5" w:rsidRPr="008E1A38"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 xml:space="preserve">Así pues, la cosa juzgada constitucional “se predica tanto de los fallos de </w:t>
      </w:r>
      <w:r w:rsidRPr="302B9A25">
        <w:rPr>
          <w:rFonts w:ascii="Times New Roman" w:hAnsi="Times New Roman"/>
          <w:i/>
          <w:iCs/>
          <w:sz w:val="28"/>
          <w:szCs w:val="28"/>
        </w:rPr>
        <w:t xml:space="preserve">inexequibilidad </w:t>
      </w:r>
      <w:r w:rsidRPr="00345ECE">
        <w:rPr>
          <w:rFonts w:ascii="Times New Roman" w:hAnsi="Times New Roman"/>
          <w:sz w:val="28"/>
          <w:szCs w:val="28"/>
        </w:rPr>
        <w:t xml:space="preserve">como de los de </w:t>
      </w:r>
      <w:proofErr w:type="spellStart"/>
      <w:r w:rsidRPr="302B9A25">
        <w:rPr>
          <w:rFonts w:ascii="Times New Roman" w:hAnsi="Times New Roman"/>
          <w:i/>
          <w:iCs/>
          <w:sz w:val="28"/>
          <w:szCs w:val="28"/>
        </w:rPr>
        <w:t>exequibilidad</w:t>
      </w:r>
      <w:proofErr w:type="spellEnd"/>
      <w:r w:rsidRPr="00345ECE">
        <w:rPr>
          <w:rFonts w:ascii="Times New Roman" w:hAnsi="Times New Roman"/>
          <w:sz w:val="28"/>
          <w:szCs w:val="28"/>
        </w:rPr>
        <w:t>, vincula a todas las autoridades -incluida la misma Corte Constitucional- y se extiende, por igual, al continente de la norma como a su contenido material - precepto o proposición jurídica en sí misma considerada”</w:t>
      </w:r>
      <w:r w:rsidRPr="00345ECE">
        <w:rPr>
          <w:rFonts w:ascii="Times New Roman" w:hAnsi="Times New Roman"/>
          <w:sz w:val="28"/>
          <w:szCs w:val="28"/>
          <w:vertAlign w:val="superscript"/>
        </w:rPr>
        <w:footnoteReference w:id="136"/>
      </w:r>
      <w:r w:rsidRPr="00345ECE">
        <w:rPr>
          <w:rFonts w:ascii="Times New Roman" w:hAnsi="Times New Roman"/>
          <w:sz w:val="28"/>
          <w:szCs w:val="28"/>
        </w:rPr>
        <w:t xml:space="preserve">. </w:t>
      </w:r>
    </w:p>
    <w:p w14:paraId="1C4A8FE2" w14:textId="77777777" w:rsidR="00B808B5" w:rsidRPr="008E1A38" w:rsidRDefault="00B808B5" w:rsidP="00B808B5">
      <w:pPr>
        <w:spacing w:after="0" w:line="240" w:lineRule="auto"/>
        <w:rPr>
          <w:rFonts w:ascii="Times New Roman" w:hAnsi="Times New Roman"/>
          <w:sz w:val="28"/>
          <w:szCs w:val="28"/>
        </w:rPr>
      </w:pPr>
    </w:p>
    <w:p w14:paraId="737E86F9" w14:textId="77777777" w:rsidR="00B808B5" w:rsidRPr="008E1A38"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 xml:space="preserve">En el presente caso, además de </w:t>
      </w:r>
      <w:r w:rsidRPr="302B9A25">
        <w:rPr>
          <w:rFonts w:ascii="Times New Roman" w:hAnsi="Times New Roman"/>
          <w:sz w:val="28"/>
          <w:szCs w:val="28"/>
        </w:rPr>
        <w:t>tratarse de una</w:t>
      </w:r>
      <w:r w:rsidRPr="00345ECE">
        <w:rPr>
          <w:rFonts w:ascii="Times New Roman" w:hAnsi="Times New Roman"/>
          <w:sz w:val="28"/>
          <w:szCs w:val="28"/>
        </w:rPr>
        <w:t xml:space="preserve"> c</w:t>
      </w:r>
      <w:r w:rsidRPr="302B9A25">
        <w:rPr>
          <w:rFonts w:ascii="Times New Roman" w:hAnsi="Times New Roman"/>
          <w:i/>
          <w:iCs/>
          <w:sz w:val="28"/>
          <w:szCs w:val="28"/>
        </w:rPr>
        <w:t>osa juzgada constitucional absoluta</w:t>
      </w:r>
      <w:r w:rsidRPr="00345ECE">
        <w:rPr>
          <w:rFonts w:ascii="Times New Roman" w:hAnsi="Times New Roman"/>
          <w:sz w:val="28"/>
          <w:szCs w:val="28"/>
        </w:rPr>
        <w:t xml:space="preserve"> </w:t>
      </w:r>
      <w:r w:rsidRPr="302B9A25">
        <w:rPr>
          <w:rFonts w:ascii="Times New Roman" w:hAnsi="Times New Roman"/>
          <w:sz w:val="28"/>
          <w:szCs w:val="28"/>
        </w:rPr>
        <w:t>surgida</w:t>
      </w:r>
      <w:r w:rsidRPr="00345ECE">
        <w:rPr>
          <w:rFonts w:ascii="Times New Roman" w:hAnsi="Times New Roman"/>
          <w:sz w:val="28"/>
          <w:szCs w:val="28"/>
        </w:rPr>
        <w:t xml:space="preserve"> del control constitucional </w:t>
      </w:r>
      <w:r w:rsidRPr="302B9A25">
        <w:rPr>
          <w:rFonts w:ascii="Times New Roman" w:hAnsi="Times New Roman"/>
          <w:i/>
          <w:iCs/>
          <w:sz w:val="28"/>
          <w:szCs w:val="28"/>
        </w:rPr>
        <w:t>integral y definitivo</w:t>
      </w:r>
      <w:r w:rsidRPr="00345ECE">
        <w:rPr>
          <w:rFonts w:ascii="Times New Roman" w:hAnsi="Times New Roman"/>
          <w:sz w:val="28"/>
          <w:szCs w:val="28"/>
        </w:rPr>
        <w:t xml:space="preserve"> de una ley estatutaria</w:t>
      </w:r>
      <w:r w:rsidRPr="00345ECE">
        <w:rPr>
          <w:rFonts w:ascii="Times New Roman" w:hAnsi="Times New Roman"/>
          <w:sz w:val="28"/>
          <w:szCs w:val="28"/>
          <w:vertAlign w:val="superscript"/>
        </w:rPr>
        <w:footnoteReference w:id="137"/>
      </w:r>
      <w:r w:rsidRPr="00345ECE">
        <w:rPr>
          <w:rFonts w:ascii="Times New Roman" w:hAnsi="Times New Roman"/>
          <w:sz w:val="28"/>
          <w:szCs w:val="28"/>
        </w:rPr>
        <w:t xml:space="preserve">, la facultad de la Sala Plena de suspender “aún de oficio, los </w:t>
      </w:r>
      <w:r w:rsidRPr="00345ECE">
        <w:rPr>
          <w:rFonts w:ascii="Times New Roman" w:hAnsi="Times New Roman"/>
          <w:sz w:val="28"/>
          <w:szCs w:val="28"/>
        </w:rPr>
        <w:lastRenderedPageBreak/>
        <w:t xml:space="preserve">efectos de un decreto expedido durante los estados de excepción, siempre que contenga una manifiesta violación de la Constitución”, </w:t>
      </w:r>
      <w:r w:rsidRPr="008E1A38">
        <w:rPr>
          <w:rFonts w:ascii="Times New Roman" w:hAnsi="Times New Roman"/>
          <w:sz w:val="28"/>
          <w:szCs w:val="28"/>
        </w:rPr>
        <w:t xml:space="preserve">que contemplaba el artículo 56 del proyecto de ley estatutaria, </w:t>
      </w:r>
      <w:r w:rsidRPr="302B9A25">
        <w:rPr>
          <w:rFonts w:ascii="Times New Roman" w:hAnsi="Times New Roman"/>
          <w:b/>
          <w:bCs/>
          <w:sz w:val="28"/>
          <w:szCs w:val="28"/>
        </w:rPr>
        <w:t>fue declarada inexequible</w:t>
      </w:r>
      <w:r w:rsidRPr="008E1A38">
        <w:rPr>
          <w:rFonts w:ascii="Times New Roman" w:hAnsi="Times New Roman"/>
          <w:sz w:val="28"/>
          <w:szCs w:val="28"/>
        </w:rPr>
        <w:t xml:space="preserve">. A ello se sumó la declaración de inexequibilidad de las disposiciones contenidas en los artículos 19, 20, 27 y 38 que también preveían la facultad de suspender decretos dictados en virtud de los artículos 212, 213 y 215 de la Constitución Política, es decir, tanto los decretos de declaratoria de los estados de excepción como los adoptados en su desarrollo. </w:t>
      </w:r>
    </w:p>
    <w:p w14:paraId="580CEF4C" w14:textId="77777777" w:rsidR="00B808B5" w:rsidRPr="008E1A38" w:rsidRDefault="00B808B5" w:rsidP="00B808B5">
      <w:pPr>
        <w:spacing w:after="0" w:line="240" w:lineRule="auto"/>
        <w:rPr>
          <w:rFonts w:ascii="Times New Roman" w:hAnsi="Times New Roman"/>
        </w:rPr>
      </w:pPr>
      <w:r w:rsidRPr="00345ECE">
        <w:rPr>
          <w:rFonts w:ascii="Times New Roman" w:hAnsi="Times New Roman"/>
          <w:sz w:val="28"/>
          <w:szCs w:val="28"/>
        </w:rPr>
        <w:t xml:space="preserve"> </w:t>
      </w:r>
    </w:p>
    <w:p w14:paraId="034525BB"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 xml:space="preserve">En este sentido,  cuando esas decisiones son de </w:t>
      </w:r>
      <w:r w:rsidRPr="00345ECE">
        <w:rPr>
          <w:rFonts w:ascii="Times New Roman" w:hAnsi="Times New Roman"/>
          <w:i/>
          <w:iCs/>
          <w:sz w:val="28"/>
          <w:szCs w:val="28"/>
        </w:rPr>
        <w:t>inexequibilidad,</w:t>
      </w:r>
      <w:r w:rsidRPr="00345ECE">
        <w:rPr>
          <w:rFonts w:ascii="Times New Roman" w:hAnsi="Times New Roman"/>
          <w:sz w:val="28"/>
          <w:szCs w:val="28"/>
        </w:rPr>
        <w:t xml:space="preserve"> la Corte excluye del ordenamiento jurídico la norma y se activa, con absoluta contundencia, para todas las autoridades, incluyendo a este tribunal, la </w:t>
      </w:r>
      <w:r w:rsidRPr="00345ECE">
        <w:rPr>
          <w:rFonts w:ascii="Times New Roman" w:hAnsi="Times New Roman"/>
          <w:b/>
          <w:bCs/>
          <w:sz w:val="28"/>
          <w:szCs w:val="28"/>
        </w:rPr>
        <w:t xml:space="preserve">regla del artículo 243 de la Constitución </w:t>
      </w:r>
      <w:r w:rsidRPr="00345ECE">
        <w:rPr>
          <w:rFonts w:ascii="Times New Roman" w:hAnsi="Times New Roman"/>
          <w:sz w:val="28"/>
          <w:szCs w:val="28"/>
        </w:rPr>
        <w:t xml:space="preserve">según la cual “(…) </w:t>
      </w:r>
      <w:r w:rsidRPr="00345ECE">
        <w:rPr>
          <w:rFonts w:ascii="Times New Roman" w:hAnsi="Times New Roman"/>
          <w:i/>
          <w:iCs/>
          <w:sz w:val="28"/>
          <w:szCs w:val="28"/>
        </w:rPr>
        <w:t xml:space="preserve">Ninguna autoridad podrá reproducir el contenido material del acto jurídico declarado inexequible por </w:t>
      </w:r>
      <w:r w:rsidRPr="00345ECE">
        <w:rPr>
          <w:rFonts w:ascii="Times New Roman" w:hAnsi="Times New Roman"/>
          <w:i/>
          <w:iCs/>
          <w:sz w:val="28"/>
          <w:szCs w:val="28"/>
          <w:u w:val="single"/>
        </w:rPr>
        <w:t>razones de fondo</w:t>
      </w:r>
      <w:r w:rsidRPr="00345ECE">
        <w:rPr>
          <w:rFonts w:ascii="Times New Roman" w:hAnsi="Times New Roman"/>
          <w:i/>
          <w:iCs/>
          <w:sz w:val="28"/>
          <w:szCs w:val="28"/>
        </w:rPr>
        <w:t>, mientras subsistan en la Carta las disposiciones que sirvieron para hacer la confrontación entre la norma ordinaria y la Constitución</w:t>
      </w:r>
      <w:r w:rsidRPr="00345ECE">
        <w:rPr>
          <w:rFonts w:ascii="Times New Roman" w:hAnsi="Times New Roman"/>
          <w:sz w:val="28"/>
          <w:szCs w:val="28"/>
        </w:rPr>
        <w:t xml:space="preserve">”. </w:t>
      </w:r>
    </w:p>
    <w:p w14:paraId="0EC538B9" w14:textId="77777777" w:rsidR="00B808B5" w:rsidRPr="008E1A38" w:rsidRDefault="00B808B5" w:rsidP="00B808B5">
      <w:pPr>
        <w:spacing w:after="0" w:line="240" w:lineRule="auto"/>
        <w:rPr>
          <w:rFonts w:ascii="Times New Roman" w:hAnsi="Times New Roman"/>
        </w:rPr>
      </w:pPr>
      <w:r w:rsidRPr="00345ECE">
        <w:rPr>
          <w:rFonts w:ascii="Times New Roman" w:hAnsi="Times New Roman"/>
          <w:sz w:val="28"/>
          <w:szCs w:val="28"/>
        </w:rPr>
        <w:t xml:space="preserve"> </w:t>
      </w:r>
    </w:p>
    <w:p w14:paraId="3F1DD71E"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 xml:space="preserve">La cosa juzgada constitucional es una institución que otorga un valor relevante a las decisiones que emite la Corte con el fin de proteger la integridad de la Carta Política y garantizar la seguridad jurídica, así como el derecho a la igualdad. Los efectos de la cosa juzgada varían dependiendo de la decisión que adopte esta Corporación en sus fallos de control abstracto, ya sea de </w:t>
      </w:r>
      <w:proofErr w:type="spellStart"/>
      <w:r w:rsidRPr="302B9A25">
        <w:rPr>
          <w:rFonts w:ascii="Times New Roman" w:hAnsi="Times New Roman"/>
          <w:i/>
          <w:iCs/>
          <w:sz w:val="28"/>
          <w:szCs w:val="28"/>
        </w:rPr>
        <w:t>exequibilidad</w:t>
      </w:r>
      <w:proofErr w:type="spellEnd"/>
      <w:r w:rsidRPr="00345ECE">
        <w:rPr>
          <w:rFonts w:ascii="Times New Roman" w:hAnsi="Times New Roman"/>
          <w:sz w:val="28"/>
          <w:szCs w:val="28"/>
          <w:vertAlign w:val="superscript"/>
        </w:rPr>
        <w:footnoteReference w:id="138"/>
      </w:r>
      <w:r w:rsidRPr="00345ECE">
        <w:rPr>
          <w:rFonts w:ascii="Times New Roman" w:hAnsi="Times New Roman"/>
          <w:sz w:val="28"/>
          <w:szCs w:val="28"/>
        </w:rPr>
        <w:t xml:space="preserve"> o i</w:t>
      </w:r>
      <w:r w:rsidRPr="302B9A25">
        <w:rPr>
          <w:rFonts w:ascii="Times New Roman" w:hAnsi="Times New Roman"/>
          <w:i/>
          <w:iCs/>
          <w:sz w:val="28"/>
          <w:szCs w:val="28"/>
        </w:rPr>
        <w:t>nexequibilidad</w:t>
      </w:r>
      <w:r w:rsidRPr="00345ECE">
        <w:rPr>
          <w:rFonts w:ascii="Times New Roman" w:hAnsi="Times New Roman"/>
          <w:sz w:val="28"/>
          <w:szCs w:val="28"/>
        </w:rPr>
        <w:t>.</w:t>
      </w:r>
    </w:p>
    <w:p w14:paraId="76D2766F" w14:textId="77777777" w:rsidR="00B808B5" w:rsidRPr="00345ECE" w:rsidRDefault="00B808B5" w:rsidP="00B808B5">
      <w:pPr>
        <w:spacing w:after="0" w:line="240" w:lineRule="auto"/>
        <w:rPr>
          <w:rFonts w:ascii="Times New Roman" w:hAnsi="Times New Roman"/>
          <w:sz w:val="28"/>
          <w:szCs w:val="28"/>
        </w:rPr>
      </w:pPr>
    </w:p>
    <w:p w14:paraId="031666AE"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 xml:space="preserve">En el caso de la inexequibilidad las normas analizadas y encontradas contrarias a la Carta Política </w:t>
      </w:r>
      <w:r w:rsidRPr="00345ECE">
        <w:rPr>
          <w:rFonts w:ascii="Times New Roman" w:hAnsi="Times New Roman"/>
          <w:b/>
          <w:bCs/>
          <w:sz w:val="28"/>
          <w:szCs w:val="28"/>
        </w:rPr>
        <w:t>son expulsadas del ordenamiento jurídico</w:t>
      </w:r>
      <w:r w:rsidRPr="00345ECE">
        <w:rPr>
          <w:rFonts w:ascii="Times New Roman" w:hAnsi="Times New Roman"/>
          <w:sz w:val="28"/>
          <w:szCs w:val="28"/>
        </w:rPr>
        <w:t xml:space="preserve">, no pudiendo ser objeto de nueva discusión o debate. En tales casos, no es posible emprender un nuevo análisis por cuanto </w:t>
      </w:r>
      <w:r w:rsidRPr="00345ECE">
        <w:rPr>
          <w:rFonts w:ascii="Times New Roman" w:hAnsi="Times New Roman"/>
          <w:b/>
          <w:bCs/>
          <w:sz w:val="28"/>
          <w:szCs w:val="28"/>
        </w:rPr>
        <w:t>tales normas han dejado de existir en el mundo jurídico</w:t>
      </w:r>
      <w:r w:rsidRPr="00345ECE">
        <w:rPr>
          <w:rFonts w:ascii="Times New Roman" w:hAnsi="Times New Roman"/>
          <w:sz w:val="28"/>
          <w:szCs w:val="28"/>
        </w:rPr>
        <w:t xml:space="preserve"> e imposibilitan que este tribunal vuelva a pronunciarse. </w:t>
      </w:r>
    </w:p>
    <w:p w14:paraId="0D6DD97C" w14:textId="77777777" w:rsidR="00B808B5" w:rsidRPr="00345ECE" w:rsidRDefault="00B808B5" w:rsidP="00B808B5">
      <w:pPr>
        <w:spacing w:after="0" w:line="240" w:lineRule="auto"/>
        <w:rPr>
          <w:rFonts w:ascii="Times New Roman" w:hAnsi="Times New Roman"/>
          <w:sz w:val="28"/>
          <w:szCs w:val="28"/>
        </w:rPr>
      </w:pPr>
    </w:p>
    <w:p w14:paraId="4A3D2D56" w14:textId="77777777" w:rsidR="00B808B5" w:rsidRPr="00345ECE" w:rsidRDefault="00B808B5" w:rsidP="00B808B5">
      <w:pPr>
        <w:spacing w:after="0" w:line="240" w:lineRule="auto"/>
        <w:rPr>
          <w:rFonts w:ascii="Times New Roman" w:hAnsi="Times New Roman"/>
          <w:i/>
          <w:iCs/>
          <w:sz w:val="28"/>
          <w:szCs w:val="28"/>
        </w:rPr>
      </w:pPr>
      <w:r w:rsidRPr="00345ECE">
        <w:rPr>
          <w:rFonts w:ascii="Times New Roman" w:hAnsi="Times New Roman"/>
          <w:sz w:val="28"/>
          <w:szCs w:val="28"/>
        </w:rPr>
        <w:t xml:space="preserve">Al respecto, la Corte ha precisado lo siguiente “[s]i la norma es declarada </w:t>
      </w:r>
      <w:r w:rsidRPr="302B9A25">
        <w:rPr>
          <w:rFonts w:ascii="Times New Roman" w:hAnsi="Times New Roman"/>
          <w:i/>
          <w:iCs/>
          <w:sz w:val="28"/>
          <w:szCs w:val="28"/>
        </w:rPr>
        <w:t>inexequible</w:t>
      </w:r>
      <w:r w:rsidRPr="00345ECE">
        <w:rPr>
          <w:rFonts w:ascii="Times New Roman" w:hAnsi="Times New Roman"/>
          <w:sz w:val="28"/>
          <w:szCs w:val="28"/>
        </w:rPr>
        <w:t>, la cosa juzgada que recae sobre ese mismo texto normativo será siempre absoluta, por cuanto el retiro del ordenamiento jurídico de esa ley se produce con independencia del cargo o los cargos que prosperaron. Así, una vez declarada la inexequibilidad de la ley se impone su retiro inmediato del ordenamiento jurídico e impide que la Corte Constitucional vuelva a pronunciarse sobre la misma norma, pues ésta ya no existe y, por este motivo, no debe ser ni aplicada ni nuevamente enjuiciada”</w:t>
      </w:r>
      <w:r w:rsidRPr="00345ECE">
        <w:rPr>
          <w:rFonts w:ascii="Times New Roman" w:hAnsi="Times New Roman"/>
          <w:sz w:val="28"/>
          <w:szCs w:val="28"/>
          <w:vertAlign w:val="superscript"/>
        </w:rPr>
        <w:footnoteReference w:id="139"/>
      </w:r>
      <w:r w:rsidRPr="00345ECE">
        <w:rPr>
          <w:rFonts w:ascii="Times New Roman" w:hAnsi="Times New Roman"/>
          <w:sz w:val="28"/>
          <w:szCs w:val="28"/>
        </w:rPr>
        <w:t xml:space="preserve">. La norma jurídica expulsada del ordenamiento jurídico no puede ser aplicada para fundamentar ninguna actuación o decisión por parte de las </w:t>
      </w:r>
      <w:proofErr w:type="gramStart"/>
      <w:r w:rsidRPr="00345ECE">
        <w:rPr>
          <w:rFonts w:ascii="Times New Roman" w:hAnsi="Times New Roman"/>
          <w:sz w:val="28"/>
          <w:szCs w:val="28"/>
        </w:rPr>
        <w:t>autoridades públicas</w:t>
      </w:r>
      <w:proofErr w:type="gramEnd"/>
      <w:r w:rsidRPr="00345ECE">
        <w:rPr>
          <w:rFonts w:ascii="Times New Roman" w:hAnsi="Times New Roman"/>
          <w:sz w:val="28"/>
          <w:szCs w:val="28"/>
        </w:rPr>
        <w:t>, ni seguir produciendo ningún tipo de efectos jurídicos, pues ello implica una violación directa de la Constitución</w:t>
      </w:r>
      <w:r w:rsidRPr="00345ECE">
        <w:rPr>
          <w:rFonts w:ascii="Times New Roman" w:hAnsi="Times New Roman"/>
          <w:sz w:val="28"/>
          <w:szCs w:val="28"/>
          <w:vertAlign w:val="superscript"/>
        </w:rPr>
        <w:footnoteReference w:id="140"/>
      </w:r>
      <w:r w:rsidRPr="302B9A25">
        <w:rPr>
          <w:rFonts w:ascii="Times New Roman" w:hAnsi="Times New Roman"/>
          <w:i/>
          <w:iCs/>
          <w:sz w:val="28"/>
          <w:szCs w:val="28"/>
        </w:rPr>
        <w:t xml:space="preserve">. </w:t>
      </w:r>
    </w:p>
    <w:p w14:paraId="28010B12" w14:textId="77777777" w:rsidR="00B808B5" w:rsidRPr="008E1A38" w:rsidRDefault="00B808B5" w:rsidP="00B808B5">
      <w:pPr>
        <w:spacing w:after="0" w:line="240" w:lineRule="auto"/>
        <w:rPr>
          <w:rFonts w:ascii="Times New Roman" w:hAnsi="Times New Roman"/>
        </w:rPr>
      </w:pPr>
      <w:r w:rsidRPr="00345ECE">
        <w:rPr>
          <w:rFonts w:ascii="Times New Roman" w:hAnsi="Times New Roman"/>
          <w:sz w:val="28"/>
          <w:szCs w:val="28"/>
        </w:rPr>
        <w:t xml:space="preserve"> </w:t>
      </w:r>
    </w:p>
    <w:p w14:paraId="4B126850"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lastRenderedPageBreak/>
        <w:t xml:space="preserve">Una vez que la Corte Constitucional declara inexequible una norma, no puede volver sobre el asunto, a menos que medie reforma de las normas constitucionales que sirvieron de fundamento a la decisión atinente. En este sentido, en virtud de la inexequibilidad ya declarada por la Corte Constitucional y los efectos de cosa juzgada constitucional absoluta que se predican de </w:t>
      </w:r>
      <w:proofErr w:type="gramStart"/>
      <w:r w:rsidRPr="00345ECE">
        <w:rPr>
          <w:rFonts w:ascii="Times New Roman" w:hAnsi="Times New Roman"/>
          <w:sz w:val="28"/>
          <w:szCs w:val="28"/>
        </w:rPr>
        <w:t>ella,  no</w:t>
      </w:r>
      <w:proofErr w:type="gramEnd"/>
      <w:r w:rsidRPr="00345ECE">
        <w:rPr>
          <w:rFonts w:ascii="Times New Roman" w:hAnsi="Times New Roman"/>
          <w:sz w:val="28"/>
          <w:szCs w:val="28"/>
        </w:rPr>
        <w:t xml:space="preserve"> es válido, por más novedosos e inéditos esfuerzos hermenéuticos, la realización de </w:t>
      </w:r>
      <w:r w:rsidRPr="00345ECE">
        <w:rPr>
          <w:rFonts w:ascii="Times New Roman" w:hAnsi="Times New Roman"/>
          <w:i/>
          <w:iCs/>
          <w:sz w:val="28"/>
          <w:szCs w:val="28"/>
        </w:rPr>
        <w:t xml:space="preserve">reconceptualizaciones </w:t>
      </w:r>
      <w:r w:rsidRPr="00345ECE">
        <w:rPr>
          <w:rFonts w:ascii="Times New Roman" w:hAnsi="Times New Roman"/>
          <w:sz w:val="28"/>
          <w:szCs w:val="28"/>
        </w:rPr>
        <w:t xml:space="preserve">sobre la suspensión provisional de los efectos de un decreto legislativo, pues la Corte eliminó tal posibilidad a la luz de la estructura constitucional de 1991. Por ende, volver en esta oportunidad, sobre la posibilidad de activar la facultad de suspensión de </w:t>
      </w:r>
      <w:proofErr w:type="gramStart"/>
      <w:r w:rsidRPr="00345ECE">
        <w:rPr>
          <w:rFonts w:ascii="Times New Roman" w:hAnsi="Times New Roman"/>
          <w:sz w:val="28"/>
          <w:szCs w:val="28"/>
        </w:rPr>
        <w:t>decretos ,</w:t>
      </w:r>
      <w:proofErr w:type="gramEnd"/>
      <w:r w:rsidRPr="00345ECE">
        <w:rPr>
          <w:rFonts w:ascii="Times New Roman" w:hAnsi="Times New Roman"/>
          <w:sz w:val="28"/>
          <w:szCs w:val="28"/>
        </w:rPr>
        <w:t xml:space="preserve"> que fue declarada inexequible, </w:t>
      </w:r>
      <w:r w:rsidRPr="00345ECE">
        <w:rPr>
          <w:rFonts w:ascii="Times New Roman" w:hAnsi="Times New Roman"/>
          <w:i/>
          <w:iCs/>
          <w:sz w:val="28"/>
          <w:szCs w:val="28"/>
        </w:rPr>
        <w:t>sin ninguna excepción</w:t>
      </w:r>
      <w:r w:rsidRPr="00345ECE">
        <w:rPr>
          <w:rFonts w:ascii="Times New Roman" w:hAnsi="Times New Roman"/>
          <w:sz w:val="28"/>
          <w:szCs w:val="28"/>
        </w:rPr>
        <w:t>, infringe el artículo 243 de la Constitución</w:t>
      </w:r>
    </w:p>
    <w:p w14:paraId="1C389670" w14:textId="77777777" w:rsidR="00B808B5" w:rsidRPr="008E1A38" w:rsidRDefault="00B808B5" w:rsidP="00B808B5">
      <w:pPr>
        <w:spacing w:after="0" w:line="240" w:lineRule="auto"/>
        <w:rPr>
          <w:rFonts w:ascii="Times New Roman" w:hAnsi="Times New Roman"/>
        </w:rPr>
      </w:pPr>
      <w:r w:rsidRPr="00345ECE">
        <w:rPr>
          <w:rFonts w:ascii="Times New Roman" w:hAnsi="Times New Roman"/>
          <w:sz w:val="28"/>
          <w:szCs w:val="28"/>
        </w:rPr>
        <w:t xml:space="preserve"> </w:t>
      </w:r>
    </w:p>
    <w:p w14:paraId="41F00434" w14:textId="77777777" w:rsidR="00B808B5" w:rsidRPr="00345ECE" w:rsidRDefault="00B808B5" w:rsidP="00B808B5">
      <w:pPr>
        <w:spacing w:after="0" w:line="240" w:lineRule="auto"/>
        <w:rPr>
          <w:rFonts w:ascii="Times New Roman" w:hAnsi="Times New Roman"/>
          <w:sz w:val="28"/>
          <w:szCs w:val="28"/>
        </w:rPr>
      </w:pPr>
      <w:r w:rsidRPr="302B9A25">
        <w:rPr>
          <w:rFonts w:ascii="Times New Roman" w:hAnsi="Times New Roman"/>
          <w:sz w:val="28"/>
          <w:szCs w:val="28"/>
        </w:rPr>
        <w:t>La</w:t>
      </w:r>
      <w:r w:rsidRPr="00345ECE">
        <w:rPr>
          <w:rFonts w:ascii="Times New Roman" w:hAnsi="Times New Roman"/>
          <w:sz w:val="28"/>
          <w:szCs w:val="28"/>
        </w:rPr>
        <w:t xml:space="preserve"> inexequibilidad declarada por la Corte en relación con la facultad de la Sala Plena de suspender los efectos de los decretos </w:t>
      </w:r>
      <w:r w:rsidRPr="0037183F">
        <w:rPr>
          <w:rFonts w:ascii="Times New Roman" w:hAnsi="Times New Roman"/>
          <w:sz w:val="28"/>
          <w:szCs w:val="28"/>
        </w:rPr>
        <w:t>dictados con fundamento en los artículos 212, 213 y 215</w:t>
      </w:r>
      <w:r w:rsidRPr="00345ECE">
        <w:rPr>
          <w:rFonts w:ascii="Times New Roman" w:hAnsi="Times New Roman"/>
          <w:sz w:val="28"/>
          <w:szCs w:val="28"/>
        </w:rPr>
        <w:t xml:space="preserve"> se profirió de manera plena, sin matiz o interpretación. </w:t>
      </w:r>
      <w:r w:rsidRPr="302B9A25">
        <w:rPr>
          <w:rFonts w:ascii="Times New Roman" w:hAnsi="Times New Roman"/>
          <w:sz w:val="28"/>
          <w:szCs w:val="28"/>
        </w:rPr>
        <w:t>Al respecto, es necesario recordar que la</w:t>
      </w:r>
      <w:r w:rsidRPr="00345ECE">
        <w:rPr>
          <w:rFonts w:ascii="Times New Roman" w:hAnsi="Times New Roman"/>
          <w:sz w:val="28"/>
          <w:szCs w:val="28"/>
        </w:rPr>
        <w:t xml:space="preserve"> cosa juzgada constitucional comprende la </w:t>
      </w:r>
      <w:r w:rsidRPr="302B9A25">
        <w:rPr>
          <w:rFonts w:ascii="Times New Roman" w:hAnsi="Times New Roman"/>
          <w:i/>
          <w:iCs/>
          <w:sz w:val="28"/>
          <w:szCs w:val="28"/>
        </w:rPr>
        <w:t xml:space="preserve">ratio </w:t>
      </w:r>
      <w:proofErr w:type="spellStart"/>
      <w:r w:rsidRPr="302B9A25">
        <w:rPr>
          <w:rFonts w:ascii="Times New Roman" w:hAnsi="Times New Roman"/>
          <w:i/>
          <w:iCs/>
          <w:sz w:val="28"/>
          <w:szCs w:val="28"/>
        </w:rPr>
        <w:t>decidendi</w:t>
      </w:r>
      <w:proofErr w:type="spellEnd"/>
      <w:r w:rsidRPr="00345ECE">
        <w:rPr>
          <w:rFonts w:ascii="Times New Roman" w:hAnsi="Times New Roman"/>
          <w:sz w:val="28"/>
          <w:szCs w:val="28"/>
        </w:rPr>
        <w:t xml:space="preserve"> de la sentencia y su parte resolutiva. </w:t>
      </w:r>
      <w:r w:rsidRPr="302B9A25">
        <w:rPr>
          <w:rFonts w:ascii="Times New Roman" w:hAnsi="Times New Roman"/>
          <w:sz w:val="28"/>
          <w:szCs w:val="28"/>
        </w:rPr>
        <w:t>Pretermitir lo anterior</w:t>
      </w:r>
      <w:r w:rsidRPr="00345ECE">
        <w:rPr>
          <w:rFonts w:ascii="Times New Roman" w:hAnsi="Times New Roman"/>
          <w:sz w:val="28"/>
          <w:szCs w:val="28"/>
        </w:rPr>
        <w:t>, en los términos de este tribunal, “sería desconocer que, admitiendo una norma diferentes lecturas, el intérprete se acoja a lo dispositivo de una sentencia de la Corte Constitucional e ignore el sentido que la Corporación -guardiana de la integridad y supremacía de la Carta-, le ha conferido a dicha norma para encontrarla conforme o inconforme con la Constitución”</w:t>
      </w:r>
      <w:r w:rsidRPr="00345ECE">
        <w:rPr>
          <w:rFonts w:ascii="Times New Roman" w:hAnsi="Times New Roman"/>
          <w:sz w:val="28"/>
          <w:szCs w:val="28"/>
          <w:vertAlign w:val="superscript"/>
        </w:rPr>
        <w:footnoteReference w:id="141"/>
      </w:r>
      <w:r w:rsidRPr="00345ECE">
        <w:rPr>
          <w:rFonts w:ascii="Times New Roman" w:hAnsi="Times New Roman"/>
          <w:sz w:val="28"/>
          <w:szCs w:val="28"/>
        </w:rPr>
        <w:t xml:space="preserve">. </w:t>
      </w:r>
    </w:p>
    <w:p w14:paraId="2FDE1D9A" w14:textId="77777777" w:rsidR="00B808B5" w:rsidRPr="008E1A38" w:rsidRDefault="00B808B5" w:rsidP="00B808B5">
      <w:pPr>
        <w:spacing w:after="0" w:line="240" w:lineRule="auto"/>
        <w:rPr>
          <w:rFonts w:ascii="Times New Roman" w:hAnsi="Times New Roman"/>
        </w:rPr>
      </w:pPr>
      <w:r w:rsidRPr="00345ECE">
        <w:rPr>
          <w:rFonts w:ascii="Times New Roman" w:hAnsi="Times New Roman"/>
          <w:sz w:val="28"/>
          <w:szCs w:val="28"/>
        </w:rPr>
        <w:t xml:space="preserve"> </w:t>
      </w:r>
    </w:p>
    <w:p w14:paraId="77226732"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 xml:space="preserve">La Sentencia C-179 de 1994, respecto del título e inciso segundo del </w:t>
      </w:r>
      <w:r w:rsidRPr="00345ECE">
        <w:rPr>
          <w:rFonts w:ascii="Times New Roman" w:hAnsi="Times New Roman"/>
          <w:b/>
          <w:bCs/>
          <w:sz w:val="28"/>
          <w:szCs w:val="28"/>
        </w:rPr>
        <w:t>artículo 56</w:t>
      </w:r>
      <w:r w:rsidRPr="00345ECE">
        <w:rPr>
          <w:rFonts w:ascii="Times New Roman" w:hAnsi="Times New Roman"/>
          <w:sz w:val="28"/>
          <w:szCs w:val="28"/>
        </w:rPr>
        <w:t xml:space="preserve"> del entonces proyecto de ley estatutaria, que previó la facultad de suspensión, como se indicó previamente, señaló lo siguiente como </w:t>
      </w:r>
      <w:r w:rsidRPr="00345ECE">
        <w:rPr>
          <w:rFonts w:ascii="Times New Roman" w:hAnsi="Times New Roman"/>
          <w:i/>
          <w:iCs/>
          <w:sz w:val="28"/>
          <w:szCs w:val="28"/>
        </w:rPr>
        <w:t xml:space="preserve">ratio </w:t>
      </w:r>
      <w:proofErr w:type="spellStart"/>
      <w:r w:rsidRPr="00345ECE">
        <w:rPr>
          <w:rFonts w:ascii="Times New Roman" w:hAnsi="Times New Roman"/>
          <w:i/>
          <w:iCs/>
          <w:sz w:val="28"/>
          <w:szCs w:val="28"/>
        </w:rPr>
        <w:t>decidendi</w:t>
      </w:r>
      <w:proofErr w:type="spellEnd"/>
      <w:r w:rsidRPr="00345ECE">
        <w:rPr>
          <w:rFonts w:ascii="Times New Roman" w:hAnsi="Times New Roman"/>
          <w:sz w:val="28"/>
          <w:szCs w:val="28"/>
        </w:rPr>
        <w:t xml:space="preserve">: </w:t>
      </w:r>
    </w:p>
    <w:p w14:paraId="7DDDE996" w14:textId="77777777" w:rsidR="00B808B5" w:rsidRPr="00345ECE" w:rsidRDefault="00B808B5" w:rsidP="00B808B5">
      <w:pPr>
        <w:spacing w:after="0" w:line="240" w:lineRule="auto"/>
        <w:rPr>
          <w:rFonts w:ascii="Times New Roman" w:hAnsi="Times New Roman"/>
          <w:sz w:val="28"/>
          <w:szCs w:val="28"/>
        </w:rPr>
      </w:pPr>
    </w:p>
    <w:p w14:paraId="45572C95" w14:textId="77777777" w:rsidR="00B808B5" w:rsidRPr="00345ECE" w:rsidRDefault="00B808B5" w:rsidP="00B808B5">
      <w:pPr>
        <w:spacing w:after="0" w:line="240" w:lineRule="auto"/>
        <w:ind w:left="567"/>
        <w:rPr>
          <w:rFonts w:ascii="Times New Roman" w:hAnsi="Times New Roman"/>
          <w:sz w:val="28"/>
          <w:szCs w:val="28"/>
        </w:rPr>
      </w:pPr>
      <w:r w:rsidRPr="00345ECE">
        <w:rPr>
          <w:rFonts w:ascii="Times New Roman" w:hAnsi="Times New Roman"/>
          <w:sz w:val="28"/>
          <w:szCs w:val="28"/>
        </w:rPr>
        <w:t>“</w:t>
      </w:r>
      <w:r w:rsidRPr="00345ECE">
        <w:rPr>
          <w:rFonts w:ascii="Times New Roman" w:hAnsi="Times New Roman"/>
        </w:rPr>
        <w:t xml:space="preserve">serán declarados </w:t>
      </w:r>
      <w:r w:rsidRPr="00345ECE">
        <w:rPr>
          <w:rFonts w:ascii="Times New Roman" w:hAnsi="Times New Roman"/>
          <w:i/>
          <w:iCs/>
        </w:rPr>
        <w:t xml:space="preserve">inexequibles </w:t>
      </w:r>
      <w:r w:rsidRPr="00345ECE">
        <w:rPr>
          <w:rFonts w:ascii="Times New Roman" w:hAnsi="Times New Roman"/>
        </w:rPr>
        <w:t xml:space="preserve">por consagrar la procedencia del instituto de la suspensión provisional dentro del proceso de control constitucional de los decretos legislativos expedidos por el Presidente de la República durante los periodos excepcionales”| “Los </w:t>
      </w:r>
      <w:r w:rsidRPr="00345ECE">
        <w:rPr>
          <w:rFonts w:ascii="Times New Roman" w:hAnsi="Times New Roman"/>
          <w:b/>
          <w:bCs/>
        </w:rPr>
        <w:t>decretos legislativos</w:t>
      </w:r>
      <w:r w:rsidRPr="00345ECE">
        <w:rPr>
          <w:rFonts w:ascii="Times New Roman" w:hAnsi="Times New Roman"/>
        </w:rPr>
        <w:t xml:space="preserve"> que dicte el Gobierno con fundamento en los estados de excepción, a que aluden los artículos 212, 213 y 215 de la Constitución, por mandato expreso de la misma Carta, </w:t>
      </w:r>
      <w:r w:rsidRPr="00345ECE">
        <w:rPr>
          <w:rFonts w:ascii="Times New Roman" w:hAnsi="Times New Roman"/>
          <w:b/>
          <w:bCs/>
        </w:rPr>
        <w:t>están sujetos al control constitucional automático u oficioso por parte de esta Corte, la que deberá “decidir definitivamente” sobre ellos</w:t>
      </w:r>
      <w:r w:rsidRPr="00345ECE">
        <w:rPr>
          <w:rFonts w:ascii="Times New Roman" w:hAnsi="Times New Roman"/>
        </w:rPr>
        <w:t xml:space="preserve">, tal como se ordena  en el artículo 241-7, concordante con el 214-6 de la Constitución. En este orden de ideas, </w:t>
      </w:r>
      <w:r w:rsidRPr="00345ECE">
        <w:rPr>
          <w:rFonts w:ascii="Times New Roman" w:hAnsi="Times New Roman"/>
          <w:b/>
          <w:bCs/>
        </w:rPr>
        <w:t xml:space="preserve">los fallos que dicta esta Corporación en relación con dichos decretos </w:t>
      </w:r>
      <w:proofErr w:type="gramStart"/>
      <w:r w:rsidRPr="00345ECE">
        <w:rPr>
          <w:rFonts w:ascii="Times New Roman" w:hAnsi="Times New Roman"/>
          <w:b/>
          <w:bCs/>
        </w:rPr>
        <w:t>legislativos,</w:t>
      </w:r>
      <w:proofErr w:type="gramEnd"/>
      <w:r w:rsidRPr="00345ECE">
        <w:rPr>
          <w:rFonts w:ascii="Times New Roman" w:hAnsi="Times New Roman"/>
          <w:b/>
          <w:bCs/>
        </w:rPr>
        <w:t xml:space="preserve"> tienen el carácter de definitivos y sobre ellos no se puede volver, porque, según el artículo 243 de la Constitución, hacen tránsito a cosa juzgada constitucional</w:t>
      </w:r>
      <w:r w:rsidRPr="00345ECE">
        <w:rPr>
          <w:rFonts w:ascii="Times New Roman" w:hAnsi="Times New Roman"/>
        </w:rPr>
        <w:t xml:space="preserve">. Ahora bien, </w:t>
      </w:r>
      <w:r w:rsidRPr="00345ECE">
        <w:rPr>
          <w:rFonts w:ascii="Times New Roman" w:hAnsi="Times New Roman"/>
          <w:b/>
          <w:bCs/>
        </w:rPr>
        <w:t xml:space="preserve">si es deber de la Corte pronunciarse en forma definitiva sobre los decretos legislativos, en los "estrictos y precisos términos" contemplados en el artículo 241 de la Constitución, </w:t>
      </w:r>
      <w:r w:rsidRPr="00345ECE">
        <w:rPr>
          <w:rFonts w:ascii="Times New Roman" w:hAnsi="Times New Roman"/>
          <w:b/>
          <w:bCs/>
          <w:u w:val="single"/>
        </w:rPr>
        <w:t>mal puede una ley</w:t>
      </w:r>
      <w:r w:rsidRPr="00345ECE">
        <w:rPr>
          <w:rFonts w:ascii="Times New Roman" w:hAnsi="Times New Roman"/>
          <w:b/>
          <w:bCs/>
        </w:rPr>
        <w:t xml:space="preserve"> </w:t>
      </w:r>
      <w:r w:rsidRPr="00345ECE">
        <w:rPr>
          <w:rFonts w:ascii="Times New Roman" w:hAnsi="Times New Roman"/>
        </w:rPr>
        <w:t>[y más gravé aun, la jurisprudencia]</w:t>
      </w:r>
      <w:r w:rsidRPr="00345ECE">
        <w:rPr>
          <w:rFonts w:ascii="Times New Roman" w:hAnsi="Times New Roman"/>
          <w:b/>
          <w:bCs/>
        </w:rPr>
        <w:t xml:space="preserve"> como es la que se estudia, establecer la suspensión provisional de dichos actos jurídicos, lo que configura una clara y abierta violación de la normatividad Suprema</w:t>
      </w:r>
      <w:r w:rsidRPr="00345ECE">
        <w:rPr>
          <w:rFonts w:ascii="Times New Roman" w:hAnsi="Times New Roman"/>
          <w:b/>
          <w:bCs/>
          <w:sz w:val="28"/>
          <w:szCs w:val="28"/>
        </w:rPr>
        <w:t xml:space="preserve">” </w:t>
      </w:r>
      <w:r w:rsidRPr="00345ECE">
        <w:rPr>
          <w:rFonts w:ascii="Times New Roman" w:hAnsi="Times New Roman"/>
          <w:sz w:val="28"/>
          <w:szCs w:val="28"/>
        </w:rPr>
        <w:t xml:space="preserve">(énfasis añadido). </w:t>
      </w:r>
    </w:p>
    <w:p w14:paraId="3C562B2B" w14:textId="77777777" w:rsidR="00B808B5" w:rsidRPr="008E1A38" w:rsidRDefault="00B808B5" w:rsidP="00B808B5">
      <w:pPr>
        <w:spacing w:after="0" w:line="240" w:lineRule="auto"/>
        <w:rPr>
          <w:rFonts w:ascii="Times New Roman" w:hAnsi="Times New Roman"/>
        </w:rPr>
      </w:pPr>
      <w:r w:rsidRPr="00345ECE">
        <w:rPr>
          <w:rFonts w:ascii="Times New Roman" w:hAnsi="Times New Roman"/>
          <w:sz w:val="28"/>
          <w:szCs w:val="28"/>
        </w:rPr>
        <w:t xml:space="preserve"> </w:t>
      </w:r>
    </w:p>
    <w:p w14:paraId="50C2DEB2"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Así pues, no corresponde a ningún int</w:t>
      </w:r>
      <w:r w:rsidRPr="6FA30383">
        <w:rPr>
          <w:rFonts w:ascii="Times New Roman" w:hAnsi="Times New Roman"/>
          <w:sz w:val="28"/>
          <w:szCs w:val="28"/>
        </w:rPr>
        <w:t>é</w:t>
      </w:r>
      <w:r w:rsidRPr="00345ECE">
        <w:rPr>
          <w:rFonts w:ascii="Times New Roman" w:hAnsi="Times New Roman"/>
          <w:sz w:val="28"/>
          <w:szCs w:val="28"/>
        </w:rPr>
        <w:t>rprete (ni siquiera a la Corte Constitucional), editar, fraccionar</w:t>
      </w:r>
      <w:r w:rsidRPr="6FA30383">
        <w:rPr>
          <w:rFonts w:ascii="Times New Roman" w:hAnsi="Times New Roman"/>
          <w:sz w:val="28"/>
          <w:szCs w:val="28"/>
        </w:rPr>
        <w:t>, reducir</w:t>
      </w:r>
      <w:r w:rsidRPr="00345ECE">
        <w:rPr>
          <w:rFonts w:ascii="Times New Roman" w:hAnsi="Times New Roman"/>
          <w:sz w:val="28"/>
          <w:szCs w:val="28"/>
        </w:rPr>
        <w:t xml:space="preserve"> o segmentar la conclusión de la Corte en 1994, con efectos de cosa juzgada constitucional absoluta, so pena de vulnerar la supremacía de la Constitución. </w:t>
      </w:r>
      <w:r w:rsidRPr="6FA30383">
        <w:rPr>
          <w:rFonts w:ascii="Times New Roman" w:hAnsi="Times New Roman"/>
          <w:sz w:val="28"/>
          <w:szCs w:val="28"/>
        </w:rPr>
        <w:t>En particular,</w:t>
      </w:r>
      <w:r w:rsidRPr="00345ECE">
        <w:rPr>
          <w:rFonts w:ascii="Times New Roman" w:hAnsi="Times New Roman"/>
          <w:sz w:val="28"/>
          <w:szCs w:val="28"/>
        </w:rPr>
        <w:t xml:space="preserve"> </w:t>
      </w:r>
      <w:r w:rsidRPr="6FA30383">
        <w:rPr>
          <w:rFonts w:ascii="Times New Roman" w:hAnsi="Times New Roman"/>
          <w:i/>
          <w:iCs/>
          <w:sz w:val="28"/>
          <w:szCs w:val="28"/>
        </w:rPr>
        <w:t>no es posible diferenciar</w:t>
      </w:r>
      <w:r w:rsidRPr="00345ECE">
        <w:rPr>
          <w:rFonts w:ascii="Times New Roman" w:hAnsi="Times New Roman"/>
          <w:sz w:val="28"/>
          <w:szCs w:val="28"/>
        </w:rPr>
        <w:t xml:space="preserve"> la facultad de suspensión para un tipo de </w:t>
      </w:r>
      <w:r w:rsidRPr="6FA30383">
        <w:rPr>
          <w:rFonts w:ascii="Times New Roman" w:hAnsi="Times New Roman"/>
          <w:i/>
          <w:iCs/>
          <w:sz w:val="28"/>
          <w:szCs w:val="28"/>
        </w:rPr>
        <w:t>decretos</w:t>
      </w:r>
      <w:r w:rsidRPr="00345ECE">
        <w:rPr>
          <w:rFonts w:ascii="Times New Roman" w:hAnsi="Times New Roman"/>
          <w:sz w:val="28"/>
          <w:szCs w:val="28"/>
        </w:rPr>
        <w:t xml:space="preserve"> (v.gr. el decreto declaratorio)</w:t>
      </w:r>
      <w:r w:rsidRPr="00345ECE">
        <w:rPr>
          <w:rFonts w:ascii="Times New Roman" w:hAnsi="Times New Roman"/>
          <w:sz w:val="28"/>
          <w:szCs w:val="28"/>
          <w:vertAlign w:val="superscript"/>
        </w:rPr>
        <w:footnoteReference w:id="142"/>
      </w:r>
      <w:r w:rsidRPr="00345ECE">
        <w:rPr>
          <w:rFonts w:ascii="Times New Roman" w:hAnsi="Times New Roman"/>
          <w:sz w:val="28"/>
          <w:szCs w:val="28"/>
        </w:rPr>
        <w:t xml:space="preserve">. </w:t>
      </w:r>
      <w:r w:rsidRPr="6FA30383">
        <w:rPr>
          <w:rFonts w:ascii="Times New Roman" w:hAnsi="Times New Roman"/>
          <w:sz w:val="28"/>
          <w:szCs w:val="28"/>
        </w:rPr>
        <w:t>S</w:t>
      </w:r>
      <w:r w:rsidRPr="00345ECE">
        <w:rPr>
          <w:rFonts w:ascii="Times New Roman" w:hAnsi="Times New Roman"/>
          <w:sz w:val="28"/>
          <w:szCs w:val="28"/>
        </w:rPr>
        <w:t xml:space="preserve">emejante entendimiento no solo infringe la regla de la cosa juzgada constitucional de una decisión de inexequibilidad que no admite </w:t>
      </w:r>
      <w:r w:rsidRPr="00345ECE">
        <w:rPr>
          <w:rFonts w:ascii="Times New Roman" w:hAnsi="Times New Roman"/>
          <w:sz w:val="28"/>
          <w:szCs w:val="28"/>
        </w:rPr>
        <w:lastRenderedPageBreak/>
        <w:t xml:space="preserve">interpretaciones (la Corte no diferenció la suspensión provisional entre tipos de decretos </w:t>
      </w:r>
      <w:r w:rsidRPr="00686E71">
        <w:rPr>
          <w:rFonts w:ascii="Times New Roman" w:hAnsi="Times New Roman"/>
          <w:sz w:val="28"/>
          <w:szCs w:val="28"/>
        </w:rPr>
        <w:t>dictados con fundamento en los artículos 212, 213 y 215</w:t>
      </w:r>
      <w:r w:rsidRPr="00345ECE">
        <w:rPr>
          <w:rFonts w:ascii="Times New Roman" w:hAnsi="Times New Roman"/>
          <w:sz w:val="28"/>
          <w:szCs w:val="28"/>
        </w:rPr>
        <w:t xml:space="preserve">), sino que constituye una </w:t>
      </w:r>
      <w:proofErr w:type="spellStart"/>
      <w:r w:rsidRPr="6FA30383">
        <w:rPr>
          <w:rFonts w:ascii="Times New Roman" w:hAnsi="Times New Roman"/>
          <w:i/>
          <w:iCs/>
          <w:sz w:val="28"/>
          <w:szCs w:val="28"/>
        </w:rPr>
        <w:t>auto-atribución</w:t>
      </w:r>
      <w:proofErr w:type="spellEnd"/>
      <w:r w:rsidRPr="00345ECE">
        <w:rPr>
          <w:rFonts w:ascii="Times New Roman" w:hAnsi="Times New Roman"/>
          <w:sz w:val="28"/>
          <w:szCs w:val="28"/>
        </w:rPr>
        <w:t xml:space="preserve"> inédita e improvisada de competencias </w:t>
      </w:r>
      <w:r w:rsidRPr="6FA30383">
        <w:rPr>
          <w:rFonts w:ascii="Times New Roman" w:hAnsi="Times New Roman"/>
          <w:sz w:val="28"/>
          <w:szCs w:val="28"/>
        </w:rPr>
        <w:t>por parte de la mayoría de la Sala Plena.</w:t>
      </w:r>
    </w:p>
    <w:p w14:paraId="5EE636D7" w14:textId="77777777" w:rsidR="00B808B5" w:rsidRPr="00686E71"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 xml:space="preserve"> </w:t>
      </w:r>
    </w:p>
    <w:p w14:paraId="40D2D0B0" w14:textId="77777777" w:rsidR="00B808B5" w:rsidRPr="00686E71" w:rsidRDefault="00B808B5" w:rsidP="00B808B5">
      <w:pPr>
        <w:spacing w:after="0" w:line="240" w:lineRule="auto"/>
        <w:rPr>
          <w:rFonts w:ascii="Times New Roman" w:hAnsi="Times New Roman"/>
          <w:sz w:val="28"/>
          <w:szCs w:val="28"/>
        </w:rPr>
      </w:pPr>
      <w:r w:rsidRPr="00686E71">
        <w:rPr>
          <w:rFonts w:ascii="Times New Roman" w:hAnsi="Times New Roman"/>
          <w:sz w:val="28"/>
          <w:szCs w:val="28"/>
        </w:rPr>
        <w:t xml:space="preserve">Resulta abiertamente contradictorio pretender que la Corte se refirió exclusivamente a los decretos de desarrollo cuando, en el propio análisis del artículo 56, dejó expresamente claro que el control constitucional recae sobre “los decretos legislativos que dicte el Gobierno con fundamento en los estados de excepción, a que aluden los artículos 212, 213 y 215 de la Constitución”, sin distinguir entre actos de declaratoria y de desarrollo. </w:t>
      </w:r>
    </w:p>
    <w:p w14:paraId="729CD011" w14:textId="77777777" w:rsidR="00B808B5" w:rsidRPr="00686E71" w:rsidRDefault="00B808B5" w:rsidP="00B808B5">
      <w:pPr>
        <w:spacing w:after="0" w:line="240" w:lineRule="auto"/>
        <w:rPr>
          <w:rFonts w:ascii="Times New Roman" w:hAnsi="Times New Roman"/>
          <w:sz w:val="28"/>
          <w:szCs w:val="28"/>
        </w:rPr>
      </w:pPr>
    </w:p>
    <w:p w14:paraId="04E71E1B" w14:textId="77777777" w:rsidR="00B808B5" w:rsidRPr="00686E71" w:rsidRDefault="00B808B5" w:rsidP="00B808B5">
      <w:pPr>
        <w:spacing w:after="0" w:line="240" w:lineRule="auto"/>
        <w:rPr>
          <w:rFonts w:ascii="Times New Roman" w:hAnsi="Times New Roman"/>
          <w:sz w:val="28"/>
          <w:szCs w:val="28"/>
        </w:rPr>
      </w:pPr>
      <w:r w:rsidRPr="00686E71">
        <w:rPr>
          <w:rFonts w:ascii="Times New Roman" w:hAnsi="Times New Roman"/>
          <w:sz w:val="28"/>
          <w:szCs w:val="28"/>
        </w:rPr>
        <w:t xml:space="preserve">De ahí que no tenga sustento afirmar que la inexequibilidad se limitó a una disposición puntual o que excluyó los decretos de declaratoria, más aún cuando otras disposiciones similares de los artículos 19, 20, 27 y 38 también fueron declaradas inexequibles por contemplar esa misma facultad. Así, una lectura que restrinja su alcance incurre en una indebida fragmentación de los efectos de la Sentencia C-179 de 1994, cuyo contenido genera cosa juzgada constitucional absoluta y no admite reinterpretaciones parciales. El Auto 082 de 2026, objeto del presente salvamento de voto, estableció una reducción excesiva de lo señalado por la Corte Constitucional en la referida sentencia, sin ningún argumento que enfrente directamente el contenido de esa decisión. La mayoría de Sala se limitó a la realización de una lectura selectiva, parcial y conveniente no solo del precedente sino la cosa juzgada constitucional. </w:t>
      </w:r>
    </w:p>
    <w:p w14:paraId="317AA416" w14:textId="77777777" w:rsidR="00B808B5" w:rsidRPr="00345ECE" w:rsidRDefault="00B808B5" w:rsidP="00B808B5">
      <w:pPr>
        <w:spacing w:after="0" w:line="240" w:lineRule="auto"/>
        <w:rPr>
          <w:rFonts w:ascii="Times New Roman" w:hAnsi="Times New Roman"/>
          <w:sz w:val="28"/>
          <w:szCs w:val="28"/>
        </w:rPr>
      </w:pPr>
    </w:p>
    <w:p w14:paraId="48F5B543"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 xml:space="preserve">En este punto, con ocasión de los efectos de la cosa juzgada constitucional absoluta a partir de la declaratoria de inexequibilidad que concluyó la Corte en 1994, la mayoría pasó por alto </w:t>
      </w:r>
      <w:r w:rsidRPr="00345ECE">
        <w:rPr>
          <w:rFonts w:ascii="Times New Roman" w:hAnsi="Times New Roman"/>
          <w:b/>
          <w:bCs/>
          <w:sz w:val="28"/>
          <w:szCs w:val="28"/>
        </w:rPr>
        <w:t>dos cuestiones fundamentales</w:t>
      </w:r>
      <w:r w:rsidRPr="00345ECE">
        <w:rPr>
          <w:rFonts w:ascii="Times New Roman" w:hAnsi="Times New Roman"/>
          <w:sz w:val="28"/>
          <w:szCs w:val="28"/>
        </w:rPr>
        <w:t xml:space="preserve">. Por un lado </w:t>
      </w:r>
      <w:r w:rsidRPr="00345ECE">
        <w:rPr>
          <w:rFonts w:ascii="Times New Roman" w:hAnsi="Times New Roman"/>
          <w:i/>
          <w:iCs/>
          <w:sz w:val="28"/>
          <w:szCs w:val="28"/>
        </w:rPr>
        <w:t>(i)</w:t>
      </w:r>
      <w:r w:rsidRPr="00345ECE">
        <w:rPr>
          <w:rFonts w:ascii="Times New Roman" w:hAnsi="Times New Roman"/>
          <w:sz w:val="28"/>
          <w:szCs w:val="28"/>
        </w:rPr>
        <w:t xml:space="preserve"> la necesidad de diferenciar las instituciones jurídicas </w:t>
      </w:r>
      <w:r w:rsidRPr="008E1A38">
        <w:rPr>
          <w:rFonts w:ascii="Times New Roman" w:hAnsi="Times New Roman"/>
          <w:sz w:val="28"/>
          <w:szCs w:val="28"/>
        </w:rPr>
        <w:t>de</w:t>
      </w:r>
      <w:r w:rsidRPr="00345ECE">
        <w:rPr>
          <w:rFonts w:ascii="Times New Roman" w:hAnsi="Times New Roman"/>
          <w:i/>
          <w:iCs/>
          <w:sz w:val="28"/>
          <w:szCs w:val="28"/>
        </w:rPr>
        <w:t xml:space="preserve"> cosa juzgada constitucional</w:t>
      </w:r>
      <w:r w:rsidRPr="00345ECE">
        <w:rPr>
          <w:rFonts w:ascii="Times New Roman" w:hAnsi="Times New Roman"/>
          <w:sz w:val="28"/>
          <w:szCs w:val="28"/>
        </w:rPr>
        <w:t xml:space="preserve"> y </w:t>
      </w:r>
      <w:r w:rsidRPr="00345ECE">
        <w:rPr>
          <w:rFonts w:ascii="Times New Roman" w:hAnsi="Times New Roman"/>
          <w:i/>
          <w:iCs/>
          <w:sz w:val="28"/>
          <w:szCs w:val="28"/>
        </w:rPr>
        <w:t>precedente</w:t>
      </w:r>
      <w:r w:rsidRPr="00345ECE">
        <w:rPr>
          <w:rFonts w:ascii="Times New Roman" w:hAnsi="Times New Roman"/>
          <w:sz w:val="28"/>
          <w:szCs w:val="28"/>
        </w:rPr>
        <w:t xml:space="preserve"> y </w:t>
      </w:r>
      <w:r w:rsidRPr="00345ECE">
        <w:rPr>
          <w:rFonts w:ascii="Times New Roman" w:hAnsi="Times New Roman"/>
          <w:i/>
          <w:iCs/>
          <w:sz w:val="28"/>
          <w:szCs w:val="28"/>
        </w:rPr>
        <w:t>(</w:t>
      </w:r>
      <w:proofErr w:type="spellStart"/>
      <w:r w:rsidRPr="00345ECE">
        <w:rPr>
          <w:rFonts w:ascii="Times New Roman" w:hAnsi="Times New Roman"/>
          <w:i/>
          <w:iCs/>
          <w:sz w:val="28"/>
          <w:szCs w:val="28"/>
        </w:rPr>
        <w:t>ii</w:t>
      </w:r>
      <w:proofErr w:type="spellEnd"/>
      <w:r w:rsidRPr="00345ECE">
        <w:rPr>
          <w:rFonts w:ascii="Times New Roman" w:hAnsi="Times New Roman"/>
          <w:i/>
          <w:iCs/>
          <w:sz w:val="28"/>
          <w:szCs w:val="28"/>
        </w:rPr>
        <w:t xml:space="preserve">) </w:t>
      </w:r>
      <w:r w:rsidRPr="00345ECE">
        <w:rPr>
          <w:rFonts w:ascii="Times New Roman" w:hAnsi="Times New Roman"/>
          <w:sz w:val="28"/>
          <w:szCs w:val="28"/>
        </w:rPr>
        <w:t xml:space="preserve">el </w:t>
      </w:r>
      <w:r w:rsidRPr="00345ECE">
        <w:rPr>
          <w:rFonts w:ascii="Times New Roman" w:hAnsi="Times New Roman"/>
          <w:i/>
          <w:iCs/>
          <w:sz w:val="28"/>
          <w:szCs w:val="28"/>
        </w:rPr>
        <w:t>control jurídico</w:t>
      </w:r>
      <w:r w:rsidRPr="00345ECE">
        <w:rPr>
          <w:rFonts w:ascii="Times New Roman" w:hAnsi="Times New Roman"/>
          <w:sz w:val="28"/>
          <w:szCs w:val="28"/>
        </w:rPr>
        <w:t xml:space="preserve"> que la Corte Constitucional está llamada a ejercer en el marco de sus competencias constitucionales.</w:t>
      </w:r>
    </w:p>
    <w:p w14:paraId="153799F1" w14:textId="77777777" w:rsidR="00B808B5" w:rsidRPr="008E1A38" w:rsidRDefault="00B808B5" w:rsidP="00B808B5">
      <w:pPr>
        <w:spacing w:after="0" w:line="240" w:lineRule="auto"/>
        <w:rPr>
          <w:rFonts w:ascii="Times New Roman" w:hAnsi="Times New Roman"/>
        </w:rPr>
      </w:pPr>
      <w:r w:rsidRPr="00345ECE">
        <w:rPr>
          <w:rFonts w:ascii="Times New Roman" w:hAnsi="Times New Roman"/>
          <w:sz w:val="28"/>
          <w:szCs w:val="28"/>
        </w:rPr>
        <w:t xml:space="preserve"> </w:t>
      </w:r>
    </w:p>
    <w:p w14:paraId="11197AC9"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 xml:space="preserve">Sobre la </w:t>
      </w:r>
      <w:r w:rsidRPr="00345ECE">
        <w:rPr>
          <w:rFonts w:ascii="Times New Roman" w:hAnsi="Times New Roman"/>
          <w:b/>
          <w:bCs/>
          <w:sz w:val="28"/>
          <w:szCs w:val="28"/>
        </w:rPr>
        <w:t>primera cuestión</w:t>
      </w:r>
      <w:r w:rsidRPr="00345ECE">
        <w:rPr>
          <w:rFonts w:ascii="Times New Roman" w:hAnsi="Times New Roman"/>
          <w:sz w:val="28"/>
          <w:szCs w:val="28"/>
        </w:rPr>
        <w:t xml:space="preserve">, la habilitación de la Sala Plena para activar </w:t>
      </w:r>
      <w:r w:rsidRPr="302B9A25">
        <w:rPr>
          <w:rFonts w:ascii="Times New Roman" w:hAnsi="Times New Roman"/>
          <w:sz w:val="28"/>
          <w:szCs w:val="28"/>
        </w:rPr>
        <w:t>la</w:t>
      </w:r>
      <w:r w:rsidRPr="00345ECE">
        <w:rPr>
          <w:rFonts w:ascii="Times New Roman" w:hAnsi="Times New Roman"/>
          <w:sz w:val="28"/>
          <w:szCs w:val="28"/>
        </w:rPr>
        <w:t xml:space="preserve"> facultad inédita e improvisada de suspender provisionalmente decretos </w:t>
      </w:r>
      <w:r w:rsidRPr="00686E71">
        <w:rPr>
          <w:rFonts w:ascii="Times New Roman" w:hAnsi="Times New Roman"/>
          <w:sz w:val="28"/>
          <w:szCs w:val="28"/>
        </w:rPr>
        <w:t>dictados con fundamento en los artículos 212, 213 y 215</w:t>
      </w:r>
      <w:r w:rsidRPr="00345ECE">
        <w:rPr>
          <w:rFonts w:ascii="Times New Roman" w:hAnsi="Times New Roman"/>
          <w:sz w:val="28"/>
          <w:szCs w:val="28"/>
        </w:rPr>
        <w:t xml:space="preserve">, </w:t>
      </w:r>
      <w:r w:rsidRPr="00345ECE">
        <w:rPr>
          <w:rFonts w:ascii="Times New Roman" w:hAnsi="Times New Roman"/>
          <w:b/>
          <w:bCs/>
          <w:sz w:val="28"/>
          <w:szCs w:val="28"/>
        </w:rPr>
        <w:t xml:space="preserve">no </w:t>
      </w:r>
      <w:r w:rsidRPr="302B9A25">
        <w:rPr>
          <w:rFonts w:ascii="Times New Roman" w:hAnsi="Times New Roman"/>
          <w:b/>
          <w:bCs/>
          <w:sz w:val="28"/>
          <w:szCs w:val="28"/>
        </w:rPr>
        <w:t xml:space="preserve">encuentra fundamento. </w:t>
      </w:r>
      <w:r w:rsidRPr="00345ECE">
        <w:rPr>
          <w:rFonts w:ascii="Times New Roman" w:hAnsi="Times New Roman"/>
          <w:b/>
          <w:bCs/>
          <w:sz w:val="28"/>
          <w:szCs w:val="28"/>
        </w:rPr>
        <w:t xml:space="preserve"> </w:t>
      </w:r>
      <w:r w:rsidRPr="00345ECE">
        <w:rPr>
          <w:rFonts w:ascii="Times New Roman" w:hAnsi="Times New Roman"/>
          <w:sz w:val="28"/>
          <w:szCs w:val="28"/>
        </w:rPr>
        <w:t xml:space="preserve">Se trata de una </w:t>
      </w:r>
      <w:r w:rsidRPr="00345ECE">
        <w:rPr>
          <w:rFonts w:ascii="Times New Roman" w:hAnsi="Times New Roman"/>
          <w:b/>
          <w:bCs/>
          <w:sz w:val="28"/>
          <w:szCs w:val="28"/>
        </w:rPr>
        <w:t>violación directa a la cosa juzgada constitucional y a la misma Constitución</w:t>
      </w:r>
      <w:r w:rsidRPr="00345ECE">
        <w:rPr>
          <w:rFonts w:ascii="Times New Roman" w:hAnsi="Times New Roman"/>
          <w:sz w:val="28"/>
          <w:szCs w:val="28"/>
        </w:rPr>
        <w:t xml:space="preserve">, en particular, al artículo 243 superior, así como un ejercicio de competencias </w:t>
      </w:r>
      <w:r w:rsidRPr="302B9A25">
        <w:rPr>
          <w:rFonts w:ascii="Times New Roman" w:hAnsi="Times New Roman"/>
          <w:i/>
          <w:iCs/>
          <w:sz w:val="28"/>
          <w:szCs w:val="28"/>
        </w:rPr>
        <w:t>de facto,</w:t>
      </w:r>
      <w:r w:rsidRPr="00345ECE">
        <w:rPr>
          <w:rFonts w:ascii="Times New Roman" w:hAnsi="Times New Roman"/>
          <w:sz w:val="28"/>
          <w:szCs w:val="28"/>
        </w:rPr>
        <w:t xml:space="preserve"> ajeno a la naturaleza jurídica (no política o de conveniencia</w:t>
      </w:r>
      <w:r w:rsidRPr="00345ECE">
        <w:rPr>
          <w:rFonts w:ascii="Times New Roman" w:hAnsi="Times New Roman"/>
          <w:sz w:val="28"/>
          <w:szCs w:val="28"/>
          <w:vertAlign w:val="superscript"/>
        </w:rPr>
        <w:footnoteReference w:id="143"/>
      </w:r>
      <w:r w:rsidRPr="00345ECE">
        <w:rPr>
          <w:rFonts w:ascii="Times New Roman" w:hAnsi="Times New Roman"/>
          <w:sz w:val="28"/>
          <w:szCs w:val="28"/>
        </w:rPr>
        <w:t xml:space="preserve">) que caracteriza al control constitucional que le corresponde ejercer a esta corporación (segunda cuestión). </w:t>
      </w:r>
    </w:p>
    <w:p w14:paraId="19882865" w14:textId="77777777" w:rsidR="00B808B5" w:rsidRPr="00345ECE" w:rsidRDefault="00B808B5" w:rsidP="00B808B5">
      <w:pPr>
        <w:spacing w:after="0" w:line="240" w:lineRule="auto"/>
        <w:rPr>
          <w:rFonts w:ascii="Times New Roman" w:hAnsi="Times New Roman"/>
          <w:i/>
          <w:iCs/>
          <w:sz w:val="28"/>
          <w:szCs w:val="28"/>
        </w:rPr>
      </w:pPr>
      <w:r w:rsidRPr="00345ECE">
        <w:rPr>
          <w:rFonts w:ascii="Times New Roman" w:hAnsi="Times New Roman"/>
          <w:sz w:val="28"/>
          <w:szCs w:val="28"/>
        </w:rPr>
        <w:t xml:space="preserve">La Corte ha reconocido que el precedente y la cosa juzgada constitucional son notoriamente </w:t>
      </w:r>
      <w:r w:rsidRPr="302B9A25">
        <w:rPr>
          <w:rFonts w:ascii="Times New Roman" w:hAnsi="Times New Roman"/>
          <w:i/>
          <w:iCs/>
          <w:sz w:val="28"/>
          <w:szCs w:val="28"/>
        </w:rPr>
        <w:t>diferentes</w:t>
      </w:r>
      <w:r w:rsidRPr="00345ECE">
        <w:rPr>
          <w:rFonts w:ascii="Times New Roman" w:hAnsi="Times New Roman"/>
          <w:sz w:val="28"/>
          <w:szCs w:val="28"/>
        </w:rPr>
        <w:t xml:space="preserve">. Confundirlas, supone un desconocimiento del artículo 243 de la Constitución, al establecer fuerza diferente a las decisiones de </w:t>
      </w:r>
      <w:proofErr w:type="spellStart"/>
      <w:r w:rsidRPr="00345ECE">
        <w:rPr>
          <w:rFonts w:ascii="Times New Roman" w:hAnsi="Times New Roman"/>
          <w:sz w:val="28"/>
          <w:szCs w:val="28"/>
        </w:rPr>
        <w:t>exequibilidad</w:t>
      </w:r>
      <w:proofErr w:type="spellEnd"/>
      <w:r w:rsidRPr="00345ECE">
        <w:rPr>
          <w:rFonts w:ascii="Times New Roman" w:hAnsi="Times New Roman"/>
          <w:sz w:val="28"/>
          <w:szCs w:val="28"/>
        </w:rPr>
        <w:t xml:space="preserve"> o inexequibilidad</w:t>
      </w:r>
      <w:r w:rsidRPr="302B9A25">
        <w:rPr>
          <w:rFonts w:ascii="Times New Roman" w:hAnsi="Times New Roman"/>
          <w:i/>
          <w:iCs/>
          <w:sz w:val="28"/>
          <w:szCs w:val="28"/>
        </w:rPr>
        <w:t xml:space="preserve">. </w:t>
      </w:r>
      <w:r w:rsidRPr="00345ECE">
        <w:rPr>
          <w:rFonts w:ascii="Times New Roman" w:hAnsi="Times New Roman"/>
          <w:sz w:val="28"/>
          <w:szCs w:val="28"/>
        </w:rPr>
        <w:t xml:space="preserve">Por su parte, el </w:t>
      </w:r>
      <w:r w:rsidRPr="302B9A25">
        <w:rPr>
          <w:rFonts w:ascii="Times New Roman" w:hAnsi="Times New Roman"/>
          <w:i/>
          <w:iCs/>
          <w:sz w:val="28"/>
          <w:szCs w:val="28"/>
        </w:rPr>
        <w:t>precedente</w:t>
      </w:r>
      <w:r w:rsidRPr="00345ECE">
        <w:rPr>
          <w:rFonts w:ascii="Times New Roman" w:hAnsi="Times New Roman"/>
          <w:sz w:val="28"/>
          <w:szCs w:val="28"/>
        </w:rPr>
        <w:t xml:space="preserve"> fija una regla de derecho judicial. Se trata de “aquel antecedente del conjunto de sentencias </w:t>
      </w:r>
      <w:r w:rsidRPr="00345ECE">
        <w:rPr>
          <w:rFonts w:ascii="Times New Roman" w:hAnsi="Times New Roman"/>
          <w:sz w:val="28"/>
          <w:szCs w:val="28"/>
        </w:rPr>
        <w:lastRenderedPageBreak/>
        <w:t xml:space="preserve">previas al caso que se habrá de resolver </w:t>
      </w:r>
      <w:proofErr w:type="gramStart"/>
      <w:r w:rsidRPr="00345ECE">
        <w:rPr>
          <w:rFonts w:ascii="Times New Roman" w:hAnsi="Times New Roman"/>
          <w:sz w:val="28"/>
          <w:szCs w:val="28"/>
        </w:rPr>
        <w:t>que</w:t>
      </w:r>
      <w:proofErr w:type="gramEnd"/>
      <w:r w:rsidRPr="00345ECE">
        <w:rPr>
          <w:rFonts w:ascii="Times New Roman" w:hAnsi="Times New Roman"/>
          <w:sz w:val="28"/>
          <w:szCs w:val="28"/>
        </w:rPr>
        <w:t xml:space="preserve"> por su pertinencia para la resolución de un problema jurídico constitucional, debe considerar necesariamente un juez o una autoridad determinada, al momento de dictar sentencia”</w:t>
      </w:r>
      <w:r w:rsidRPr="00345ECE">
        <w:rPr>
          <w:rFonts w:ascii="Times New Roman" w:hAnsi="Times New Roman"/>
          <w:sz w:val="28"/>
          <w:szCs w:val="28"/>
          <w:vertAlign w:val="superscript"/>
        </w:rPr>
        <w:footnoteReference w:id="144"/>
      </w:r>
      <w:r w:rsidRPr="302B9A25">
        <w:rPr>
          <w:rFonts w:ascii="Times New Roman" w:hAnsi="Times New Roman"/>
          <w:i/>
          <w:iCs/>
          <w:sz w:val="28"/>
          <w:szCs w:val="28"/>
        </w:rPr>
        <w:t>.</w:t>
      </w:r>
      <w:r w:rsidRPr="302B9A25">
        <w:rPr>
          <w:rFonts w:ascii="Times New Roman" w:hAnsi="Times New Roman"/>
          <w:i/>
          <w:iCs/>
          <w:color w:val="FF0000"/>
          <w:sz w:val="28"/>
          <w:szCs w:val="28"/>
        </w:rPr>
        <w:t xml:space="preserve"> </w:t>
      </w:r>
    </w:p>
    <w:p w14:paraId="17826716" w14:textId="77777777" w:rsidR="00B808B5" w:rsidRPr="008E1A38" w:rsidRDefault="00B808B5" w:rsidP="00B808B5">
      <w:pPr>
        <w:spacing w:after="0" w:line="240" w:lineRule="auto"/>
        <w:rPr>
          <w:rFonts w:ascii="Times New Roman" w:hAnsi="Times New Roman"/>
        </w:rPr>
      </w:pPr>
      <w:r w:rsidRPr="00345ECE">
        <w:rPr>
          <w:rFonts w:ascii="Times New Roman" w:hAnsi="Times New Roman"/>
          <w:sz w:val="28"/>
          <w:szCs w:val="28"/>
        </w:rPr>
        <w:t xml:space="preserve"> </w:t>
      </w:r>
    </w:p>
    <w:p w14:paraId="00B979E8" w14:textId="77777777" w:rsidR="00B808B5" w:rsidRPr="00345ECE" w:rsidRDefault="00B808B5" w:rsidP="00B808B5">
      <w:pPr>
        <w:spacing w:after="0" w:line="240" w:lineRule="auto"/>
        <w:rPr>
          <w:rFonts w:ascii="Times New Roman" w:hAnsi="Times New Roman"/>
          <w:sz w:val="28"/>
          <w:szCs w:val="28"/>
          <w:vertAlign w:val="superscript"/>
        </w:rPr>
      </w:pPr>
      <w:r w:rsidRPr="00345ECE">
        <w:rPr>
          <w:rFonts w:ascii="Times New Roman" w:hAnsi="Times New Roman"/>
          <w:sz w:val="28"/>
          <w:szCs w:val="28"/>
        </w:rPr>
        <w:t xml:space="preserve">La diferencia entre el precedente y la cosa juzgada es esencial. En efecto, la vinculatoriedad de las decisiones anteriores no es absoluta, dado que el ordenamiento jurídico </w:t>
      </w:r>
      <w:r w:rsidRPr="00345ECE">
        <w:rPr>
          <w:rFonts w:ascii="Times New Roman" w:hAnsi="Times New Roman"/>
          <w:b/>
          <w:bCs/>
          <w:sz w:val="28"/>
          <w:szCs w:val="28"/>
        </w:rPr>
        <w:t>permite al juez apartarse de los fallos anteriores</w:t>
      </w:r>
      <w:r w:rsidRPr="00345ECE">
        <w:rPr>
          <w:rFonts w:ascii="Times New Roman" w:hAnsi="Times New Roman"/>
          <w:sz w:val="28"/>
          <w:szCs w:val="28"/>
        </w:rPr>
        <w:t>, siempre que se presente la respectiva argumentación, cuya fuerza lógica-dialéctica supere la existente. Al tratarse de un</w:t>
      </w:r>
      <w:r w:rsidRPr="302B9A25">
        <w:rPr>
          <w:rFonts w:ascii="Times New Roman" w:hAnsi="Times New Roman"/>
          <w:i/>
          <w:iCs/>
          <w:sz w:val="28"/>
          <w:szCs w:val="28"/>
        </w:rPr>
        <w:t xml:space="preserve"> precedente</w:t>
      </w:r>
      <w:r w:rsidRPr="00345ECE">
        <w:rPr>
          <w:rFonts w:ascii="Times New Roman" w:hAnsi="Times New Roman"/>
          <w:sz w:val="28"/>
          <w:szCs w:val="28"/>
        </w:rPr>
        <w:t xml:space="preserve">, en palabras de la Corte, se presenta </w:t>
      </w:r>
      <w:r w:rsidRPr="302B9A25">
        <w:rPr>
          <w:rFonts w:ascii="Times New Roman" w:hAnsi="Times New Roman"/>
          <w:i/>
          <w:iCs/>
          <w:sz w:val="28"/>
          <w:szCs w:val="28"/>
        </w:rPr>
        <w:t>una menor rigidez en términos de vinculación frente al fallo previo</w:t>
      </w:r>
      <w:r w:rsidRPr="00345ECE">
        <w:rPr>
          <w:rFonts w:ascii="Times New Roman" w:hAnsi="Times New Roman"/>
          <w:sz w:val="28"/>
          <w:szCs w:val="28"/>
        </w:rPr>
        <w:t xml:space="preserve">, pues es claro que en relación con dicha decisión no se predican los efectos de la cosa juzgada constitucional (CP. art. 243). Por esta razón, siempre que se acredite la existencia de un </w:t>
      </w:r>
      <w:r w:rsidRPr="302B9A25">
        <w:rPr>
          <w:rFonts w:ascii="Times New Roman" w:hAnsi="Times New Roman"/>
          <w:i/>
          <w:iCs/>
          <w:sz w:val="28"/>
          <w:szCs w:val="28"/>
        </w:rPr>
        <w:t>principio de razón suficiente</w:t>
      </w:r>
      <w:r w:rsidRPr="00345ECE">
        <w:rPr>
          <w:rFonts w:ascii="Times New Roman" w:hAnsi="Times New Roman"/>
          <w:sz w:val="28"/>
          <w:szCs w:val="28"/>
        </w:rPr>
        <w:t xml:space="preserve"> es posible que el tribunal constitucional </w:t>
      </w:r>
      <w:r w:rsidRPr="302B9A25">
        <w:rPr>
          <w:rFonts w:ascii="Times New Roman" w:hAnsi="Times New Roman"/>
          <w:i/>
          <w:iCs/>
          <w:sz w:val="28"/>
          <w:szCs w:val="28"/>
        </w:rPr>
        <w:t>se aparte</w:t>
      </w:r>
      <w:r w:rsidRPr="00345ECE">
        <w:rPr>
          <w:rFonts w:ascii="Times New Roman" w:hAnsi="Times New Roman"/>
          <w:sz w:val="28"/>
          <w:szCs w:val="28"/>
        </w:rPr>
        <w:t xml:space="preserve"> del mismo, como respuesta al carácter dinámico de la Constitución, al contexto social y normativo en el que la norma es introducida, o a la necesidad de realizar ajustes o cambios en el criterio jurisprudencial que ha sido acogido por esta Corporación</w:t>
      </w:r>
      <w:r w:rsidRPr="00345ECE">
        <w:rPr>
          <w:rFonts w:ascii="Times New Roman" w:hAnsi="Times New Roman"/>
          <w:sz w:val="28"/>
          <w:szCs w:val="28"/>
          <w:vertAlign w:val="superscript"/>
        </w:rPr>
        <w:footnoteReference w:id="145"/>
      </w:r>
      <w:r w:rsidRPr="00345ECE">
        <w:rPr>
          <w:rFonts w:ascii="Times New Roman" w:hAnsi="Times New Roman"/>
          <w:sz w:val="28"/>
          <w:szCs w:val="28"/>
        </w:rPr>
        <w:t>.</w:t>
      </w:r>
    </w:p>
    <w:p w14:paraId="6686749F" w14:textId="77777777" w:rsidR="00B808B5" w:rsidRPr="008E1A38" w:rsidRDefault="00B808B5" w:rsidP="00B808B5">
      <w:pPr>
        <w:spacing w:after="0" w:line="240" w:lineRule="auto"/>
        <w:rPr>
          <w:rFonts w:ascii="Times New Roman" w:hAnsi="Times New Roman"/>
        </w:rPr>
      </w:pPr>
      <w:r w:rsidRPr="00345ECE">
        <w:rPr>
          <w:rFonts w:ascii="Times New Roman" w:hAnsi="Times New Roman"/>
          <w:sz w:val="28"/>
          <w:szCs w:val="28"/>
        </w:rPr>
        <w:t xml:space="preserve"> </w:t>
      </w:r>
    </w:p>
    <w:p w14:paraId="4F34F292"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 xml:space="preserve">En este sentido, el principio de respeto al precedente no puede ser inquebrantable al punto de impedir la posibilidad de </w:t>
      </w:r>
      <w:r w:rsidRPr="6C44A10E">
        <w:rPr>
          <w:rFonts w:ascii="Times New Roman" w:hAnsi="Times New Roman"/>
          <w:sz w:val="28"/>
          <w:szCs w:val="28"/>
        </w:rPr>
        <w:t>cambiarlo</w:t>
      </w:r>
      <w:r w:rsidRPr="00345ECE">
        <w:rPr>
          <w:rFonts w:ascii="Times New Roman" w:hAnsi="Times New Roman"/>
          <w:sz w:val="28"/>
          <w:szCs w:val="28"/>
        </w:rPr>
        <w:t xml:space="preserve">. Más aún cuando el juez advierte posibles inconsistencias en sus determinaciones, frente a los fundamentos teóricos consolidados en el pasado. En esos casos, su deber en justicia y por razones de seguridad jurídica, autocontrol judicial y respeto a la igualdad, será el de </w:t>
      </w:r>
      <w:r w:rsidRPr="00345ECE">
        <w:rPr>
          <w:rFonts w:ascii="Times New Roman" w:hAnsi="Times New Roman"/>
          <w:i/>
          <w:iCs/>
          <w:sz w:val="28"/>
          <w:szCs w:val="28"/>
        </w:rPr>
        <w:t>justificar el cambio de jurisprudencia y modificar el precedente</w:t>
      </w:r>
      <w:r w:rsidRPr="00345ECE">
        <w:rPr>
          <w:rFonts w:ascii="Times New Roman" w:hAnsi="Times New Roman"/>
          <w:sz w:val="28"/>
          <w:szCs w:val="28"/>
        </w:rPr>
        <w:t xml:space="preserve">. </w:t>
      </w:r>
    </w:p>
    <w:p w14:paraId="3D4AA52E" w14:textId="77777777" w:rsidR="00B808B5" w:rsidRPr="008E1A38" w:rsidRDefault="00B808B5" w:rsidP="00B808B5">
      <w:pPr>
        <w:spacing w:after="0" w:line="240" w:lineRule="auto"/>
        <w:rPr>
          <w:rFonts w:ascii="Times New Roman" w:hAnsi="Times New Roman"/>
        </w:rPr>
      </w:pPr>
      <w:r w:rsidRPr="00345ECE">
        <w:rPr>
          <w:rFonts w:ascii="Times New Roman" w:hAnsi="Times New Roman"/>
          <w:sz w:val="28"/>
          <w:szCs w:val="28"/>
        </w:rPr>
        <w:t xml:space="preserve"> </w:t>
      </w:r>
    </w:p>
    <w:p w14:paraId="73AF9CE4"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 xml:space="preserve">Así, aunque es cierto que un juez puede separarse del precedente o reiterar jurisprudencia, en consideración con la autonomía judicial y la seriedad de su argumentación, también es cierto que </w:t>
      </w:r>
      <w:r w:rsidRPr="00345ECE">
        <w:rPr>
          <w:rFonts w:ascii="Times New Roman" w:hAnsi="Times New Roman"/>
          <w:b/>
          <w:bCs/>
          <w:sz w:val="28"/>
          <w:szCs w:val="28"/>
        </w:rPr>
        <w:t>no puede volver a estudiar el mismo asunto definido y fallado con anterioridad porque respecto de él, el ordenamiento jurídico ha dispuesto la cosa juzgada constitucional</w:t>
      </w:r>
      <w:r w:rsidRPr="00345ECE">
        <w:rPr>
          <w:rFonts w:ascii="Times New Roman" w:hAnsi="Times New Roman"/>
          <w:sz w:val="28"/>
          <w:szCs w:val="28"/>
        </w:rPr>
        <w:t xml:space="preserve"> como una garantía de inmutabilidad y definición pacífica y última de la controversia jurídica.</w:t>
      </w:r>
    </w:p>
    <w:p w14:paraId="3322C619" w14:textId="77777777" w:rsidR="00B808B5" w:rsidRDefault="00B808B5" w:rsidP="00B808B5">
      <w:pPr>
        <w:spacing w:after="0" w:line="240" w:lineRule="auto"/>
        <w:rPr>
          <w:rFonts w:ascii="Times New Roman" w:hAnsi="Times New Roman"/>
          <w:sz w:val="28"/>
          <w:szCs w:val="28"/>
        </w:rPr>
      </w:pPr>
    </w:p>
    <w:p w14:paraId="58167CE1"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 xml:space="preserve">Por su parte, el artículo 243 de la Constitución le reconoce fuerza de cosa juzgada a los fallos que la Corte Constitucional dicta en ejercicio del control jurisdiccional. Ello significa que las decisiones judiciales adoptadas por la Corporación en cumplimiento de su misión de asegurar la integridad y la supremacía de la Carta adquieren un </w:t>
      </w:r>
      <w:r w:rsidRPr="00345ECE">
        <w:rPr>
          <w:rFonts w:ascii="Times New Roman" w:hAnsi="Times New Roman"/>
          <w:i/>
          <w:iCs/>
          <w:sz w:val="28"/>
          <w:szCs w:val="28"/>
        </w:rPr>
        <w:t>carácter definitivo, incontrovertible e inmutable</w:t>
      </w:r>
      <w:r w:rsidRPr="00345ECE">
        <w:rPr>
          <w:rFonts w:ascii="Times New Roman" w:hAnsi="Times New Roman"/>
          <w:sz w:val="28"/>
          <w:szCs w:val="28"/>
        </w:rPr>
        <w:t xml:space="preserve">, de tal manera que, sobre aquellos asuntos tratados y dilucidados en procesos anteriores, </w:t>
      </w:r>
      <w:r w:rsidRPr="00345ECE">
        <w:rPr>
          <w:rFonts w:ascii="Times New Roman" w:hAnsi="Times New Roman"/>
          <w:b/>
          <w:bCs/>
          <w:sz w:val="28"/>
          <w:szCs w:val="28"/>
        </w:rPr>
        <w:t xml:space="preserve">no </w:t>
      </w:r>
      <w:r w:rsidRPr="4846ED42">
        <w:rPr>
          <w:rFonts w:ascii="Times New Roman" w:hAnsi="Times New Roman"/>
          <w:b/>
          <w:bCs/>
          <w:sz w:val="28"/>
          <w:szCs w:val="28"/>
        </w:rPr>
        <w:t>es</w:t>
      </w:r>
      <w:r w:rsidRPr="00345ECE">
        <w:rPr>
          <w:rFonts w:ascii="Times New Roman" w:hAnsi="Times New Roman"/>
          <w:b/>
          <w:bCs/>
          <w:sz w:val="28"/>
          <w:szCs w:val="28"/>
        </w:rPr>
        <w:t xml:space="preserve"> admisible replantear litigio alguno ni emitir un nuevo pronunciamiento de fondo</w:t>
      </w:r>
      <w:r w:rsidRPr="00345ECE">
        <w:rPr>
          <w:rFonts w:ascii="Times New Roman" w:hAnsi="Times New Roman"/>
          <w:sz w:val="28"/>
          <w:szCs w:val="28"/>
        </w:rPr>
        <w:t xml:space="preserve">. </w:t>
      </w:r>
    </w:p>
    <w:p w14:paraId="71C1AEBC" w14:textId="77777777" w:rsidR="00B808B5" w:rsidRPr="008E1A38" w:rsidRDefault="00B808B5" w:rsidP="00B808B5">
      <w:pPr>
        <w:spacing w:after="0" w:line="240" w:lineRule="auto"/>
        <w:rPr>
          <w:rFonts w:ascii="Times New Roman" w:hAnsi="Times New Roman"/>
        </w:rPr>
      </w:pPr>
      <w:r w:rsidRPr="00345ECE">
        <w:rPr>
          <w:rFonts w:ascii="Times New Roman" w:hAnsi="Times New Roman"/>
          <w:sz w:val="28"/>
          <w:szCs w:val="28"/>
        </w:rPr>
        <w:t xml:space="preserve"> </w:t>
      </w:r>
    </w:p>
    <w:p w14:paraId="2E594AD3" w14:textId="77777777" w:rsidR="00B808B5" w:rsidRPr="00345ECE" w:rsidRDefault="00B808B5" w:rsidP="00B808B5">
      <w:pPr>
        <w:spacing w:after="0" w:line="240" w:lineRule="auto"/>
        <w:rPr>
          <w:rFonts w:ascii="Times New Roman" w:hAnsi="Times New Roman"/>
          <w:i/>
          <w:iCs/>
          <w:sz w:val="28"/>
          <w:szCs w:val="28"/>
        </w:rPr>
      </w:pPr>
      <w:r w:rsidRPr="00345ECE">
        <w:rPr>
          <w:rFonts w:ascii="Times New Roman" w:hAnsi="Times New Roman"/>
          <w:sz w:val="28"/>
          <w:szCs w:val="28"/>
        </w:rPr>
        <w:t xml:space="preserve">La cosa juzgada constitucional, además de proteger la supremacía normativa de la Carta, está llamada a garantizar la efectiva aplicación de los principios de igualdad, seguridad jurídica y confianza legítima de los administrados, ya que, por medio de esta figura, se garantiza que el órgano encargado del control constitucional sea consistente con las decisiones que ha adoptado previamente. </w:t>
      </w:r>
      <w:r w:rsidRPr="00345ECE">
        <w:rPr>
          <w:rFonts w:ascii="Times New Roman" w:hAnsi="Times New Roman"/>
          <w:i/>
          <w:iCs/>
          <w:sz w:val="28"/>
          <w:szCs w:val="28"/>
        </w:rPr>
        <w:t xml:space="preserve"> </w:t>
      </w:r>
    </w:p>
    <w:p w14:paraId="3298431D" w14:textId="77777777" w:rsidR="00B808B5" w:rsidRPr="008E1A38" w:rsidRDefault="00B808B5" w:rsidP="00B808B5">
      <w:pPr>
        <w:spacing w:after="0" w:line="240" w:lineRule="auto"/>
        <w:rPr>
          <w:rFonts w:ascii="Times New Roman" w:hAnsi="Times New Roman"/>
        </w:rPr>
      </w:pPr>
      <w:r w:rsidRPr="00345ECE">
        <w:rPr>
          <w:rFonts w:ascii="Times New Roman" w:hAnsi="Times New Roman"/>
          <w:sz w:val="28"/>
          <w:szCs w:val="28"/>
        </w:rPr>
        <w:t xml:space="preserve"> </w:t>
      </w:r>
    </w:p>
    <w:p w14:paraId="16538DCC"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lastRenderedPageBreak/>
        <w:t xml:space="preserve">En este orden de </w:t>
      </w:r>
      <w:proofErr w:type="gramStart"/>
      <w:r w:rsidRPr="00345ECE">
        <w:rPr>
          <w:rFonts w:ascii="Times New Roman" w:hAnsi="Times New Roman"/>
          <w:sz w:val="28"/>
          <w:szCs w:val="28"/>
        </w:rPr>
        <w:t>ideas,  la</w:t>
      </w:r>
      <w:proofErr w:type="gramEnd"/>
      <w:r w:rsidRPr="00345ECE">
        <w:rPr>
          <w:rFonts w:ascii="Times New Roman" w:hAnsi="Times New Roman"/>
          <w:sz w:val="28"/>
          <w:szCs w:val="28"/>
        </w:rPr>
        <w:t xml:space="preserve"> decisión de la mayoría constituye un</w:t>
      </w:r>
      <w:r w:rsidRPr="00345ECE">
        <w:rPr>
          <w:rFonts w:ascii="Times New Roman" w:hAnsi="Times New Roman"/>
          <w:b/>
          <w:bCs/>
          <w:sz w:val="28"/>
          <w:szCs w:val="28"/>
        </w:rPr>
        <w:t xml:space="preserve"> desconocimiento al principio de cosa juzgada constitucional absoluta y por ende de la Constitución</w:t>
      </w:r>
      <w:r w:rsidRPr="00345ECE">
        <w:rPr>
          <w:rFonts w:ascii="Times New Roman" w:hAnsi="Times New Roman"/>
          <w:sz w:val="28"/>
          <w:szCs w:val="28"/>
        </w:rPr>
        <w:t xml:space="preserve">. </w:t>
      </w:r>
    </w:p>
    <w:p w14:paraId="1E7391EB" w14:textId="77777777" w:rsidR="00B808B5" w:rsidRPr="00345ECE" w:rsidRDefault="00B808B5" w:rsidP="00B808B5">
      <w:pPr>
        <w:spacing w:after="0" w:line="240" w:lineRule="auto"/>
        <w:rPr>
          <w:rFonts w:ascii="Times New Roman" w:hAnsi="Times New Roman"/>
          <w:sz w:val="28"/>
          <w:szCs w:val="28"/>
        </w:rPr>
      </w:pPr>
    </w:p>
    <w:p w14:paraId="52B1B0CC"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 xml:space="preserve">Ahora bien, sobre la </w:t>
      </w:r>
      <w:r w:rsidRPr="00345ECE">
        <w:rPr>
          <w:rFonts w:ascii="Times New Roman" w:hAnsi="Times New Roman"/>
          <w:b/>
          <w:bCs/>
          <w:sz w:val="28"/>
          <w:szCs w:val="28"/>
        </w:rPr>
        <w:t>segunda cuestión</w:t>
      </w:r>
      <w:r w:rsidRPr="00345ECE">
        <w:rPr>
          <w:rFonts w:ascii="Times New Roman" w:hAnsi="Times New Roman"/>
          <w:sz w:val="28"/>
          <w:szCs w:val="28"/>
        </w:rPr>
        <w:t xml:space="preserve">, la habilitación de la Sala para activar una facultad inédita de suspender provisionalmente decretos </w:t>
      </w:r>
      <w:r w:rsidRPr="00686E71">
        <w:rPr>
          <w:rFonts w:ascii="Times New Roman" w:hAnsi="Times New Roman"/>
          <w:sz w:val="28"/>
          <w:szCs w:val="28"/>
        </w:rPr>
        <w:t>dictados con fundamento en los artículos 212, 213 y 215</w:t>
      </w:r>
      <w:r>
        <w:rPr>
          <w:rFonts w:ascii="Times New Roman" w:hAnsi="Times New Roman"/>
          <w:sz w:val="28"/>
          <w:szCs w:val="28"/>
        </w:rPr>
        <w:t xml:space="preserve"> </w:t>
      </w:r>
      <w:r w:rsidRPr="00345ECE">
        <w:rPr>
          <w:rFonts w:ascii="Times New Roman" w:hAnsi="Times New Roman"/>
          <w:sz w:val="28"/>
          <w:szCs w:val="28"/>
        </w:rPr>
        <w:t>responde a un</w:t>
      </w:r>
      <w:r w:rsidRPr="00345ECE">
        <w:rPr>
          <w:rFonts w:ascii="Times New Roman" w:hAnsi="Times New Roman"/>
          <w:b/>
          <w:bCs/>
          <w:sz w:val="28"/>
          <w:szCs w:val="28"/>
        </w:rPr>
        <w:t xml:space="preserve"> </w:t>
      </w:r>
      <w:r w:rsidRPr="00345ECE">
        <w:rPr>
          <w:rFonts w:ascii="Times New Roman" w:hAnsi="Times New Roman"/>
          <w:sz w:val="28"/>
          <w:szCs w:val="28"/>
        </w:rPr>
        <w:t xml:space="preserve">ejercicio de competencias </w:t>
      </w:r>
      <w:r w:rsidRPr="302B9A25">
        <w:rPr>
          <w:rFonts w:ascii="Times New Roman" w:hAnsi="Times New Roman"/>
          <w:i/>
          <w:iCs/>
          <w:sz w:val="28"/>
          <w:szCs w:val="28"/>
        </w:rPr>
        <w:t>de facto,</w:t>
      </w:r>
      <w:r w:rsidRPr="00345ECE">
        <w:rPr>
          <w:rFonts w:ascii="Times New Roman" w:hAnsi="Times New Roman"/>
          <w:sz w:val="28"/>
          <w:szCs w:val="28"/>
        </w:rPr>
        <w:t xml:space="preserve"> ajeno a la naturaleza jurídica (no política o de conveniencia</w:t>
      </w:r>
      <w:r w:rsidRPr="00345ECE">
        <w:rPr>
          <w:rFonts w:ascii="Times New Roman" w:hAnsi="Times New Roman"/>
          <w:sz w:val="28"/>
          <w:szCs w:val="28"/>
          <w:vertAlign w:val="superscript"/>
        </w:rPr>
        <w:footnoteReference w:id="146"/>
      </w:r>
      <w:r w:rsidRPr="00345ECE">
        <w:rPr>
          <w:rFonts w:ascii="Times New Roman" w:hAnsi="Times New Roman"/>
          <w:sz w:val="28"/>
          <w:szCs w:val="28"/>
        </w:rPr>
        <w:t>) que caracteriza el control constitucional (segunda cuestión).</w:t>
      </w:r>
    </w:p>
    <w:p w14:paraId="05D86671" w14:textId="77777777" w:rsidR="00B808B5" w:rsidRPr="00345ECE" w:rsidRDefault="00B808B5" w:rsidP="00B808B5">
      <w:pPr>
        <w:spacing w:after="0" w:line="240" w:lineRule="auto"/>
        <w:rPr>
          <w:rFonts w:ascii="Times New Roman" w:hAnsi="Times New Roman"/>
          <w:sz w:val="28"/>
          <w:szCs w:val="28"/>
        </w:rPr>
      </w:pPr>
    </w:p>
    <w:p w14:paraId="59DEB8D8" w14:textId="77777777" w:rsidR="00B808B5" w:rsidRPr="00345ECE" w:rsidRDefault="00B808B5" w:rsidP="00B808B5">
      <w:pPr>
        <w:spacing w:after="0" w:line="240" w:lineRule="auto"/>
        <w:rPr>
          <w:rFonts w:ascii="Times New Roman" w:hAnsi="Times New Roman"/>
          <w:sz w:val="28"/>
          <w:szCs w:val="28"/>
        </w:rPr>
      </w:pPr>
      <w:r w:rsidRPr="680F2AC5">
        <w:rPr>
          <w:rFonts w:ascii="Times New Roman" w:hAnsi="Times New Roman"/>
          <w:sz w:val="28"/>
          <w:szCs w:val="28"/>
        </w:rPr>
        <w:t xml:space="preserve">La facultad de suspensión provisional, según el Auto 082, nace de una interpretación sistemática que el mismo Auto no parece precisar (artículo 241.7, artículo 4, artículo 2). Aun cuando la competencia surja de una lectura sistemática  y dejando de lado que la Constitución establece expresamente la función de la Corte de “decidir definitivamente” sobre la constitucionalidad de los decretos dictados con fundamento en los artículos 212, 213 y 215, la mayoría de la Sala improvisa una competencia a partir de un argumento </w:t>
      </w:r>
      <w:r w:rsidRPr="008E1A38">
        <w:rPr>
          <w:rFonts w:ascii="Times New Roman" w:hAnsi="Times New Roman"/>
          <w:i/>
          <w:iCs/>
          <w:sz w:val="28"/>
          <w:szCs w:val="28"/>
        </w:rPr>
        <w:t xml:space="preserve">non </w:t>
      </w:r>
      <w:proofErr w:type="spellStart"/>
      <w:r w:rsidRPr="008E1A38">
        <w:rPr>
          <w:rFonts w:ascii="Times New Roman" w:hAnsi="Times New Roman"/>
          <w:i/>
          <w:iCs/>
          <w:sz w:val="28"/>
          <w:szCs w:val="28"/>
        </w:rPr>
        <w:t>sequitur</w:t>
      </w:r>
      <w:proofErr w:type="spellEnd"/>
      <w:r w:rsidRPr="680F2AC5">
        <w:rPr>
          <w:rFonts w:ascii="Times New Roman" w:hAnsi="Times New Roman"/>
          <w:sz w:val="28"/>
          <w:szCs w:val="28"/>
        </w:rPr>
        <w:t xml:space="preserve"> y en últimas de conveniencia: una cosa es el fin constitucional, desde luego perentorio y loable, de proteger la Constitución y otra diferente habilitar una competencia cautelar específica en el marco de un proceso de naturaleza judicial, cuya naturaleza es reglada para todas las autoridades judiciales. </w:t>
      </w:r>
    </w:p>
    <w:p w14:paraId="50660E5C" w14:textId="77777777" w:rsidR="00B808B5" w:rsidRPr="00345ECE" w:rsidRDefault="00B808B5" w:rsidP="00B808B5">
      <w:pPr>
        <w:spacing w:after="0" w:line="240" w:lineRule="auto"/>
        <w:rPr>
          <w:rFonts w:ascii="Times New Roman" w:hAnsi="Times New Roman"/>
          <w:sz w:val="28"/>
          <w:szCs w:val="28"/>
        </w:rPr>
      </w:pPr>
    </w:p>
    <w:p w14:paraId="7641BBBB" w14:textId="77777777" w:rsidR="00B808B5" w:rsidRPr="00345ECE" w:rsidRDefault="00B808B5" w:rsidP="00B808B5">
      <w:pPr>
        <w:spacing w:after="0" w:line="240" w:lineRule="auto"/>
        <w:rPr>
          <w:sz w:val="28"/>
          <w:szCs w:val="28"/>
        </w:rPr>
      </w:pPr>
      <w:r w:rsidRPr="00E0443C">
        <w:rPr>
          <w:rFonts w:ascii="Times New Roman" w:hAnsi="Times New Roman"/>
          <w:sz w:val="28"/>
          <w:szCs w:val="28"/>
        </w:rPr>
        <w:t xml:space="preserve">La inferencia falaz que se hace, para colegir la competencia de la Corte altera la regla de vinculación positiva al principio de legalidad, según la cual todas las </w:t>
      </w:r>
      <w:proofErr w:type="gramStart"/>
      <w:r w:rsidRPr="00E0443C">
        <w:rPr>
          <w:rFonts w:ascii="Times New Roman" w:hAnsi="Times New Roman"/>
          <w:sz w:val="28"/>
          <w:szCs w:val="28"/>
        </w:rPr>
        <w:t>autoridades públicas</w:t>
      </w:r>
      <w:proofErr w:type="gramEnd"/>
      <w:r w:rsidRPr="00E0443C">
        <w:rPr>
          <w:rFonts w:ascii="Times New Roman" w:hAnsi="Times New Roman"/>
          <w:sz w:val="28"/>
          <w:szCs w:val="28"/>
        </w:rPr>
        <w:t xml:space="preserve"> (incluidas las autoridades judiciales) y especialmente en términos procesales, tienen un marco de acción predecible bajo una habilitación previa. La mayoría en esta ocasión coligió, en contra del referido principio constitucional y el tenor literal de los artículos 214-6 y 241-7 superiores, lo contrario. En ese sentido, el riesgo a la supremacía constitucional y demás principios constitucionales tampoco se haya exhaustivamente estudiado de cara a otras medidas menos gravosas, por ejemplo, la posibilidad de activar el trámite de urgencia nacional como ya ha sido aceptado por el pleno de la Corte.</w:t>
      </w:r>
    </w:p>
    <w:p w14:paraId="52CBECBE" w14:textId="77777777" w:rsidR="00B808B5" w:rsidRPr="008E1A38" w:rsidRDefault="00B808B5" w:rsidP="00B808B5">
      <w:pPr>
        <w:spacing w:after="0" w:line="240" w:lineRule="auto"/>
        <w:rPr>
          <w:rFonts w:ascii="Times New Roman" w:hAnsi="Times New Roman"/>
        </w:rPr>
      </w:pPr>
      <w:r w:rsidRPr="00345ECE">
        <w:rPr>
          <w:rFonts w:ascii="Times New Roman" w:hAnsi="Times New Roman"/>
          <w:sz w:val="28"/>
          <w:szCs w:val="28"/>
        </w:rPr>
        <w:t xml:space="preserve"> </w:t>
      </w:r>
    </w:p>
    <w:p w14:paraId="74461FF1" w14:textId="77777777" w:rsidR="00B808B5" w:rsidRPr="00345ECE" w:rsidRDefault="00B808B5" w:rsidP="00B808B5">
      <w:pPr>
        <w:spacing w:after="0" w:line="240" w:lineRule="auto"/>
        <w:rPr>
          <w:rFonts w:ascii="Times New Roman" w:hAnsi="Times New Roman"/>
          <w:b/>
          <w:bCs/>
          <w:sz w:val="28"/>
          <w:szCs w:val="28"/>
        </w:rPr>
      </w:pPr>
      <w:r w:rsidRPr="302B9A25">
        <w:rPr>
          <w:rFonts w:ascii="Times New Roman" w:hAnsi="Times New Roman"/>
          <w:sz w:val="28"/>
          <w:szCs w:val="28"/>
        </w:rPr>
        <w:t>Es necesario recordar que, d</w:t>
      </w:r>
      <w:r w:rsidRPr="00345ECE">
        <w:rPr>
          <w:rFonts w:ascii="Times New Roman" w:hAnsi="Times New Roman"/>
          <w:sz w:val="28"/>
          <w:szCs w:val="28"/>
        </w:rPr>
        <w:t xml:space="preserve">esde su origen, el control constitucional de los decretos </w:t>
      </w:r>
      <w:r w:rsidRPr="00686E71">
        <w:rPr>
          <w:rFonts w:ascii="Times New Roman" w:hAnsi="Times New Roman"/>
          <w:sz w:val="28"/>
          <w:szCs w:val="28"/>
        </w:rPr>
        <w:t>dictados con fundamento en los artículos 212, 213 y 215</w:t>
      </w:r>
      <w:r w:rsidRPr="00345ECE">
        <w:rPr>
          <w:rFonts w:ascii="Times New Roman" w:hAnsi="Times New Roman"/>
          <w:sz w:val="28"/>
          <w:szCs w:val="28"/>
        </w:rPr>
        <w:t xml:space="preserve">, al ser posterior, ha sido objeto de críticas y conocidos reparos debido a la oportunidad del fallo y los eventuales daños que se causen en su vigencia. De hecho, atendiendo tal situación, la misma ley estatutaria previó la figura de suspensión de efectos de </w:t>
      </w:r>
      <w:r w:rsidRPr="302B9A25">
        <w:rPr>
          <w:rFonts w:ascii="Times New Roman" w:hAnsi="Times New Roman"/>
          <w:sz w:val="28"/>
          <w:szCs w:val="28"/>
        </w:rPr>
        <w:t>estos</w:t>
      </w:r>
      <w:r w:rsidRPr="00345ECE">
        <w:rPr>
          <w:rFonts w:ascii="Times New Roman" w:hAnsi="Times New Roman"/>
          <w:sz w:val="28"/>
          <w:szCs w:val="28"/>
        </w:rPr>
        <w:t xml:space="preserve"> decretos</w:t>
      </w:r>
      <w:r w:rsidRPr="00345ECE">
        <w:rPr>
          <w:rFonts w:ascii="Times New Roman" w:hAnsi="Times New Roman"/>
          <w:sz w:val="28"/>
          <w:szCs w:val="28"/>
          <w:vertAlign w:val="superscript"/>
        </w:rPr>
        <w:footnoteReference w:id="147"/>
      </w:r>
      <w:r w:rsidRPr="00345ECE">
        <w:rPr>
          <w:rFonts w:ascii="Times New Roman" w:hAnsi="Times New Roman"/>
          <w:sz w:val="28"/>
          <w:szCs w:val="28"/>
        </w:rPr>
        <w:t xml:space="preserve">. Pese a ello, en particular, a la </w:t>
      </w:r>
      <w:r w:rsidRPr="302B9A25">
        <w:rPr>
          <w:rFonts w:ascii="Times New Roman" w:hAnsi="Times New Roman"/>
          <w:i/>
          <w:iCs/>
          <w:sz w:val="28"/>
          <w:szCs w:val="28"/>
        </w:rPr>
        <w:t>tensión continua</w:t>
      </w:r>
      <w:r w:rsidRPr="00345ECE">
        <w:rPr>
          <w:rFonts w:ascii="Times New Roman" w:hAnsi="Times New Roman"/>
          <w:sz w:val="28"/>
          <w:szCs w:val="28"/>
        </w:rPr>
        <w:t xml:space="preserve"> entre la inmediatez en la adopción de las medidas y el eventual daño que se pueda causar, mientras se decide definitivamente sobre la constitucionalidad, </w:t>
      </w:r>
      <w:r w:rsidRPr="00345ECE">
        <w:rPr>
          <w:rFonts w:ascii="Times New Roman" w:hAnsi="Times New Roman"/>
          <w:b/>
          <w:bCs/>
          <w:sz w:val="28"/>
          <w:szCs w:val="28"/>
        </w:rPr>
        <w:t xml:space="preserve">la Corte con </w:t>
      </w:r>
      <w:r w:rsidRPr="302B9A25">
        <w:rPr>
          <w:rFonts w:ascii="Times New Roman" w:hAnsi="Times New Roman"/>
          <w:b/>
          <w:bCs/>
          <w:sz w:val="28"/>
          <w:szCs w:val="28"/>
        </w:rPr>
        <w:t xml:space="preserve">estricto </w:t>
      </w:r>
      <w:r w:rsidRPr="00345ECE">
        <w:rPr>
          <w:rFonts w:ascii="Times New Roman" w:hAnsi="Times New Roman"/>
          <w:b/>
          <w:bCs/>
          <w:sz w:val="28"/>
          <w:szCs w:val="28"/>
        </w:rPr>
        <w:t xml:space="preserve">apego a la Constitución y en su función de garante del Texto Superior- </w:t>
      </w:r>
      <w:r w:rsidRPr="00686E71">
        <w:rPr>
          <w:rFonts w:ascii="Times New Roman" w:hAnsi="Times New Roman"/>
          <w:b/>
          <w:bCs/>
          <w:sz w:val="28"/>
          <w:szCs w:val="28"/>
        </w:rPr>
        <w:t>descartó la validez</w:t>
      </w:r>
      <w:r w:rsidRPr="302B9A25">
        <w:rPr>
          <w:rFonts w:ascii="Times New Roman" w:hAnsi="Times New Roman"/>
          <w:b/>
          <w:bCs/>
          <w:sz w:val="28"/>
          <w:szCs w:val="28"/>
        </w:rPr>
        <w:t xml:space="preserve"> de esa figura </w:t>
      </w:r>
      <w:r w:rsidRPr="00686E71">
        <w:rPr>
          <w:rFonts w:ascii="Times New Roman" w:hAnsi="Times New Roman"/>
          <w:b/>
          <w:bCs/>
          <w:sz w:val="28"/>
          <w:szCs w:val="28"/>
        </w:rPr>
        <w:t xml:space="preserve">por contrariar el modelo </w:t>
      </w:r>
      <w:r w:rsidRPr="00686E71">
        <w:rPr>
          <w:rFonts w:ascii="Times New Roman" w:hAnsi="Times New Roman"/>
          <w:b/>
          <w:bCs/>
          <w:sz w:val="28"/>
          <w:szCs w:val="28"/>
        </w:rPr>
        <w:lastRenderedPageBreak/>
        <w:t>de control previsto por el Constituyente,</w:t>
      </w:r>
      <w:r w:rsidRPr="00345ECE">
        <w:rPr>
          <w:rFonts w:ascii="Times New Roman" w:hAnsi="Times New Roman"/>
          <w:b/>
          <w:bCs/>
          <w:sz w:val="28"/>
          <w:szCs w:val="28"/>
        </w:rPr>
        <w:t xml:space="preserve"> con efectos de cosa juzgada constitucional absoluta</w:t>
      </w:r>
      <w:r w:rsidRPr="00345ECE">
        <w:rPr>
          <w:rFonts w:ascii="Times New Roman" w:hAnsi="Times New Roman"/>
          <w:sz w:val="28"/>
          <w:szCs w:val="28"/>
        </w:rPr>
        <w:t xml:space="preserve">. </w:t>
      </w:r>
      <w:r w:rsidRPr="302B9A25">
        <w:rPr>
          <w:rFonts w:ascii="Times New Roman" w:hAnsi="Times New Roman"/>
          <w:sz w:val="28"/>
          <w:szCs w:val="28"/>
        </w:rPr>
        <w:t>C</w:t>
      </w:r>
      <w:r w:rsidRPr="00345ECE">
        <w:rPr>
          <w:rFonts w:ascii="Times New Roman" w:hAnsi="Times New Roman"/>
          <w:sz w:val="28"/>
          <w:szCs w:val="28"/>
        </w:rPr>
        <w:t xml:space="preserve">oncluir ahora lo contrario, bajo cualquier pretexto, implica </w:t>
      </w:r>
      <w:r w:rsidRPr="302B9A25">
        <w:rPr>
          <w:rFonts w:ascii="Times New Roman" w:hAnsi="Times New Roman"/>
          <w:sz w:val="28"/>
          <w:szCs w:val="28"/>
        </w:rPr>
        <w:t xml:space="preserve">como se ha explicado en este salvamento, </w:t>
      </w:r>
      <w:r w:rsidRPr="00345ECE">
        <w:rPr>
          <w:rFonts w:ascii="Times New Roman" w:hAnsi="Times New Roman"/>
          <w:sz w:val="28"/>
          <w:szCs w:val="28"/>
        </w:rPr>
        <w:t>una violación a la Constitución.</w:t>
      </w:r>
      <w:r w:rsidRPr="00345ECE">
        <w:rPr>
          <w:rFonts w:ascii="Times New Roman" w:hAnsi="Times New Roman"/>
          <w:b/>
          <w:bCs/>
          <w:sz w:val="28"/>
          <w:szCs w:val="28"/>
        </w:rPr>
        <w:t xml:space="preserve"> </w:t>
      </w:r>
    </w:p>
    <w:p w14:paraId="41446879" w14:textId="77777777" w:rsidR="00B808B5" w:rsidRPr="008E1A38" w:rsidRDefault="00B808B5" w:rsidP="00B808B5">
      <w:pPr>
        <w:spacing w:after="0" w:line="240" w:lineRule="auto"/>
        <w:rPr>
          <w:rFonts w:ascii="Times New Roman" w:hAnsi="Times New Roman"/>
        </w:rPr>
      </w:pPr>
      <w:r w:rsidRPr="00345ECE">
        <w:rPr>
          <w:rFonts w:ascii="Times New Roman" w:hAnsi="Times New Roman"/>
          <w:sz w:val="28"/>
          <w:szCs w:val="28"/>
        </w:rPr>
        <w:t xml:space="preserve"> </w:t>
      </w:r>
    </w:p>
    <w:p w14:paraId="7868B09C"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 xml:space="preserve"> </w:t>
      </w:r>
      <w:r w:rsidRPr="04D020F8">
        <w:rPr>
          <w:rFonts w:ascii="Times New Roman" w:hAnsi="Times New Roman"/>
          <w:sz w:val="28"/>
          <w:szCs w:val="28"/>
        </w:rPr>
        <w:t>L</w:t>
      </w:r>
      <w:r w:rsidRPr="00345ECE">
        <w:rPr>
          <w:rFonts w:ascii="Times New Roman" w:hAnsi="Times New Roman"/>
          <w:sz w:val="28"/>
          <w:szCs w:val="28"/>
        </w:rPr>
        <w:t xml:space="preserve">a ausencia de una facultad de suspensión provisional fue entendida </w:t>
      </w:r>
      <w:r w:rsidRPr="1D4DB5FA">
        <w:rPr>
          <w:rFonts w:ascii="Times New Roman" w:hAnsi="Times New Roman"/>
          <w:sz w:val="28"/>
          <w:szCs w:val="28"/>
        </w:rPr>
        <w:t xml:space="preserve">en 1994 </w:t>
      </w:r>
      <w:r w:rsidRPr="00345ECE">
        <w:rPr>
          <w:rFonts w:ascii="Times New Roman" w:hAnsi="Times New Roman"/>
          <w:sz w:val="28"/>
          <w:szCs w:val="28"/>
        </w:rPr>
        <w:t xml:space="preserve">como un </w:t>
      </w:r>
      <w:r w:rsidRPr="00345ECE">
        <w:rPr>
          <w:rFonts w:ascii="Times New Roman" w:hAnsi="Times New Roman"/>
          <w:i/>
          <w:iCs/>
          <w:sz w:val="28"/>
          <w:szCs w:val="28"/>
        </w:rPr>
        <w:t>límite constitucional deliberado</w:t>
      </w:r>
      <w:r w:rsidRPr="00345ECE">
        <w:rPr>
          <w:rFonts w:ascii="Times New Roman" w:hAnsi="Times New Roman"/>
          <w:sz w:val="28"/>
          <w:szCs w:val="28"/>
        </w:rPr>
        <w:t xml:space="preserve">, conforme al principio de legalidad en el ejercicio de la función pública -que incluye la función judicial- conforme al cual ninguna autoridad puede atribuirse competencias no previstas expresamente por la Constitución. Así, posibles debilidades del diseño institucional del control automático de los decretos </w:t>
      </w:r>
      <w:r w:rsidRPr="00686E71">
        <w:rPr>
          <w:rFonts w:ascii="Times New Roman" w:hAnsi="Times New Roman"/>
          <w:sz w:val="28"/>
          <w:szCs w:val="28"/>
        </w:rPr>
        <w:t>dictados con fundamento en los artículos 212, 213 y 215</w:t>
      </w:r>
      <w:r w:rsidRPr="00345ECE">
        <w:rPr>
          <w:rFonts w:ascii="Times New Roman" w:hAnsi="Times New Roman"/>
          <w:sz w:val="28"/>
          <w:szCs w:val="28"/>
        </w:rPr>
        <w:t xml:space="preserve"> no </w:t>
      </w:r>
      <w:r w:rsidRPr="1FD14984">
        <w:rPr>
          <w:rFonts w:ascii="Times New Roman" w:hAnsi="Times New Roman"/>
          <w:sz w:val="28"/>
          <w:szCs w:val="28"/>
        </w:rPr>
        <w:t>pueden habilitar</w:t>
      </w:r>
      <w:r w:rsidRPr="00345ECE">
        <w:rPr>
          <w:rFonts w:ascii="Times New Roman" w:hAnsi="Times New Roman"/>
          <w:sz w:val="28"/>
          <w:szCs w:val="28"/>
        </w:rPr>
        <w:t xml:space="preserve"> al juez constitucional para redefinir el reparto competencial ni para expandir sus atribuciones</w:t>
      </w:r>
      <w:r>
        <w:rPr>
          <w:rFonts w:ascii="Times New Roman" w:hAnsi="Times New Roman"/>
          <w:sz w:val="28"/>
          <w:szCs w:val="28"/>
        </w:rPr>
        <w:t xml:space="preserve">, </w:t>
      </w:r>
      <w:r w:rsidRPr="00345ECE">
        <w:rPr>
          <w:rFonts w:ascii="Times New Roman" w:hAnsi="Times New Roman"/>
          <w:sz w:val="28"/>
          <w:szCs w:val="28"/>
        </w:rPr>
        <w:t xml:space="preserve">pues ello implicaría asumir una función de estructura y diseño que corresponde al Constituyente. </w:t>
      </w:r>
    </w:p>
    <w:p w14:paraId="634C5BE3" w14:textId="77777777" w:rsidR="00B808B5" w:rsidRPr="008E1A38" w:rsidRDefault="00B808B5" w:rsidP="00B808B5">
      <w:pPr>
        <w:spacing w:after="0" w:line="240" w:lineRule="auto"/>
        <w:rPr>
          <w:rFonts w:ascii="Times New Roman" w:hAnsi="Times New Roman"/>
        </w:rPr>
      </w:pPr>
      <w:r w:rsidRPr="6FA30383">
        <w:rPr>
          <w:rFonts w:ascii="Times New Roman" w:hAnsi="Times New Roman"/>
          <w:sz w:val="28"/>
          <w:szCs w:val="28"/>
        </w:rPr>
        <w:t xml:space="preserve"> </w:t>
      </w:r>
    </w:p>
    <w:p w14:paraId="036E0031" w14:textId="77777777" w:rsidR="00B808B5" w:rsidRPr="00345ECE" w:rsidRDefault="00B808B5" w:rsidP="00B808B5">
      <w:pPr>
        <w:spacing w:after="0" w:line="240" w:lineRule="auto"/>
        <w:rPr>
          <w:rFonts w:ascii="Times New Roman" w:hAnsi="Times New Roman"/>
          <w:b/>
          <w:bCs/>
          <w:sz w:val="28"/>
          <w:szCs w:val="28"/>
        </w:rPr>
      </w:pPr>
      <w:r w:rsidRPr="6FA30383">
        <w:rPr>
          <w:rFonts w:ascii="Times New Roman" w:hAnsi="Times New Roman"/>
          <w:sz w:val="28"/>
          <w:szCs w:val="28"/>
        </w:rPr>
        <w:t xml:space="preserve">La Sentencia C-179 de 1994 no fijó simplemente una posición jurisprudencial sobre la suspensión provisional, sino que delimitó negativamente el alcance de la </w:t>
      </w:r>
      <w:r w:rsidRPr="6FA30383">
        <w:rPr>
          <w:rFonts w:ascii="Times New Roman" w:hAnsi="Times New Roman"/>
          <w:b/>
          <w:bCs/>
          <w:sz w:val="28"/>
          <w:szCs w:val="28"/>
        </w:rPr>
        <w:t>competencia de la Corte Constitucional</w:t>
      </w:r>
      <w:r w:rsidRPr="6FA30383">
        <w:rPr>
          <w:rFonts w:ascii="Times New Roman" w:hAnsi="Times New Roman"/>
          <w:sz w:val="28"/>
          <w:szCs w:val="28"/>
        </w:rPr>
        <w:t xml:space="preserve"> en materia de estados de excepción, al declarar inexequibles disposiciones estatutarias que pretendían introducir una potestad cautelar no prevista en la Constitución. Esa definición cerró el debate constitucional sobre la posibilidad de suspensión provisional en control automático, no por razones circunstanciales, sino por razones orgánicas y competenciales.  </w:t>
      </w:r>
      <w:r w:rsidRPr="6FA30383">
        <w:rPr>
          <w:rFonts w:ascii="Times New Roman" w:hAnsi="Times New Roman"/>
          <w:b/>
          <w:bCs/>
          <w:sz w:val="28"/>
          <w:szCs w:val="28"/>
        </w:rPr>
        <w:t>Si así no fuera, la Corte, como lo afirmó ella misma en la Sentencia C-427 de 1996, por virtud de los imperativos que emanan de sus fallos de inexequibilidad, se convertiría en una pequeña asamblea nacional constituyente, en función permanente.</w:t>
      </w:r>
    </w:p>
    <w:p w14:paraId="2E09FA6B" w14:textId="77777777" w:rsidR="00B808B5" w:rsidRPr="008E1A38" w:rsidRDefault="00B808B5" w:rsidP="00B808B5">
      <w:pPr>
        <w:spacing w:after="0" w:line="240" w:lineRule="auto"/>
        <w:rPr>
          <w:rFonts w:ascii="Times New Roman" w:hAnsi="Times New Roman"/>
        </w:rPr>
      </w:pPr>
      <w:r w:rsidRPr="00345ECE">
        <w:rPr>
          <w:rFonts w:ascii="Times New Roman" w:hAnsi="Times New Roman"/>
          <w:sz w:val="28"/>
          <w:szCs w:val="28"/>
        </w:rPr>
        <w:t xml:space="preserve"> </w:t>
      </w:r>
    </w:p>
    <w:p w14:paraId="4FD8B190"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Es necesario recordar que las competencias judiciales no son contingentes</w:t>
      </w:r>
      <w:r w:rsidRPr="193EDF1C">
        <w:rPr>
          <w:rFonts w:ascii="Times New Roman" w:hAnsi="Times New Roman"/>
          <w:sz w:val="28"/>
          <w:szCs w:val="28"/>
        </w:rPr>
        <w:t>,</w:t>
      </w:r>
      <w:r w:rsidRPr="00345ECE">
        <w:rPr>
          <w:rFonts w:ascii="Times New Roman" w:hAnsi="Times New Roman"/>
          <w:sz w:val="28"/>
          <w:szCs w:val="28"/>
        </w:rPr>
        <w:t xml:space="preserve"> </w:t>
      </w:r>
      <w:r w:rsidRPr="727E3C27">
        <w:rPr>
          <w:rFonts w:ascii="Times New Roman" w:hAnsi="Times New Roman"/>
          <w:sz w:val="28"/>
          <w:szCs w:val="28"/>
        </w:rPr>
        <w:t>coyunturales</w:t>
      </w:r>
      <w:r w:rsidRPr="789D4D58">
        <w:rPr>
          <w:rFonts w:ascii="Times New Roman" w:hAnsi="Times New Roman"/>
          <w:sz w:val="28"/>
          <w:szCs w:val="28"/>
        </w:rPr>
        <w:t xml:space="preserve"> </w:t>
      </w:r>
      <w:r w:rsidRPr="00345ECE">
        <w:rPr>
          <w:rFonts w:ascii="Times New Roman" w:hAnsi="Times New Roman"/>
          <w:sz w:val="28"/>
          <w:szCs w:val="28"/>
        </w:rPr>
        <w:t xml:space="preserve">ni contextuales: son normativas, de fuente constitucional o legal, y no pueden expandirse por apreciaciones subjetivas del intérprete sobre la realidad política o institucional. El juez no puede atribuirse potestades por razones de oportunidad, conveniencia o apreciaciones sociopolíticas del contexto. Su función no es reconfigurar el reparto del poder público en función de contingencias coyunturales, sino aplicar el marco competencial vigente. </w:t>
      </w:r>
    </w:p>
    <w:p w14:paraId="4720C138" w14:textId="77777777" w:rsidR="00B808B5" w:rsidRPr="008E1A38" w:rsidRDefault="00B808B5" w:rsidP="00B808B5">
      <w:pPr>
        <w:spacing w:after="0" w:line="240" w:lineRule="auto"/>
        <w:rPr>
          <w:rFonts w:ascii="Times New Roman" w:hAnsi="Times New Roman"/>
        </w:rPr>
      </w:pPr>
      <w:r w:rsidRPr="00345ECE">
        <w:rPr>
          <w:rFonts w:ascii="Times New Roman" w:hAnsi="Times New Roman"/>
          <w:sz w:val="28"/>
          <w:szCs w:val="28"/>
        </w:rPr>
        <w:t xml:space="preserve"> </w:t>
      </w:r>
    </w:p>
    <w:p w14:paraId="4EA16E5D"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 xml:space="preserve">Así pues, la violación de la cosa juzgada constitucional trae </w:t>
      </w:r>
      <w:r w:rsidRPr="00345ECE">
        <w:rPr>
          <w:rFonts w:ascii="Times New Roman" w:hAnsi="Times New Roman"/>
          <w:i/>
          <w:iCs/>
          <w:sz w:val="28"/>
          <w:szCs w:val="28"/>
        </w:rPr>
        <w:t>de suyo</w:t>
      </w:r>
      <w:r w:rsidRPr="00345ECE">
        <w:rPr>
          <w:rFonts w:ascii="Times New Roman" w:hAnsi="Times New Roman"/>
          <w:sz w:val="28"/>
          <w:szCs w:val="28"/>
        </w:rPr>
        <w:t xml:space="preserve">, la transgresión de las </w:t>
      </w:r>
      <w:r w:rsidRPr="00345ECE">
        <w:rPr>
          <w:rFonts w:ascii="Times New Roman" w:hAnsi="Times New Roman"/>
          <w:b/>
          <w:bCs/>
          <w:sz w:val="28"/>
          <w:szCs w:val="28"/>
        </w:rPr>
        <w:t>competencias de la Corte</w:t>
      </w:r>
      <w:r w:rsidRPr="00345ECE">
        <w:rPr>
          <w:rFonts w:ascii="Times New Roman" w:hAnsi="Times New Roman"/>
          <w:sz w:val="28"/>
          <w:szCs w:val="28"/>
        </w:rPr>
        <w:t xml:space="preserve">. La Sentencia C-179 de 1994 afirmó a partir del artículo 241 superior, </w:t>
      </w:r>
      <w:r w:rsidRPr="19C55890">
        <w:rPr>
          <w:rFonts w:ascii="Times New Roman" w:hAnsi="Times New Roman"/>
          <w:sz w:val="28"/>
          <w:szCs w:val="28"/>
        </w:rPr>
        <w:t>que el</w:t>
      </w:r>
      <w:r w:rsidRPr="00345ECE">
        <w:rPr>
          <w:rFonts w:ascii="Times New Roman" w:hAnsi="Times New Roman"/>
          <w:sz w:val="28"/>
          <w:szCs w:val="28"/>
        </w:rPr>
        <w:t xml:space="preserve"> ejercicio de funciones por parte de este tribunal constitucional </w:t>
      </w:r>
      <w:r w:rsidRPr="000D1980">
        <w:rPr>
          <w:rFonts w:ascii="Times New Roman" w:hAnsi="Times New Roman"/>
          <w:sz w:val="28"/>
          <w:szCs w:val="28"/>
        </w:rPr>
        <w:t>debía darse en los términos allí previstos</w:t>
      </w:r>
      <w:r w:rsidRPr="00345ECE">
        <w:rPr>
          <w:rFonts w:ascii="Times New Roman" w:hAnsi="Times New Roman"/>
          <w:sz w:val="28"/>
          <w:szCs w:val="28"/>
        </w:rPr>
        <w:t xml:space="preserve"> por el Constituyente, aun cuando se invoquen razones de eficacia, conveniencia o protección de la supremacía constitucional. La exclusión de la suspensión provisional de estos decretos es una consecuencia directa de entender que </w:t>
      </w:r>
      <w:r w:rsidRPr="000D1980">
        <w:rPr>
          <w:rFonts w:ascii="Times New Roman" w:hAnsi="Times New Roman"/>
          <w:sz w:val="28"/>
          <w:szCs w:val="28"/>
        </w:rPr>
        <w:t>la Carta Política dispone expresamente que</w:t>
      </w:r>
      <w:r w:rsidRPr="00345ECE">
        <w:rPr>
          <w:rFonts w:ascii="Times New Roman" w:hAnsi="Times New Roman"/>
          <w:sz w:val="28"/>
          <w:szCs w:val="28"/>
        </w:rPr>
        <w:t xml:space="preserve"> el control debe ser </w:t>
      </w:r>
      <w:r w:rsidRPr="00345ECE">
        <w:rPr>
          <w:rFonts w:ascii="Times New Roman" w:hAnsi="Times New Roman"/>
          <w:i/>
          <w:iCs/>
          <w:sz w:val="28"/>
          <w:szCs w:val="28"/>
        </w:rPr>
        <w:t>definitivo</w:t>
      </w:r>
      <w:r w:rsidRPr="00345ECE">
        <w:rPr>
          <w:rFonts w:ascii="Times New Roman" w:hAnsi="Times New Roman"/>
          <w:sz w:val="28"/>
          <w:szCs w:val="28"/>
        </w:rPr>
        <w:t xml:space="preserve"> y que la Corte no puede crear herramientas intermedias no previstas por la Constitución. </w:t>
      </w:r>
    </w:p>
    <w:p w14:paraId="2213CAA4" w14:textId="77777777" w:rsidR="00B808B5" w:rsidRPr="008E1A38" w:rsidRDefault="00B808B5" w:rsidP="00B808B5">
      <w:pPr>
        <w:spacing w:after="0" w:line="240" w:lineRule="auto"/>
        <w:rPr>
          <w:rFonts w:ascii="Times New Roman" w:hAnsi="Times New Roman"/>
        </w:rPr>
      </w:pPr>
      <w:r w:rsidRPr="00345ECE">
        <w:rPr>
          <w:rFonts w:ascii="Times New Roman" w:hAnsi="Times New Roman"/>
          <w:sz w:val="28"/>
          <w:szCs w:val="28"/>
        </w:rPr>
        <w:t xml:space="preserve"> </w:t>
      </w:r>
    </w:p>
    <w:p w14:paraId="6C51BBC9"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En este contexto, la habilitación de la figura de una suspensión provisional altera gravemente la arquitectura institucional al menos en los siguientes sentidos: (i) transforma el control automático en un control bifásico (cautelar y definitivo) no previsto en la Constitución; (</w:t>
      </w:r>
      <w:proofErr w:type="spellStart"/>
      <w:r w:rsidRPr="00345ECE">
        <w:rPr>
          <w:rFonts w:ascii="Times New Roman" w:hAnsi="Times New Roman"/>
          <w:sz w:val="28"/>
          <w:szCs w:val="28"/>
        </w:rPr>
        <w:t>ii</w:t>
      </w:r>
      <w:proofErr w:type="spellEnd"/>
      <w:r w:rsidRPr="00345ECE">
        <w:rPr>
          <w:rFonts w:ascii="Times New Roman" w:hAnsi="Times New Roman"/>
          <w:sz w:val="28"/>
          <w:szCs w:val="28"/>
        </w:rPr>
        <w:t>) convierte a la Corte en un actor con capacidad de neutralizar temporalmente la respuesta del Ejecutivo, sin haber agotado el juicio de constitucionalidad; y (</w:t>
      </w:r>
      <w:proofErr w:type="spellStart"/>
      <w:r w:rsidRPr="00345ECE">
        <w:rPr>
          <w:rFonts w:ascii="Times New Roman" w:hAnsi="Times New Roman"/>
          <w:sz w:val="28"/>
          <w:szCs w:val="28"/>
        </w:rPr>
        <w:t>iii</w:t>
      </w:r>
      <w:proofErr w:type="spellEnd"/>
      <w:r w:rsidRPr="00345ECE">
        <w:rPr>
          <w:rFonts w:ascii="Times New Roman" w:hAnsi="Times New Roman"/>
          <w:sz w:val="28"/>
          <w:szCs w:val="28"/>
        </w:rPr>
        <w:t xml:space="preserve">) desdibuja la frontera entre control judicial y dirección </w:t>
      </w:r>
      <w:r w:rsidRPr="00345ECE">
        <w:rPr>
          <w:rFonts w:ascii="Times New Roman" w:hAnsi="Times New Roman"/>
          <w:i/>
          <w:iCs/>
          <w:sz w:val="28"/>
          <w:szCs w:val="28"/>
        </w:rPr>
        <w:t>política</w:t>
      </w:r>
      <w:r w:rsidRPr="00345ECE">
        <w:rPr>
          <w:rFonts w:ascii="Times New Roman" w:hAnsi="Times New Roman"/>
          <w:sz w:val="28"/>
          <w:szCs w:val="28"/>
        </w:rPr>
        <w:t xml:space="preserve"> de la emergencia. </w:t>
      </w:r>
    </w:p>
    <w:p w14:paraId="169DEF6E" w14:textId="77777777" w:rsidR="00B808B5" w:rsidRPr="008E1A38" w:rsidRDefault="00B808B5" w:rsidP="00B808B5">
      <w:pPr>
        <w:spacing w:after="0" w:line="240" w:lineRule="auto"/>
        <w:rPr>
          <w:rFonts w:ascii="Times New Roman" w:hAnsi="Times New Roman"/>
        </w:rPr>
      </w:pPr>
      <w:r w:rsidRPr="00345ECE">
        <w:rPr>
          <w:rFonts w:ascii="Times New Roman" w:hAnsi="Times New Roman"/>
          <w:sz w:val="28"/>
          <w:szCs w:val="28"/>
        </w:rPr>
        <w:t xml:space="preserve"> </w:t>
      </w:r>
    </w:p>
    <w:p w14:paraId="43F70788"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lastRenderedPageBreak/>
        <w:t xml:space="preserve">Esta alteración resulta problemática desde la separación de poderes porque la Constitución no asignó a la Corte la función de evaluar en tiempo real la </w:t>
      </w:r>
      <w:r w:rsidRPr="302B9A25">
        <w:rPr>
          <w:rFonts w:ascii="Times New Roman" w:hAnsi="Times New Roman"/>
          <w:i/>
          <w:iCs/>
          <w:sz w:val="28"/>
          <w:szCs w:val="28"/>
        </w:rPr>
        <w:t>oportunidad, conveniencia o necesidad</w:t>
      </w:r>
      <w:r w:rsidRPr="00345ECE">
        <w:rPr>
          <w:rFonts w:ascii="Times New Roman" w:hAnsi="Times New Roman"/>
          <w:sz w:val="28"/>
          <w:szCs w:val="28"/>
        </w:rPr>
        <w:t xml:space="preserve"> de declarar un estado de excepción, ni de modular preventivamente el ejercicio de las facultades extraordinarias</w:t>
      </w:r>
      <w:r w:rsidRPr="00345ECE">
        <w:rPr>
          <w:rFonts w:ascii="Times New Roman" w:hAnsi="Times New Roman"/>
          <w:sz w:val="28"/>
          <w:szCs w:val="28"/>
          <w:vertAlign w:val="superscript"/>
        </w:rPr>
        <w:footnoteReference w:id="148"/>
      </w:r>
      <w:r w:rsidRPr="00345ECE">
        <w:rPr>
          <w:rFonts w:ascii="Times New Roman" w:hAnsi="Times New Roman"/>
          <w:sz w:val="28"/>
          <w:szCs w:val="28"/>
        </w:rPr>
        <w:t xml:space="preserve">. Su rol es estrictamente jurisdiccional y se concreta en la verificación de la compatibilidad constitucional de las medidas adoptadas, mediante un pronunciamiento </w:t>
      </w:r>
      <w:r w:rsidRPr="302B9A25">
        <w:rPr>
          <w:rFonts w:ascii="Times New Roman" w:hAnsi="Times New Roman"/>
          <w:i/>
          <w:iCs/>
          <w:sz w:val="28"/>
          <w:szCs w:val="28"/>
        </w:rPr>
        <w:t>definitivo</w:t>
      </w:r>
      <w:r w:rsidRPr="00345ECE">
        <w:rPr>
          <w:rFonts w:ascii="Times New Roman" w:hAnsi="Times New Roman"/>
          <w:sz w:val="28"/>
          <w:szCs w:val="28"/>
        </w:rPr>
        <w:t xml:space="preserve"> que respete el equilibrio institucional entre los poderes públicos. </w:t>
      </w:r>
    </w:p>
    <w:p w14:paraId="76E8CB90" w14:textId="77777777" w:rsidR="00B808B5" w:rsidRPr="008E1A38" w:rsidRDefault="00B808B5" w:rsidP="00B808B5">
      <w:pPr>
        <w:spacing w:after="0" w:line="240" w:lineRule="auto"/>
        <w:rPr>
          <w:rFonts w:ascii="Times New Roman" w:hAnsi="Times New Roman"/>
        </w:rPr>
      </w:pPr>
      <w:r w:rsidRPr="00345ECE">
        <w:rPr>
          <w:rFonts w:ascii="Times New Roman" w:hAnsi="Times New Roman"/>
          <w:sz w:val="28"/>
          <w:szCs w:val="28"/>
        </w:rPr>
        <w:t xml:space="preserve"> </w:t>
      </w:r>
    </w:p>
    <w:p w14:paraId="5BD64760"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La suspensión provisional del decreto declarativo de la emergencia, adoptada por la mayoría, rompió ese equilibrio al introducir un estadio de control previo que no fue previsto por el Constituyente y desplazó,</w:t>
      </w:r>
      <w:r w:rsidRPr="00345ECE">
        <w:rPr>
          <w:rFonts w:ascii="Times New Roman" w:hAnsi="Times New Roman"/>
          <w:i/>
          <w:iCs/>
          <w:sz w:val="28"/>
          <w:szCs w:val="28"/>
        </w:rPr>
        <w:t xml:space="preserve"> de facto</w:t>
      </w:r>
      <w:r w:rsidRPr="00345ECE">
        <w:rPr>
          <w:rFonts w:ascii="Times New Roman" w:hAnsi="Times New Roman"/>
          <w:sz w:val="28"/>
          <w:szCs w:val="28"/>
        </w:rPr>
        <w:t xml:space="preserve">, el control político y democrático a cargo del Congreso de la República. La Corte, en este escenario, no estaba llamada a administrar la crisis ni a asumir riesgos de gobierno, sino a ejercer un </w:t>
      </w:r>
      <w:r w:rsidRPr="00345ECE">
        <w:rPr>
          <w:rFonts w:ascii="Times New Roman" w:hAnsi="Times New Roman"/>
          <w:i/>
          <w:iCs/>
          <w:sz w:val="28"/>
          <w:szCs w:val="28"/>
        </w:rPr>
        <w:t>control eminentemente jurídico</w:t>
      </w:r>
      <w:r w:rsidRPr="00345ECE">
        <w:rPr>
          <w:rFonts w:ascii="Times New Roman" w:hAnsi="Times New Roman"/>
          <w:sz w:val="28"/>
          <w:szCs w:val="28"/>
        </w:rPr>
        <w:t xml:space="preserve"> que preserve la supremacía de la Constitución sin sustituir las funciones propias de otras ramas del poder público. Como </w:t>
      </w:r>
      <w:r>
        <w:rPr>
          <w:rFonts w:ascii="Times New Roman" w:hAnsi="Times New Roman"/>
          <w:sz w:val="28"/>
          <w:szCs w:val="28"/>
        </w:rPr>
        <w:t>ya se mencionó</w:t>
      </w:r>
      <w:r w:rsidRPr="00345ECE">
        <w:rPr>
          <w:rFonts w:ascii="Times New Roman" w:hAnsi="Times New Roman"/>
          <w:sz w:val="28"/>
          <w:szCs w:val="28"/>
        </w:rPr>
        <w:t>, este tipo de control, que en últimas genera una suerte de coadministración de la emergencia, introduce a la Corte en el debate político y la aleja de su función jurisdiccional.</w:t>
      </w:r>
    </w:p>
    <w:p w14:paraId="467D15A7" w14:textId="77777777" w:rsidR="00B808B5" w:rsidRPr="00345ECE" w:rsidRDefault="00B808B5" w:rsidP="00B808B5">
      <w:pPr>
        <w:spacing w:after="0" w:line="240" w:lineRule="auto"/>
        <w:rPr>
          <w:rFonts w:ascii="Times New Roman" w:hAnsi="Times New Roman"/>
          <w:sz w:val="28"/>
          <w:szCs w:val="28"/>
        </w:rPr>
      </w:pPr>
    </w:p>
    <w:p w14:paraId="47B47119" w14:textId="77777777" w:rsidR="00B808B5" w:rsidRPr="00345ECE" w:rsidRDefault="00B808B5" w:rsidP="00B808B5">
      <w:pPr>
        <w:spacing w:after="0" w:line="240" w:lineRule="auto"/>
        <w:rPr>
          <w:rFonts w:ascii="Times New Roman" w:hAnsi="Times New Roman"/>
          <w:i/>
          <w:sz w:val="28"/>
          <w:szCs w:val="28"/>
        </w:rPr>
      </w:pPr>
      <w:r w:rsidRPr="00345ECE">
        <w:rPr>
          <w:rFonts w:ascii="Times New Roman" w:hAnsi="Times New Roman"/>
          <w:i/>
          <w:sz w:val="28"/>
          <w:szCs w:val="28"/>
        </w:rPr>
        <w:t>2.2 La “suspensión provisional” en estados de excepción y el artificio interpretativo para atribuir una competencia inexistente</w:t>
      </w:r>
    </w:p>
    <w:p w14:paraId="7063A638" w14:textId="77777777" w:rsidR="00B808B5" w:rsidRPr="00345ECE" w:rsidRDefault="00B808B5" w:rsidP="00B808B5">
      <w:pPr>
        <w:spacing w:after="0" w:line="240" w:lineRule="auto"/>
        <w:rPr>
          <w:rFonts w:ascii="Times New Roman" w:hAnsi="Times New Roman"/>
          <w:sz w:val="28"/>
          <w:szCs w:val="28"/>
        </w:rPr>
      </w:pPr>
    </w:p>
    <w:p w14:paraId="39EC9FE4" w14:textId="77777777" w:rsidR="00B808B5" w:rsidRPr="008E1A38" w:rsidRDefault="00B808B5" w:rsidP="00B808B5">
      <w:pPr>
        <w:spacing w:after="0" w:line="240" w:lineRule="auto"/>
        <w:rPr>
          <w:rFonts w:ascii="Times New Roman" w:hAnsi="Times New Roman"/>
        </w:rPr>
      </w:pPr>
      <w:r w:rsidRPr="00345ECE">
        <w:rPr>
          <w:rFonts w:ascii="Times New Roman" w:hAnsi="Times New Roman"/>
          <w:sz w:val="28"/>
          <w:szCs w:val="28"/>
        </w:rPr>
        <w:t xml:space="preserve">La Constitución atribuyó a la Corte un control </w:t>
      </w:r>
      <w:r w:rsidRPr="00345ECE">
        <w:rPr>
          <w:rFonts w:ascii="Times New Roman" w:hAnsi="Times New Roman"/>
          <w:i/>
          <w:iCs/>
          <w:sz w:val="28"/>
          <w:szCs w:val="28"/>
        </w:rPr>
        <w:t>automático y definitivo</w:t>
      </w:r>
      <w:r w:rsidRPr="00345ECE">
        <w:rPr>
          <w:rFonts w:ascii="Times New Roman" w:hAnsi="Times New Roman"/>
          <w:sz w:val="28"/>
          <w:szCs w:val="28"/>
        </w:rPr>
        <w:t xml:space="preserve"> sobre los decretos legislativos de estados de excepción; por ello, en ningún escenario existe competencia para </w:t>
      </w:r>
      <w:r w:rsidRPr="56AF9058">
        <w:rPr>
          <w:rFonts w:ascii="Times New Roman" w:hAnsi="Times New Roman"/>
          <w:sz w:val="28"/>
          <w:szCs w:val="28"/>
        </w:rPr>
        <w:t>suspenderlos</w:t>
      </w:r>
      <w:r w:rsidRPr="00345ECE">
        <w:rPr>
          <w:rFonts w:ascii="Times New Roman" w:hAnsi="Times New Roman"/>
          <w:sz w:val="28"/>
          <w:szCs w:val="28"/>
        </w:rPr>
        <w:t xml:space="preserve"> provisionalmente. La Sentencia C-179 de 1994 expulsó expresamente del ordenamiento jurídico, con efectos de cosa juzgada constitucional absoluta, los intentos del legislador estatutario por introducir esa figura, por considerarla incompatible con la Constitución.</w:t>
      </w:r>
    </w:p>
    <w:p w14:paraId="45BEB6E2" w14:textId="77777777" w:rsidR="00B808B5" w:rsidRPr="00345ECE" w:rsidRDefault="00B808B5" w:rsidP="00B808B5">
      <w:pPr>
        <w:spacing w:after="0" w:line="240" w:lineRule="auto"/>
        <w:rPr>
          <w:rFonts w:ascii="Times New Roman" w:hAnsi="Times New Roman"/>
          <w:sz w:val="28"/>
          <w:szCs w:val="28"/>
        </w:rPr>
      </w:pPr>
    </w:p>
    <w:p w14:paraId="407AD9C3" w14:textId="77777777" w:rsidR="00B808B5" w:rsidRPr="008E1A38" w:rsidRDefault="00B808B5" w:rsidP="00B808B5">
      <w:pPr>
        <w:spacing w:after="0" w:line="240" w:lineRule="auto"/>
        <w:rPr>
          <w:rFonts w:ascii="Times New Roman" w:hAnsi="Times New Roman"/>
        </w:rPr>
      </w:pPr>
      <w:r w:rsidRPr="00345ECE">
        <w:rPr>
          <w:rFonts w:ascii="Times New Roman" w:hAnsi="Times New Roman"/>
          <w:sz w:val="28"/>
          <w:szCs w:val="28"/>
        </w:rPr>
        <w:t xml:space="preserve">Así pues, la Sala no podía -vía interpretación- extender la prohibición constitucional sentada por la misma Corte con efectos de cosa juzgada constitucional. Por la fuerza de la cosa juzgada constitucional absoluta (conformada no solo por el resolutivo sino por la </w:t>
      </w:r>
      <w:r w:rsidRPr="00345ECE">
        <w:rPr>
          <w:rFonts w:ascii="Times New Roman" w:hAnsi="Times New Roman"/>
          <w:i/>
          <w:sz w:val="28"/>
          <w:szCs w:val="28"/>
        </w:rPr>
        <w:t xml:space="preserve">ratio </w:t>
      </w:r>
      <w:proofErr w:type="spellStart"/>
      <w:r w:rsidRPr="00345ECE">
        <w:rPr>
          <w:rFonts w:ascii="Times New Roman" w:hAnsi="Times New Roman"/>
          <w:i/>
          <w:sz w:val="28"/>
          <w:szCs w:val="28"/>
        </w:rPr>
        <w:t>decidendi</w:t>
      </w:r>
      <w:proofErr w:type="spellEnd"/>
      <w:r w:rsidRPr="00345ECE">
        <w:rPr>
          <w:rFonts w:ascii="Times New Roman" w:hAnsi="Times New Roman"/>
          <w:sz w:val="28"/>
          <w:szCs w:val="28"/>
        </w:rPr>
        <w:t xml:space="preserve">), la Sentencia C-179 de 1994 ni siquiera validó tocar los efectos, menos aún la Sala Plena podría extender, mediante un auto, una facultad para suspender la integralidad del decreto declaratorio y por esta línea los decretos de desarrollo. </w:t>
      </w:r>
    </w:p>
    <w:p w14:paraId="4400E9A1" w14:textId="77777777" w:rsidR="00B808B5" w:rsidRDefault="00B808B5" w:rsidP="00B808B5">
      <w:pPr>
        <w:spacing w:after="0" w:line="240" w:lineRule="auto"/>
        <w:rPr>
          <w:rFonts w:ascii="Times New Roman" w:hAnsi="Times New Roman"/>
          <w:sz w:val="28"/>
          <w:szCs w:val="28"/>
        </w:rPr>
      </w:pPr>
    </w:p>
    <w:p w14:paraId="720F8C84" w14:textId="77777777" w:rsidR="00B808B5" w:rsidRPr="008E1A38" w:rsidRDefault="00B808B5" w:rsidP="00B808B5">
      <w:pPr>
        <w:spacing w:after="0" w:line="240" w:lineRule="auto"/>
        <w:rPr>
          <w:rFonts w:ascii="Times New Roman" w:hAnsi="Times New Roman"/>
        </w:rPr>
      </w:pPr>
      <w:r w:rsidRPr="00345ECE">
        <w:rPr>
          <w:rFonts w:ascii="Times New Roman" w:hAnsi="Times New Roman"/>
          <w:sz w:val="28"/>
          <w:szCs w:val="28"/>
        </w:rPr>
        <w:t xml:space="preserve">Sostener que, como lo único que se declaró inconstitucional fue la prohibición de suspender los efectos de un decreto expedido durante los estados de excepción, entonces se habilita la actuación de la Sala en esta oportunidad, además de ser un peligroso juego semántico, selectivo y parcial de las decisiones de la Corte Constitucional, </w:t>
      </w:r>
      <w:proofErr w:type="spellStart"/>
      <w:r w:rsidRPr="00345ECE">
        <w:rPr>
          <w:rFonts w:ascii="Times New Roman" w:hAnsi="Times New Roman"/>
          <w:sz w:val="28"/>
          <w:szCs w:val="28"/>
        </w:rPr>
        <w:t>auto</w:t>
      </w:r>
      <w:r w:rsidRPr="60BB1AF0">
        <w:rPr>
          <w:rFonts w:ascii="Times New Roman" w:hAnsi="Times New Roman"/>
          <w:sz w:val="28"/>
          <w:szCs w:val="28"/>
        </w:rPr>
        <w:t>-</w:t>
      </w:r>
      <w:r w:rsidRPr="00345ECE">
        <w:rPr>
          <w:rFonts w:ascii="Times New Roman" w:hAnsi="Times New Roman"/>
          <w:sz w:val="28"/>
          <w:szCs w:val="28"/>
        </w:rPr>
        <w:t>atribuye</w:t>
      </w:r>
      <w:proofErr w:type="spellEnd"/>
      <w:r w:rsidRPr="00345ECE">
        <w:rPr>
          <w:rFonts w:ascii="Times New Roman" w:hAnsi="Times New Roman"/>
          <w:sz w:val="28"/>
          <w:szCs w:val="28"/>
        </w:rPr>
        <w:t xml:space="preserve"> de manera improvisada y deliberada competencias para este tribunal. </w:t>
      </w:r>
    </w:p>
    <w:p w14:paraId="598EABA6" w14:textId="77777777" w:rsidR="00B808B5" w:rsidRPr="00345ECE" w:rsidRDefault="00B808B5" w:rsidP="00B808B5">
      <w:pPr>
        <w:spacing w:after="0" w:line="240" w:lineRule="auto"/>
        <w:rPr>
          <w:rFonts w:ascii="Times New Roman" w:hAnsi="Times New Roman"/>
          <w:sz w:val="28"/>
          <w:szCs w:val="28"/>
        </w:rPr>
      </w:pPr>
    </w:p>
    <w:p w14:paraId="515BD758" w14:textId="77777777" w:rsidR="00B808B5" w:rsidRPr="008E1A38" w:rsidRDefault="00B808B5" w:rsidP="00B808B5">
      <w:pPr>
        <w:spacing w:after="0" w:line="240" w:lineRule="auto"/>
        <w:rPr>
          <w:rFonts w:ascii="Times New Roman" w:hAnsi="Times New Roman"/>
        </w:rPr>
      </w:pPr>
      <w:r w:rsidRPr="00345ECE">
        <w:rPr>
          <w:rFonts w:ascii="Times New Roman" w:hAnsi="Times New Roman"/>
          <w:sz w:val="28"/>
          <w:szCs w:val="28"/>
        </w:rPr>
        <w:t xml:space="preserve">Es falaz comprender que, a partir de una restricción específica impuesta al legislador estatutario, pueda ahora la mayoría de la Sala auto atribuirse una facultad más amplia.  La Sentencia C-179 de 1994 fijó un límite contundente en el marco de la naturaleza automática y definitiva del control constitucional que le corresponde. No es constitucionalmente admisible una suspensión </w:t>
      </w:r>
      <w:r w:rsidRPr="00345ECE">
        <w:rPr>
          <w:rFonts w:ascii="Times New Roman" w:hAnsi="Times New Roman"/>
          <w:sz w:val="28"/>
          <w:szCs w:val="28"/>
        </w:rPr>
        <w:lastRenderedPageBreak/>
        <w:t>provisional previa al fallo, ni siquiera bajo la fórmula mínima de “suspender efectos” por “manifiesta violación”. La lectura de la Sala que pretende “salvar” una competencia de suspensión del decreto declaratorio es un artificio interpretativo que no identifica una competencia, sino que construye una habilitación que el diseño constitucional y la propia Sentencia C-179 rechazaron.</w:t>
      </w:r>
    </w:p>
    <w:p w14:paraId="4B613537" w14:textId="77777777" w:rsidR="00B808B5" w:rsidRPr="00345ECE" w:rsidRDefault="00B808B5" w:rsidP="00B808B5">
      <w:pPr>
        <w:spacing w:after="0" w:line="240" w:lineRule="auto"/>
        <w:rPr>
          <w:rFonts w:ascii="Times New Roman" w:hAnsi="Times New Roman"/>
          <w:sz w:val="28"/>
          <w:szCs w:val="28"/>
        </w:rPr>
      </w:pPr>
    </w:p>
    <w:p w14:paraId="6B436E8C"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 xml:space="preserve">Más aun, aunque la fórmula declarada inexequible </w:t>
      </w:r>
      <w:r w:rsidRPr="000D1980">
        <w:rPr>
          <w:rFonts w:ascii="Times New Roman" w:hAnsi="Times New Roman"/>
          <w:sz w:val="28"/>
          <w:szCs w:val="28"/>
        </w:rPr>
        <w:t>del artículo 56 del proyecto del proyecto de</w:t>
      </w:r>
      <w:r w:rsidRPr="00345ECE">
        <w:rPr>
          <w:rFonts w:ascii="Times New Roman" w:hAnsi="Times New Roman"/>
          <w:sz w:val="28"/>
          <w:szCs w:val="28"/>
        </w:rPr>
        <w:t xml:space="preserve"> Ley Estatutaria hacía referencia a la posibilidad de suspender “los efectos de un decreto expedido durante los estados de excepción”, no puede concluirse que la Sentencia C-179 de 1994 haya limitado su análisis </w:t>
      </w:r>
      <w:r w:rsidRPr="000D1980">
        <w:rPr>
          <w:rFonts w:ascii="Times New Roman" w:hAnsi="Times New Roman"/>
          <w:sz w:val="28"/>
          <w:szCs w:val="28"/>
        </w:rPr>
        <w:t>al respecto en dicha disposición.</w:t>
      </w:r>
      <w:r w:rsidRPr="00345ECE">
        <w:rPr>
          <w:rFonts w:ascii="Times New Roman" w:hAnsi="Times New Roman"/>
          <w:sz w:val="28"/>
          <w:szCs w:val="28"/>
        </w:rPr>
        <w:t xml:space="preserve"> </w:t>
      </w:r>
      <w:r w:rsidRPr="000D1980">
        <w:rPr>
          <w:rFonts w:ascii="Times New Roman" w:hAnsi="Times New Roman"/>
          <w:sz w:val="28"/>
          <w:szCs w:val="28"/>
        </w:rPr>
        <w:t xml:space="preserve"> Como se expuso en extenso dentro del primer acápite, la Sala Plena en dicha oportunidad</w:t>
      </w:r>
      <w:r w:rsidRPr="00345ECE">
        <w:rPr>
          <w:rFonts w:ascii="Times New Roman" w:hAnsi="Times New Roman"/>
          <w:sz w:val="28"/>
          <w:szCs w:val="28"/>
        </w:rPr>
        <w:t xml:space="preserve"> evaluó y declaró inexequibles diferentes disposiciones del proyecto de ley estatutaria relacionadas con este asunto –arts. 19, 20, 27 38, 55 y 56–, y su pronunciamiento cubrió la imposibilidad de suspensión tanto de decretos legislativos de desarrollo como los de declaratoria, con base en el control definitivo que le asigna la Constitución a la Corte.</w:t>
      </w:r>
    </w:p>
    <w:p w14:paraId="14F4DC76" w14:textId="77777777" w:rsidR="00B808B5" w:rsidRDefault="00B808B5" w:rsidP="00B808B5">
      <w:pPr>
        <w:spacing w:after="0" w:line="240" w:lineRule="auto"/>
        <w:rPr>
          <w:rFonts w:ascii="Times New Roman" w:hAnsi="Times New Roman"/>
          <w:sz w:val="28"/>
          <w:szCs w:val="28"/>
        </w:rPr>
      </w:pPr>
    </w:p>
    <w:p w14:paraId="10BA480D"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Así, al analizar el artículo 55 de la mencionada ley, la Corte fue enfática en señalar que su control “recae no sólo sobre los decretos declarativos de los tres estados excepcionales, sino también con respecto a cada uno de los decretos legislativos que expida el Gobierno”</w:t>
      </w:r>
      <w:r>
        <w:rPr>
          <w:rFonts w:ascii="Times New Roman" w:hAnsi="Times New Roman"/>
          <w:sz w:val="28"/>
          <w:szCs w:val="28"/>
        </w:rPr>
        <w:t xml:space="preserve"> c</w:t>
      </w:r>
      <w:r w:rsidRPr="00345ECE">
        <w:rPr>
          <w:rFonts w:ascii="Times New Roman" w:hAnsi="Times New Roman"/>
          <w:sz w:val="28"/>
          <w:szCs w:val="28"/>
        </w:rPr>
        <w:t xml:space="preserve">uya constitucionalidad debía decidirse de forma definitiva, lo que “significa por una sola vez y para siempre, pues los fallos que sobre ellos se dicte tienen la fuerza de cosa juzgada constitucional”. En línea con esta afirmación, al examinar el artículo 19, precisó que el proyecto sometido a revisión regulaba los estados de excepción, “cuya declaratoria” y las “medidas adoptadas para conjurar la crisis y ponerle fin” se materializan mediante “decretos </w:t>
      </w:r>
      <w:proofErr w:type="gramStart"/>
      <w:r w:rsidRPr="00345ECE">
        <w:rPr>
          <w:rFonts w:ascii="Times New Roman" w:hAnsi="Times New Roman"/>
          <w:sz w:val="28"/>
          <w:szCs w:val="28"/>
        </w:rPr>
        <w:t>legislativos ”</w:t>
      </w:r>
      <w:proofErr w:type="gramEnd"/>
      <w:r w:rsidRPr="00345ECE">
        <w:rPr>
          <w:rFonts w:ascii="Times New Roman" w:hAnsi="Times New Roman"/>
          <w:sz w:val="28"/>
          <w:szCs w:val="28"/>
        </w:rPr>
        <w:t>; por tanto, “no le cabe duda a la Corte de que el artículo 19 que se analiza, se refiere a esta clase de actos jurídicos”.</w:t>
      </w:r>
    </w:p>
    <w:p w14:paraId="556AE281"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 xml:space="preserve"> </w:t>
      </w:r>
    </w:p>
    <w:p w14:paraId="00804928"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A renglón seguido, la Corte concluy</w:t>
      </w:r>
      <w:r>
        <w:rPr>
          <w:rFonts w:ascii="Times New Roman" w:hAnsi="Times New Roman"/>
          <w:sz w:val="28"/>
          <w:szCs w:val="28"/>
        </w:rPr>
        <w:t>ó</w:t>
      </w:r>
      <w:r w:rsidRPr="00345ECE">
        <w:rPr>
          <w:rFonts w:ascii="Times New Roman" w:hAnsi="Times New Roman"/>
          <w:sz w:val="28"/>
          <w:szCs w:val="28"/>
        </w:rPr>
        <w:t xml:space="preserve"> que la imposibilidad de suspender los efectos de un decreto legislativo se extiende a todos aquellos dictados al amparo de los artículos 212, 213 y 215 de la Constitución. </w:t>
      </w:r>
      <w:r w:rsidRPr="2D852E4A">
        <w:rPr>
          <w:rFonts w:ascii="Times New Roman" w:hAnsi="Times New Roman"/>
          <w:sz w:val="28"/>
          <w:szCs w:val="28"/>
        </w:rPr>
        <w:t>Nuevamente, esta</w:t>
      </w:r>
      <w:r w:rsidRPr="00345ECE">
        <w:rPr>
          <w:rFonts w:ascii="Times New Roman" w:hAnsi="Times New Roman"/>
          <w:sz w:val="28"/>
          <w:szCs w:val="28"/>
        </w:rPr>
        <w:t xml:space="preserve"> conclusión se fundamentó en que la Corte debe pronunciarse de forma definitiva sobre dichos decretos, en los “estrictos y precisos términos” del artículo 241 de la Constitución, y en que, conforme a los artículos 241.7 y 214.6, sus decisiones tienen “carácter de definitivas y sobre ellos no se puede volver, porque, según el artículo 243 de la Constitución, hacen tránsito a cosa juzgada constitucional”.</w:t>
      </w:r>
    </w:p>
    <w:p w14:paraId="54833249"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 xml:space="preserve"> </w:t>
      </w:r>
    </w:p>
    <w:p w14:paraId="482D018C" w14:textId="77777777" w:rsidR="00B808B5" w:rsidRPr="00345ECE" w:rsidRDefault="00B808B5" w:rsidP="00B808B5">
      <w:pPr>
        <w:spacing w:after="0" w:line="240" w:lineRule="auto"/>
        <w:rPr>
          <w:rFonts w:ascii="Times New Roman" w:hAnsi="Times New Roman"/>
          <w:sz w:val="28"/>
          <w:szCs w:val="28"/>
        </w:rPr>
      </w:pPr>
      <w:r w:rsidRPr="680F2AC5">
        <w:rPr>
          <w:rFonts w:ascii="Times New Roman" w:hAnsi="Times New Roman"/>
          <w:sz w:val="28"/>
          <w:szCs w:val="28"/>
        </w:rPr>
        <w:t xml:space="preserve">El Auto 082 de 2026 incurre en una estrategia argumentativa que no solo erosiona la cosa juzgada constitucional, sino que se construye sobre una relectura indebida y parcial de la interpretación previamente fijada por la Corte en la Sentencia C-179 de 1994. En esa providencia, la Corte fue categórica al afirmar que los decretos legislativos dictados con fundamento en los artículos 212, 213 y 215 de la Constitución, incluidos los declaratorios del estado de excepción, debían ser objeto de un control definitivo, en los estrictos términos del artículo 241 superior, sin posibilidad de medidas interinas como la suspensión provisional. </w:t>
      </w:r>
    </w:p>
    <w:p w14:paraId="01A133CD" w14:textId="77777777" w:rsidR="00B808B5" w:rsidRPr="00345ECE" w:rsidRDefault="00B808B5" w:rsidP="00B808B5">
      <w:pPr>
        <w:spacing w:after="0" w:line="240" w:lineRule="auto"/>
        <w:rPr>
          <w:rFonts w:ascii="Times New Roman" w:hAnsi="Times New Roman"/>
          <w:sz w:val="28"/>
          <w:szCs w:val="28"/>
        </w:rPr>
      </w:pPr>
    </w:p>
    <w:p w14:paraId="204CEE15" w14:textId="77777777" w:rsidR="00B808B5" w:rsidRPr="00345ECE" w:rsidRDefault="00B808B5" w:rsidP="00B808B5">
      <w:pPr>
        <w:spacing w:after="0" w:line="240" w:lineRule="auto"/>
        <w:rPr>
          <w:rFonts w:ascii="Times New Roman" w:hAnsi="Times New Roman"/>
          <w:sz w:val="28"/>
          <w:szCs w:val="28"/>
        </w:rPr>
      </w:pPr>
      <w:r w:rsidRPr="302B9A25">
        <w:rPr>
          <w:rFonts w:ascii="Times New Roman" w:hAnsi="Times New Roman"/>
          <w:sz w:val="28"/>
          <w:szCs w:val="28"/>
        </w:rPr>
        <w:t xml:space="preserve">No obstante, el Auto propone ahora una reinterpretación del alcance de dicha sentencia, con miras a forzar una distinción entre decretos declaratorios y decretos de desarrollo que permita sustraer a los primeros del efecto de cosa juzgada absoluta previamente declarado. Esta maniobra resulta inadmisible, </w:t>
      </w:r>
      <w:r w:rsidRPr="302B9A25">
        <w:rPr>
          <w:rFonts w:ascii="Times New Roman" w:hAnsi="Times New Roman"/>
          <w:sz w:val="28"/>
          <w:szCs w:val="28"/>
        </w:rPr>
        <w:lastRenderedPageBreak/>
        <w:t xml:space="preserve">pues </w:t>
      </w:r>
      <w:r w:rsidRPr="302B9A25">
        <w:rPr>
          <w:rFonts w:ascii="Times New Roman" w:hAnsi="Times New Roman"/>
          <w:b/>
          <w:bCs/>
          <w:sz w:val="28"/>
          <w:szCs w:val="28"/>
        </w:rPr>
        <w:t>parte de reconocer que la Corte ya había interpretado el alcance del artículo 19 en relación con todos los decretos dictados en el marco de los estados de excepción</w:t>
      </w:r>
      <w:r w:rsidRPr="302B9A25">
        <w:rPr>
          <w:rFonts w:ascii="Times New Roman" w:hAnsi="Times New Roman"/>
          <w:sz w:val="28"/>
          <w:szCs w:val="28"/>
        </w:rPr>
        <w:t xml:space="preserve">, </w:t>
      </w:r>
      <w:r w:rsidRPr="302B9A25">
        <w:rPr>
          <w:rFonts w:ascii="Times New Roman" w:hAnsi="Times New Roman"/>
          <w:b/>
          <w:bCs/>
          <w:sz w:val="28"/>
          <w:szCs w:val="28"/>
        </w:rPr>
        <w:t>para luego reinterpretar esa lectura y limitarla –ahora– exclusivamente a los decretos de desarrollo</w:t>
      </w:r>
      <w:r w:rsidRPr="008E1A38">
        <w:rPr>
          <w:rFonts w:ascii="Times New Roman" w:hAnsi="Times New Roman"/>
          <w:bCs/>
          <w:sz w:val="28"/>
          <w:szCs w:val="28"/>
          <w:vertAlign w:val="superscript"/>
        </w:rPr>
        <w:footnoteReference w:id="149"/>
      </w:r>
      <w:r w:rsidRPr="302B9A25">
        <w:rPr>
          <w:rFonts w:ascii="Times New Roman" w:hAnsi="Times New Roman"/>
          <w:sz w:val="28"/>
          <w:szCs w:val="28"/>
        </w:rPr>
        <w:t xml:space="preserve">. Es decir, el Auto desconoce la cosa juzgada constitucional y reescribe el contenido de la interpretación anterior para habilitar una excepción que fue expresamente excluida en sede de control constitucional. </w:t>
      </w:r>
    </w:p>
    <w:p w14:paraId="42564E5B" w14:textId="77777777" w:rsidR="00B808B5" w:rsidRDefault="00B808B5" w:rsidP="00B808B5">
      <w:pPr>
        <w:spacing w:after="0" w:line="240" w:lineRule="auto"/>
        <w:rPr>
          <w:rFonts w:ascii="Times New Roman" w:hAnsi="Times New Roman"/>
          <w:sz w:val="28"/>
          <w:szCs w:val="28"/>
        </w:rPr>
      </w:pPr>
    </w:p>
    <w:p w14:paraId="0408DD47" w14:textId="77777777" w:rsidR="00B808B5" w:rsidRPr="00345ECE" w:rsidRDefault="00B808B5" w:rsidP="00B808B5">
      <w:pPr>
        <w:spacing w:after="0" w:line="240" w:lineRule="auto"/>
        <w:rPr>
          <w:rFonts w:ascii="Times New Roman" w:hAnsi="Times New Roman"/>
          <w:sz w:val="28"/>
          <w:szCs w:val="28"/>
        </w:rPr>
      </w:pPr>
      <w:r w:rsidRPr="680F2AC5">
        <w:rPr>
          <w:rFonts w:ascii="Times New Roman" w:hAnsi="Times New Roman"/>
          <w:sz w:val="28"/>
          <w:szCs w:val="28"/>
        </w:rPr>
        <w:t xml:space="preserve">No resulta jurídicamente sostenible restringir el alcance de la cosa juzgada constitucional derivada de la Sentencia C-179 de 1994 exclusivamente a los decretos de desarrollo. Esta lectura parcial que hace la mayoría de la Sala desconoce tanto el contenido normativo de los artículos revisados como la </w:t>
      </w:r>
      <w:r w:rsidRPr="680F2AC5">
        <w:rPr>
          <w:rFonts w:ascii="Times New Roman" w:hAnsi="Times New Roman"/>
          <w:i/>
          <w:iCs/>
          <w:sz w:val="28"/>
          <w:szCs w:val="28"/>
        </w:rPr>
        <w:t xml:space="preserve">ratio </w:t>
      </w:r>
      <w:proofErr w:type="spellStart"/>
      <w:r w:rsidRPr="680F2AC5">
        <w:rPr>
          <w:rFonts w:ascii="Times New Roman" w:hAnsi="Times New Roman"/>
          <w:i/>
          <w:iCs/>
          <w:sz w:val="28"/>
          <w:szCs w:val="28"/>
        </w:rPr>
        <w:t>decidendi</w:t>
      </w:r>
      <w:proofErr w:type="spellEnd"/>
      <w:r w:rsidRPr="680F2AC5">
        <w:rPr>
          <w:rFonts w:ascii="Times New Roman" w:hAnsi="Times New Roman"/>
          <w:i/>
          <w:iCs/>
          <w:sz w:val="28"/>
          <w:szCs w:val="28"/>
        </w:rPr>
        <w:t xml:space="preserve"> </w:t>
      </w:r>
      <w:r w:rsidRPr="680F2AC5">
        <w:rPr>
          <w:rFonts w:ascii="Times New Roman" w:hAnsi="Times New Roman"/>
          <w:sz w:val="28"/>
          <w:szCs w:val="28"/>
        </w:rPr>
        <w:t xml:space="preserve">del fallo. </w:t>
      </w:r>
    </w:p>
    <w:p w14:paraId="631DB147" w14:textId="77777777" w:rsidR="00B808B5" w:rsidRPr="00345ECE" w:rsidRDefault="00B808B5" w:rsidP="00B808B5">
      <w:pPr>
        <w:spacing w:after="0" w:line="240" w:lineRule="auto"/>
        <w:rPr>
          <w:rFonts w:ascii="Times New Roman" w:hAnsi="Times New Roman"/>
          <w:sz w:val="28"/>
          <w:szCs w:val="28"/>
        </w:rPr>
      </w:pPr>
    </w:p>
    <w:p w14:paraId="0526CB63" w14:textId="77777777" w:rsidR="00B808B5" w:rsidRPr="00345ECE" w:rsidRDefault="00B808B5" w:rsidP="00B808B5">
      <w:pPr>
        <w:spacing w:after="0" w:line="240" w:lineRule="auto"/>
        <w:rPr>
          <w:rFonts w:ascii="Times New Roman" w:hAnsi="Times New Roman"/>
          <w:sz w:val="28"/>
          <w:szCs w:val="28"/>
        </w:rPr>
      </w:pPr>
      <w:r w:rsidRPr="680F2AC5">
        <w:rPr>
          <w:rFonts w:ascii="Times New Roman" w:hAnsi="Times New Roman"/>
          <w:sz w:val="28"/>
          <w:szCs w:val="28"/>
        </w:rPr>
        <w:t>Justamente, el legislador optó por esas fórmulas amplias para mantener una redacción neutra que respetara la separación y equilibrio de poderes. No obstante, fue la Corte quien, en ejercicio del control definitivo previsto en los artículos 241.7, 214.6 y 243 de la Constitución, precisó con claridad que la competencia constitucional de control de estos actos atribuida a la Corte cobija tanto los decretos de declaratoria como los de desarrollo, y que sobre ninguno de ellos cabe suspensión provisional. Como se lee expresamente en la sentencia: “si es deber de la Corte pronunciarse en forma definitiva sobre los decretos legislativos, en los ‘estrictos y precisos términos’ contemplados en el artículo 241 de la Constitución, mal puede una ley, como es la que se estudia, establecer la suspensión provisional de dichos actos jurídicos”.</w:t>
      </w:r>
      <w:r w:rsidRPr="008E1A38">
        <w:rPr>
          <w:rFonts w:ascii="Times New Roman" w:eastAsia="Times New Roman" w:hAnsi="Times New Roman"/>
        </w:rPr>
        <w:t xml:space="preserve"> </w:t>
      </w:r>
      <w:r w:rsidRPr="680F2AC5">
        <w:rPr>
          <w:rFonts w:ascii="Times New Roman" w:hAnsi="Times New Roman"/>
          <w:sz w:val="28"/>
          <w:szCs w:val="28"/>
        </w:rPr>
        <w:t>Si al legislador estatutario le estaba vedado atribuir esa potestad, con mayor razón resulta inadmisible sostenerla ahora mediante una interpretación aislada de un auto judicial.</w:t>
      </w:r>
    </w:p>
    <w:p w14:paraId="3C55393B"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 xml:space="preserve"> </w:t>
      </w:r>
    </w:p>
    <w:p w14:paraId="2C8162FA"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 xml:space="preserve">Sostener que esta ratio solo vincula respecto de los decretos de desarrollo, con el fin de permitir la suspensión de los de declaratoria, no solo implica una lectura parcial, sino que contradice abiertamente el núcleo del fallo. Esta interpretación, artificiosa y estratégicamente dirigida, desconoce el alcance del control conferido a la Corte y habilita una intromisión aún más grave en las competencias propias del Ejecutivo, al afectar directamente el acto que activa su capacidad de respuesta ante emergencias. Peor aún, al concluir que también podrían suspenderse los decretos de desarrollo expedidos con ocasión del estado de excepción, se vacía el contenido sustantivo de la sentencia de control automático de la ley estatutaria. La interpretación efectuada constituye una torsión hermenéutica inadmisible, que desvirtúa los límites de la cosa juzgada constitucional y erosiona el principio de seguridad jurídica que garantiza la estabilidad del orden constitucional. </w:t>
      </w:r>
    </w:p>
    <w:p w14:paraId="7ABEE2CA" w14:textId="77777777" w:rsidR="00B808B5" w:rsidRPr="00345ECE" w:rsidRDefault="00B808B5" w:rsidP="00B808B5">
      <w:pPr>
        <w:spacing w:after="0" w:line="240" w:lineRule="auto"/>
        <w:rPr>
          <w:rFonts w:ascii="Times New Roman" w:hAnsi="Times New Roman"/>
          <w:sz w:val="28"/>
          <w:szCs w:val="28"/>
        </w:rPr>
      </w:pPr>
    </w:p>
    <w:p w14:paraId="080F54A6" w14:textId="77777777" w:rsidR="00B808B5" w:rsidRPr="00345ECE" w:rsidRDefault="00B808B5" w:rsidP="00B808B5">
      <w:pPr>
        <w:spacing w:after="0" w:line="240" w:lineRule="auto"/>
        <w:rPr>
          <w:rFonts w:ascii="Times New Roman" w:hAnsi="Times New Roman"/>
          <w:b/>
          <w:bCs/>
          <w:sz w:val="28"/>
          <w:szCs w:val="28"/>
          <w:lang w:eastAsia="es-CO"/>
        </w:rPr>
      </w:pPr>
      <w:r w:rsidRPr="302B9A25">
        <w:rPr>
          <w:rFonts w:ascii="Times New Roman" w:hAnsi="Times New Roman"/>
          <w:sz w:val="28"/>
          <w:szCs w:val="28"/>
        </w:rPr>
        <w:t>De una lectura integral de la Sentencia C-179 de 1994, es evidente que la Corte excluyó de forma categórica la posibilidad de ejercer una facultad de suspensión provisional sobre decretos legislativos. Tal como lo afirmó expresamente: el artículo 241 de la Constitución, “dejó claramente estable</w:t>
      </w:r>
      <w:r w:rsidRPr="008E1A38">
        <w:rPr>
          <w:rFonts w:ascii="Times New Roman" w:hAnsi="Times New Roman"/>
          <w:sz w:val="28"/>
          <w:szCs w:val="28"/>
          <w:lang w:eastAsia="es-CO"/>
        </w:rPr>
        <w:t>cido</w:t>
      </w:r>
      <w:r w:rsidRPr="008E1A38">
        <w:rPr>
          <w:rFonts w:ascii="Times New Roman" w:hAnsi="Times New Roman"/>
          <w:b/>
          <w:bCs/>
          <w:sz w:val="28"/>
          <w:szCs w:val="28"/>
          <w:lang w:eastAsia="es-CO"/>
        </w:rPr>
        <w:t xml:space="preserve"> que dicha labor debía realizarla ‘en los estrictos y precisos términos’ que la misma norma consagra, y es así como en el numeral 7o. le ordena: ‘Decidir definitivamente’ sobre la constitucionalidad de los decretos legislativos que dicte el Gobierno con fundamento en los artículos 212, 213 y 215 de la Carta, lo que significa que esta entidad, no puede suspender </w:t>
      </w:r>
      <w:r w:rsidRPr="008E1A38">
        <w:rPr>
          <w:rFonts w:ascii="Times New Roman" w:hAnsi="Times New Roman"/>
          <w:b/>
          <w:bCs/>
          <w:sz w:val="28"/>
          <w:szCs w:val="28"/>
          <w:lang w:eastAsia="es-CO"/>
        </w:rPr>
        <w:lastRenderedPageBreak/>
        <w:t>provisionalmente dichos ordenamientos, pues sus decisiones deben ser definitivas, esto es, por una sola vez y para siempre”</w:t>
      </w:r>
      <w:r w:rsidRPr="00345ECE">
        <w:rPr>
          <w:rFonts w:ascii="Times New Roman" w:hAnsi="Times New Roman"/>
          <w:sz w:val="28"/>
          <w:szCs w:val="28"/>
          <w:vertAlign w:val="superscript"/>
        </w:rPr>
        <w:footnoteReference w:id="150"/>
      </w:r>
    </w:p>
    <w:p w14:paraId="4F2F221F" w14:textId="77777777" w:rsidR="00B808B5" w:rsidRDefault="00B808B5" w:rsidP="00B808B5">
      <w:pPr>
        <w:spacing w:after="0" w:line="240" w:lineRule="auto"/>
        <w:rPr>
          <w:rFonts w:ascii="Times New Roman" w:hAnsi="Times New Roman"/>
          <w:sz w:val="28"/>
          <w:szCs w:val="28"/>
        </w:rPr>
      </w:pPr>
    </w:p>
    <w:p w14:paraId="5E3CD37B" w14:textId="77777777" w:rsidR="00B808B5" w:rsidRPr="00345ECE" w:rsidRDefault="00B808B5" w:rsidP="00B808B5">
      <w:pPr>
        <w:spacing w:after="0" w:line="240" w:lineRule="auto"/>
        <w:rPr>
          <w:rFonts w:ascii="Times New Roman" w:hAnsi="Times New Roman"/>
          <w:sz w:val="28"/>
          <w:szCs w:val="28"/>
        </w:rPr>
      </w:pPr>
      <w:r w:rsidRPr="680F2AC5">
        <w:rPr>
          <w:rFonts w:ascii="Times New Roman" w:hAnsi="Times New Roman"/>
          <w:sz w:val="28"/>
          <w:szCs w:val="28"/>
        </w:rPr>
        <w:t xml:space="preserve">En esa lógica, según lo expuesto por la Sala Plena en la mencionada providencia, la exclusión de la facultad de suspensión provisional de decretos dictados con fundamento en los artículos 212, 213 y 215 no fue una omisión accidental, sino una consecuencia directa del carácter definitivo del control asignado. Ni el legislador podía introducirla en la ley estatutaria, ni la Corte puede ahora acogerla mediante un auto. Cualquier desplazamiento posterior de esa línea, sin reforma constitucional de por medio, equivale a modificar de forma implícita el alcance de la competencia, desconociendo los términos precisos fijados por el Constituyente. Es por dicha razón que las disposiciones de los artículos 19, 20, 27, 38 y 56 del proyecto de ley estatutaria que dio origen a la Ley 137 de 1994, que preveían la facultad “de suspender, aún de oficio, los efectos” de los decretos legislativos expedidos por el Gobierno en ejercicio de las atribuciones conferidas por los artículos 212, 213 y 215 de la Constitución Política, fueron declaradas inexequibles por la Corte. </w:t>
      </w:r>
    </w:p>
    <w:p w14:paraId="5E89F5D1" w14:textId="77777777" w:rsidR="00B808B5" w:rsidRPr="00345ECE" w:rsidRDefault="00B808B5" w:rsidP="00B808B5">
      <w:pPr>
        <w:spacing w:after="0" w:line="240" w:lineRule="auto"/>
        <w:rPr>
          <w:rFonts w:ascii="Times New Roman" w:hAnsi="Times New Roman"/>
          <w:sz w:val="28"/>
          <w:szCs w:val="28"/>
        </w:rPr>
      </w:pPr>
    </w:p>
    <w:p w14:paraId="6DA82E7C"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 xml:space="preserve">Se insiste que esta declaratoria se dio en el ejercicio del control previo y automático que fue previsto por el constituyente para este tipo de leyes, es decir posterior a su aprobación por el Congreso y previo a su sanción presidencial y </w:t>
      </w:r>
      <w:proofErr w:type="gramStart"/>
      <w:r w:rsidRPr="00345ECE">
        <w:rPr>
          <w:rFonts w:ascii="Times New Roman" w:hAnsi="Times New Roman"/>
          <w:sz w:val="28"/>
          <w:szCs w:val="28"/>
        </w:rPr>
        <w:t>entrada en vigencia</w:t>
      </w:r>
      <w:proofErr w:type="gramEnd"/>
      <w:r w:rsidRPr="00345ECE">
        <w:rPr>
          <w:rFonts w:ascii="Times New Roman" w:hAnsi="Times New Roman"/>
          <w:sz w:val="28"/>
          <w:szCs w:val="28"/>
        </w:rPr>
        <w:t>. Esto significa que estas disposiciones nunca entraron en vigor ni produjeron efectos jurídicos válidos. Por tanto, en rigor, ni siquiera puede hablarse de revivir una norma que nunca existió en el ordenamiento, mucho menos podría ser objeto de “reinterpretación”. Pretender fundarla ahora en un auto judicial equivale a la creación normativa por vía jurisprudencial, que además de vulnerar la cosa juzgada y la seguridad jurídica, contraría el principio de legalidad y atenta contra la separación y equilibrio de poderes.</w:t>
      </w:r>
    </w:p>
    <w:p w14:paraId="680C49E6" w14:textId="77777777" w:rsidR="00B808B5" w:rsidRPr="00345ECE" w:rsidRDefault="00B808B5" w:rsidP="00B808B5">
      <w:pPr>
        <w:spacing w:after="0" w:line="240" w:lineRule="auto"/>
        <w:rPr>
          <w:rFonts w:ascii="Times New Roman" w:hAnsi="Times New Roman"/>
          <w:sz w:val="28"/>
          <w:szCs w:val="28"/>
        </w:rPr>
      </w:pPr>
    </w:p>
    <w:p w14:paraId="3A7BEA53"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 xml:space="preserve">La postura mayoritaria de la Sala Plena, que reconoce hoy una facultad de suspensión respecto de decretos de declaratoria, y consecuentemente de desarrollo, realiza una lectura parcializada que vacía los efectos de una decisión con efectos de cosa juzgada constitucional absoluta. A través del auto del que me aparto, la Sala no solo desconoce la decisión de inexequibilidad, sino que pretende modificar sus efectos, pese a que la </w:t>
      </w:r>
      <w:r w:rsidRPr="00345ECE">
        <w:rPr>
          <w:rFonts w:ascii="Times New Roman" w:hAnsi="Times New Roman"/>
          <w:i/>
          <w:iCs/>
          <w:sz w:val="28"/>
          <w:szCs w:val="28"/>
        </w:rPr>
        <w:t xml:space="preserve">ratio </w:t>
      </w:r>
      <w:proofErr w:type="spellStart"/>
      <w:r w:rsidRPr="00345ECE">
        <w:rPr>
          <w:rFonts w:ascii="Times New Roman" w:hAnsi="Times New Roman"/>
          <w:i/>
          <w:iCs/>
          <w:sz w:val="28"/>
          <w:szCs w:val="28"/>
        </w:rPr>
        <w:t>decidendi</w:t>
      </w:r>
      <w:proofErr w:type="spellEnd"/>
      <w:r w:rsidRPr="00345ECE">
        <w:rPr>
          <w:rFonts w:ascii="Times New Roman" w:hAnsi="Times New Roman"/>
          <w:i/>
          <w:iCs/>
          <w:sz w:val="28"/>
          <w:szCs w:val="28"/>
        </w:rPr>
        <w:t xml:space="preserve"> </w:t>
      </w:r>
      <w:r w:rsidRPr="00345ECE">
        <w:rPr>
          <w:rFonts w:ascii="Times New Roman" w:hAnsi="Times New Roman"/>
          <w:sz w:val="28"/>
          <w:szCs w:val="28"/>
        </w:rPr>
        <w:t xml:space="preserve">fue clara en cuanto a la imposibilidad de suspender siquiera los efectos de los decretos legislativos, por ser incompatible con su mandato de control “definitivo” en los “estrictos y precisos términos” del artículo 241 CP. En tal entendido, esta no es una evolución interpretativa ordinaria, de fondo yace una reasignación de competencias que contradice el marco expresamente trazado por el Constituyente y reconocido por el Tribunal en su jurisprudencia fundacional. </w:t>
      </w:r>
    </w:p>
    <w:p w14:paraId="3ED94FF7" w14:textId="77777777" w:rsidR="00B808B5" w:rsidRPr="00345ECE" w:rsidRDefault="00B808B5" w:rsidP="00B808B5">
      <w:pPr>
        <w:spacing w:after="0" w:line="240" w:lineRule="auto"/>
        <w:rPr>
          <w:rFonts w:ascii="Times New Roman" w:hAnsi="Times New Roman"/>
          <w:sz w:val="28"/>
          <w:szCs w:val="28"/>
        </w:rPr>
      </w:pPr>
    </w:p>
    <w:p w14:paraId="31DD7A18"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 xml:space="preserve">Pretender que esa </w:t>
      </w:r>
      <w:r w:rsidRPr="00345ECE">
        <w:rPr>
          <w:rFonts w:ascii="Times New Roman" w:hAnsi="Times New Roman"/>
          <w:i/>
          <w:iCs/>
          <w:sz w:val="28"/>
          <w:szCs w:val="28"/>
        </w:rPr>
        <w:t xml:space="preserve">ratio </w:t>
      </w:r>
      <w:proofErr w:type="spellStart"/>
      <w:r w:rsidRPr="00345ECE">
        <w:rPr>
          <w:rFonts w:ascii="Times New Roman" w:hAnsi="Times New Roman"/>
          <w:i/>
          <w:iCs/>
          <w:sz w:val="28"/>
          <w:szCs w:val="28"/>
        </w:rPr>
        <w:t>decidendi</w:t>
      </w:r>
      <w:proofErr w:type="spellEnd"/>
      <w:r w:rsidRPr="00345ECE">
        <w:rPr>
          <w:rFonts w:ascii="Times New Roman" w:hAnsi="Times New Roman"/>
          <w:i/>
          <w:iCs/>
          <w:sz w:val="28"/>
          <w:szCs w:val="28"/>
        </w:rPr>
        <w:t xml:space="preserve"> </w:t>
      </w:r>
      <w:r w:rsidRPr="00345ECE">
        <w:rPr>
          <w:rFonts w:ascii="Times New Roman" w:hAnsi="Times New Roman"/>
          <w:sz w:val="28"/>
          <w:szCs w:val="28"/>
        </w:rPr>
        <w:t xml:space="preserve">se limita a los decretos de desarrollo para así abrir paso a la suspensión de los de declaratoria no solo constituye una lectura fragmentaria e interesada del fallo, sino que desvirtúa su núcleo. La Corte dejó claro que su competencia recae sobre todos los decretos legislativos dictados bajo los artículos 212, 213 y 215 CP –es decir, tanto los de declaratoria como los de desarrollo– y que sobre ninguno de ellos cabe suspensión provisional, justamente porque la función de la Corte no es cogobernar el estado de excepción, sino ejercer un control jurídico posterior y definitivo. </w:t>
      </w:r>
    </w:p>
    <w:p w14:paraId="18A1A983" w14:textId="77777777" w:rsidR="00B808B5" w:rsidRDefault="00B808B5" w:rsidP="00B808B5">
      <w:pPr>
        <w:spacing w:after="0" w:line="240" w:lineRule="auto"/>
        <w:rPr>
          <w:rFonts w:ascii="Times New Roman" w:hAnsi="Times New Roman"/>
          <w:sz w:val="28"/>
          <w:szCs w:val="28"/>
        </w:rPr>
      </w:pPr>
    </w:p>
    <w:p w14:paraId="0CF0C250"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lastRenderedPageBreak/>
        <w:t xml:space="preserve">Entonces, si se sostiene que hoy puede la Corte derivar una competencia para suspender decretos legislativos que la Constitución reserva como objeto de control definitivo, se estaría incurriendo en una forma de “creación normativa” por vía jurisprudencial, de peso de acto reformatorio de la constitución, sin surtir el trámite previsto por el Constituyente. Más grave aún es que esa redefinición de competencias se pretenda introducir </w:t>
      </w:r>
      <w:r>
        <w:rPr>
          <w:rFonts w:ascii="Times New Roman" w:hAnsi="Times New Roman"/>
          <w:sz w:val="28"/>
          <w:szCs w:val="28"/>
        </w:rPr>
        <w:t xml:space="preserve">por la Corte </w:t>
      </w:r>
      <w:r w:rsidRPr="00345ECE">
        <w:rPr>
          <w:rFonts w:ascii="Times New Roman" w:hAnsi="Times New Roman"/>
          <w:sz w:val="28"/>
          <w:szCs w:val="28"/>
        </w:rPr>
        <w:t xml:space="preserve">vía auto –una providencia incidental, no de fondo ni de control abstracto, sin valor de precedente estructural ni alcance normativo–, en abierta contradicción con el diseño institucional del Estado de Derecho y su propia jurisprudencia dictada en sede de control previo, integral y definitivo de </w:t>
      </w:r>
      <w:r>
        <w:rPr>
          <w:rFonts w:ascii="Times New Roman" w:hAnsi="Times New Roman"/>
          <w:sz w:val="28"/>
          <w:szCs w:val="28"/>
        </w:rPr>
        <w:t xml:space="preserve">una </w:t>
      </w:r>
      <w:r w:rsidRPr="00345ECE">
        <w:rPr>
          <w:rFonts w:ascii="Times New Roman" w:hAnsi="Times New Roman"/>
          <w:sz w:val="28"/>
          <w:szCs w:val="28"/>
        </w:rPr>
        <w:t xml:space="preserve">ley estatutaria Si al legislador estatutario, por contrariar expresa restricción del texto constitucional, le estuvo vedado atribuir esa competencia, con mayor razón la auto concesión de la Corte bajo el pretexto de adaptar el control constitucional al contexto, rompe con los límites sustantivos y procedimentales que garantizan la neutralidad de la jurisdicción constitucional. </w:t>
      </w:r>
    </w:p>
    <w:p w14:paraId="0B5B21A0" w14:textId="77777777" w:rsidR="00B808B5" w:rsidRPr="00345ECE" w:rsidRDefault="00B808B5" w:rsidP="00B808B5">
      <w:pPr>
        <w:spacing w:after="0" w:line="240" w:lineRule="auto"/>
        <w:rPr>
          <w:rFonts w:ascii="Times New Roman" w:hAnsi="Times New Roman"/>
          <w:sz w:val="28"/>
          <w:szCs w:val="28"/>
        </w:rPr>
      </w:pPr>
    </w:p>
    <w:p w14:paraId="4225B132"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 xml:space="preserve">Resulta jurídicamente cuestionable que el razonamiento propuesto parta de la premisa según la cual el reparto competencial fijado por el Constituyente puede adaptarse o reconfigurarse en función de cambios contextuales de orden político, social o económico. En materia de competencias, estas son de interpretación estricta, no se presumen y solo existen en la medida en que han sido expresamente atribuidas. Esta exigencia, derivada del principio de legalidad, es una garantía que salvaguarda la separación y equilibrio de poderes arts. 6, 121 y 123 CP–. De allí se desprende que cualquier intento por ampliar las atribuciones de la Corte para suspender efectos de decretos dictados con fundamento en los artículos 212, 213 y 215, en contravía a los precisos términos de control definitivo que dispuso el Constituyente, requiere habilitación constitucional expresa. En ese sentido, sostener que la evolución del contexto permite redefinir competencias ya delimitadas por la Sala Plena no desarrolla dichos principios, sino que los desnaturaliza, pues traslada al juez constitucional una función de redefinición institucional que corresponde al Constituyente o al legislador dentro de los cauces previstos. </w:t>
      </w:r>
    </w:p>
    <w:p w14:paraId="3B0B9C3D" w14:textId="77777777" w:rsidR="00B808B5" w:rsidRPr="00345ECE" w:rsidRDefault="00B808B5" w:rsidP="00B808B5">
      <w:pPr>
        <w:spacing w:after="0" w:line="240" w:lineRule="auto"/>
        <w:rPr>
          <w:rFonts w:ascii="Times New Roman" w:hAnsi="Times New Roman"/>
          <w:sz w:val="28"/>
          <w:szCs w:val="28"/>
        </w:rPr>
      </w:pPr>
    </w:p>
    <w:p w14:paraId="4775982B" w14:textId="77777777" w:rsidR="00B808B5" w:rsidRPr="00345ECE" w:rsidRDefault="00B808B5" w:rsidP="00B808B5">
      <w:pPr>
        <w:spacing w:after="0" w:line="240" w:lineRule="auto"/>
        <w:rPr>
          <w:rFonts w:ascii="Times New Roman" w:hAnsi="Times New Roman"/>
          <w:sz w:val="28"/>
          <w:szCs w:val="28"/>
        </w:rPr>
      </w:pPr>
      <w:r w:rsidRPr="00345ECE">
        <w:rPr>
          <w:rFonts w:ascii="Times New Roman" w:hAnsi="Times New Roman"/>
          <w:sz w:val="28"/>
          <w:szCs w:val="28"/>
        </w:rPr>
        <w:t xml:space="preserve">Todo esto es especialmente grave en el marco de los estados de excepción, donde el poder se concentra en cabeza del Ejecutivo y los controles deben ser tanto más estrictos como nítidos. En este terreno, principios como la legalidad y la separación funcional de poderes actúan precisamente como garantías frente al ejercicio extraordinario del poder. Redefinir el alcance de las competencias judiciales por vía incidental, desdibujando la evolución del contenido de principios con la redefinición del alcance de competencias, sin atender los límites que impone la regla constitucional, compromete gravemente la arquitectura de control construida por el Constituyente. </w:t>
      </w:r>
    </w:p>
    <w:p w14:paraId="055B7275" w14:textId="77777777" w:rsidR="00B808B5" w:rsidRPr="00345ECE" w:rsidRDefault="00B808B5" w:rsidP="00B808B5">
      <w:pPr>
        <w:spacing w:after="0" w:line="240" w:lineRule="auto"/>
        <w:rPr>
          <w:rFonts w:ascii="Times New Roman" w:hAnsi="Times New Roman"/>
          <w:sz w:val="28"/>
          <w:szCs w:val="28"/>
        </w:rPr>
      </w:pPr>
    </w:p>
    <w:p w14:paraId="204294E6" w14:textId="77777777" w:rsidR="00B808B5" w:rsidRPr="00345ECE" w:rsidRDefault="00B808B5" w:rsidP="00B808B5">
      <w:pPr>
        <w:pStyle w:val="Prrafodelista"/>
        <w:spacing w:after="0" w:line="240" w:lineRule="auto"/>
        <w:ind w:left="0"/>
        <w:rPr>
          <w:rFonts w:ascii="Times New Roman" w:hAnsi="Times New Roman"/>
          <w:b/>
          <w:bCs/>
          <w:sz w:val="28"/>
          <w:szCs w:val="28"/>
        </w:rPr>
      </w:pPr>
      <w:r w:rsidRPr="00345ECE">
        <w:rPr>
          <w:rFonts w:ascii="Times New Roman" w:hAnsi="Times New Roman"/>
          <w:b/>
          <w:bCs/>
          <w:sz w:val="28"/>
          <w:szCs w:val="28"/>
        </w:rPr>
        <w:t>3. El Auto 272 de 2023, correctamente interpretado, no constituye precedente en el control automático de decretos dictados con fundamento en los artículos 212, 213 y 215</w:t>
      </w:r>
    </w:p>
    <w:p w14:paraId="3556FD58" w14:textId="77777777" w:rsidR="00B808B5" w:rsidRPr="00345ECE" w:rsidRDefault="00B808B5" w:rsidP="00B808B5">
      <w:pPr>
        <w:pStyle w:val="Prrafodelista"/>
        <w:spacing w:after="0" w:line="240" w:lineRule="auto"/>
        <w:ind w:left="0"/>
        <w:rPr>
          <w:rFonts w:ascii="Times New Roman" w:hAnsi="Times New Roman"/>
          <w:sz w:val="28"/>
          <w:szCs w:val="28"/>
        </w:rPr>
      </w:pPr>
    </w:p>
    <w:p w14:paraId="6541DEE0" w14:textId="77777777" w:rsidR="00B808B5" w:rsidRPr="00345ECE" w:rsidRDefault="00B808B5" w:rsidP="00B808B5">
      <w:pPr>
        <w:pStyle w:val="Prrafodelista"/>
        <w:spacing w:after="0" w:line="240" w:lineRule="auto"/>
        <w:ind w:left="0"/>
        <w:rPr>
          <w:rFonts w:ascii="Times New Roman" w:hAnsi="Times New Roman"/>
          <w:i/>
          <w:iCs/>
          <w:sz w:val="28"/>
          <w:szCs w:val="28"/>
        </w:rPr>
      </w:pPr>
      <w:r w:rsidRPr="00345ECE">
        <w:rPr>
          <w:rFonts w:ascii="Times New Roman" w:hAnsi="Times New Roman"/>
          <w:i/>
          <w:iCs/>
          <w:sz w:val="28"/>
          <w:szCs w:val="28"/>
        </w:rPr>
        <w:t>3.1 La regla del Auto 272 de 2023: una habilitación excepcional, no una cláusula general cautelar</w:t>
      </w:r>
    </w:p>
    <w:p w14:paraId="2B102346" w14:textId="77777777" w:rsidR="00B808B5" w:rsidRPr="00345ECE" w:rsidRDefault="00B808B5" w:rsidP="00B808B5">
      <w:pPr>
        <w:pStyle w:val="Prrafodelista"/>
        <w:spacing w:after="0" w:line="240" w:lineRule="auto"/>
        <w:ind w:left="0"/>
        <w:rPr>
          <w:rFonts w:ascii="Times New Roman" w:hAnsi="Times New Roman"/>
          <w:sz w:val="28"/>
          <w:szCs w:val="28"/>
        </w:rPr>
      </w:pPr>
    </w:p>
    <w:p w14:paraId="2525FD7D" w14:textId="77777777" w:rsidR="00B808B5" w:rsidRPr="00345ECE" w:rsidRDefault="00B808B5" w:rsidP="00B808B5">
      <w:pPr>
        <w:pStyle w:val="Prrafodelista"/>
        <w:spacing w:after="0" w:line="240" w:lineRule="auto"/>
        <w:ind w:left="0"/>
        <w:rPr>
          <w:rFonts w:ascii="Times New Roman" w:hAnsi="Times New Roman"/>
          <w:sz w:val="28"/>
          <w:szCs w:val="28"/>
        </w:rPr>
      </w:pPr>
      <w:r w:rsidRPr="00345ECE">
        <w:rPr>
          <w:rFonts w:ascii="Times New Roman" w:hAnsi="Times New Roman"/>
          <w:sz w:val="28"/>
          <w:szCs w:val="28"/>
        </w:rPr>
        <w:t xml:space="preserve">En relación con el Auto 272 de 2023, una lectura atenta de su contenido permite advertir que la Sala Plena no consagró una facultad cautelar general ni redefinió el sistema de controles constitucionales, sino que construyó una respuesta </w:t>
      </w:r>
      <w:r w:rsidRPr="00345ECE">
        <w:rPr>
          <w:rFonts w:ascii="Times New Roman" w:hAnsi="Times New Roman"/>
          <w:sz w:val="28"/>
          <w:szCs w:val="28"/>
        </w:rPr>
        <w:lastRenderedPageBreak/>
        <w:t xml:space="preserve">estrictamente excepcional frente a un problema muy preciso: la ineficacia del control abstracto ordinario cuando se enfrenta a disposiciones </w:t>
      </w:r>
      <w:r w:rsidRPr="00345ECE">
        <w:rPr>
          <w:rFonts w:ascii="Times New Roman" w:hAnsi="Times New Roman"/>
          <w:i/>
          <w:iCs/>
          <w:sz w:val="28"/>
          <w:szCs w:val="28"/>
        </w:rPr>
        <w:t>prima facie</w:t>
      </w:r>
      <w:r w:rsidRPr="00345ECE">
        <w:rPr>
          <w:rFonts w:ascii="Times New Roman" w:hAnsi="Times New Roman"/>
          <w:sz w:val="28"/>
          <w:szCs w:val="28"/>
        </w:rPr>
        <w:t xml:space="preserve"> abierta o manifiestamente inconstitucionales, capaces de producir efectos irremediables o de eludir el control de constitucionalidad durante el tiempo propio del proceso.</w:t>
      </w:r>
    </w:p>
    <w:p w14:paraId="3D7A5BB5" w14:textId="77777777" w:rsidR="00B808B5" w:rsidRPr="00345ECE" w:rsidRDefault="00B808B5" w:rsidP="00B808B5">
      <w:pPr>
        <w:pStyle w:val="Prrafodelista"/>
        <w:spacing w:after="0" w:line="240" w:lineRule="auto"/>
        <w:ind w:left="0"/>
        <w:rPr>
          <w:rFonts w:ascii="Times New Roman" w:hAnsi="Times New Roman"/>
          <w:sz w:val="28"/>
          <w:szCs w:val="28"/>
        </w:rPr>
      </w:pPr>
    </w:p>
    <w:p w14:paraId="1A1D0A8B" w14:textId="77777777" w:rsidR="00B808B5" w:rsidRPr="00345ECE" w:rsidRDefault="00B808B5" w:rsidP="00B808B5">
      <w:pPr>
        <w:pStyle w:val="Prrafodelista"/>
        <w:spacing w:after="0" w:line="240" w:lineRule="auto"/>
        <w:ind w:left="0"/>
        <w:rPr>
          <w:rFonts w:ascii="Times New Roman" w:hAnsi="Times New Roman"/>
          <w:sz w:val="28"/>
          <w:szCs w:val="28"/>
        </w:rPr>
      </w:pPr>
      <w:r w:rsidRPr="00345ECE">
        <w:rPr>
          <w:rFonts w:ascii="Times New Roman" w:hAnsi="Times New Roman"/>
          <w:sz w:val="28"/>
          <w:szCs w:val="28"/>
        </w:rPr>
        <w:t xml:space="preserve">Desde sus consideraciones iniciales, el Auto parte de una regla de improcedencia general de la suspensión provisional y afirma de manera reiterada que la medida solo puede operar como última ratio. La Corte insiste en que no se trata de una autorización “in genere”, sino de una medida “excepcional”, “urgente”, “impostergable” y “restrictiva”, cuya procedencia queda supeditada a un conjunto de exigencias acumulativas particularmente estrictas </w:t>
      </w:r>
    </w:p>
    <w:p w14:paraId="672A3D87" w14:textId="77777777" w:rsidR="00B808B5" w:rsidRPr="00345ECE" w:rsidRDefault="00B808B5" w:rsidP="00B808B5">
      <w:pPr>
        <w:pStyle w:val="Prrafodelista"/>
        <w:spacing w:after="0" w:line="240" w:lineRule="auto"/>
        <w:ind w:left="0"/>
        <w:rPr>
          <w:rFonts w:ascii="Times New Roman" w:hAnsi="Times New Roman"/>
          <w:sz w:val="28"/>
          <w:szCs w:val="28"/>
        </w:rPr>
      </w:pPr>
    </w:p>
    <w:p w14:paraId="5A874560" w14:textId="77777777" w:rsidR="00B808B5" w:rsidRPr="00345ECE" w:rsidRDefault="00B808B5" w:rsidP="00B808B5">
      <w:pPr>
        <w:pStyle w:val="Prrafodelista"/>
        <w:spacing w:after="0" w:line="240" w:lineRule="auto"/>
        <w:ind w:left="0"/>
        <w:rPr>
          <w:rFonts w:ascii="Times New Roman" w:hAnsi="Times New Roman"/>
          <w:sz w:val="28"/>
          <w:szCs w:val="28"/>
        </w:rPr>
      </w:pPr>
      <w:r w:rsidRPr="00345ECE">
        <w:rPr>
          <w:rFonts w:ascii="Times New Roman" w:hAnsi="Times New Roman"/>
          <w:sz w:val="28"/>
          <w:szCs w:val="28"/>
        </w:rPr>
        <w:t>Este énfasis no es retórico. El Auto construye deliberadamente un estándar de procedencia en extremo exigente, precisamente para evitar que la suspensión provisional se transforme en un mecanismo ordinario o expansivo del control constitucional.</w:t>
      </w:r>
    </w:p>
    <w:p w14:paraId="127D4BD8" w14:textId="77777777" w:rsidR="00B808B5" w:rsidRPr="00345ECE" w:rsidRDefault="00B808B5" w:rsidP="00B808B5">
      <w:pPr>
        <w:pStyle w:val="Prrafodelista"/>
        <w:spacing w:after="0" w:line="240" w:lineRule="auto"/>
        <w:ind w:left="0"/>
        <w:rPr>
          <w:rFonts w:ascii="Times New Roman" w:hAnsi="Times New Roman"/>
          <w:sz w:val="28"/>
          <w:szCs w:val="28"/>
        </w:rPr>
      </w:pPr>
    </w:p>
    <w:p w14:paraId="6BD35A62" w14:textId="77777777" w:rsidR="00B808B5" w:rsidRPr="00345ECE" w:rsidRDefault="00B808B5" w:rsidP="00B808B5">
      <w:pPr>
        <w:pStyle w:val="Prrafodelista"/>
        <w:spacing w:after="0" w:line="240" w:lineRule="auto"/>
        <w:ind w:left="0"/>
        <w:rPr>
          <w:rFonts w:ascii="Times New Roman" w:hAnsi="Times New Roman"/>
          <w:sz w:val="28"/>
          <w:szCs w:val="28"/>
        </w:rPr>
      </w:pPr>
      <w:r w:rsidRPr="00345ECE">
        <w:rPr>
          <w:rFonts w:ascii="Times New Roman" w:hAnsi="Times New Roman"/>
          <w:sz w:val="28"/>
          <w:szCs w:val="28"/>
        </w:rPr>
        <w:t>Por tanto, la regla formulada en ese Auto debe entenderse como una excepción contextual, vinculada a las particularidades del control abstracto ordinario. Esto es así porque, en efecto, nunca examinó el control automático de decretos expedidos en estados de excepción ni abordó las particularidades institucionales y constitucionales que caracterizan ese mecanismo de revisión.</w:t>
      </w:r>
    </w:p>
    <w:p w14:paraId="263F554B" w14:textId="77777777" w:rsidR="00B808B5" w:rsidRPr="00345ECE" w:rsidRDefault="00B808B5" w:rsidP="00B808B5">
      <w:pPr>
        <w:pStyle w:val="Prrafodelista"/>
        <w:spacing w:after="0" w:line="240" w:lineRule="auto"/>
        <w:ind w:left="0"/>
        <w:rPr>
          <w:rFonts w:ascii="Times New Roman" w:hAnsi="Times New Roman"/>
          <w:sz w:val="28"/>
          <w:szCs w:val="28"/>
        </w:rPr>
      </w:pPr>
    </w:p>
    <w:p w14:paraId="66B7E31A" w14:textId="77777777" w:rsidR="00B808B5" w:rsidRPr="00345ECE" w:rsidRDefault="00B808B5" w:rsidP="00B808B5">
      <w:pPr>
        <w:pStyle w:val="Prrafodelista"/>
        <w:spacing w:after="0" w:line="240" w:lineRule="auto"/>
        <w:ind w:left="0"/>
        <w:rPr>
          <w:rFonts w:ascii="Times New Roman" w:hAnsi="Times New Roman"/>
          <w:sz w:val="28"/>
          <w:szCs w:val="28"/>
        </w:rPr>
      </w:pPr>
      <w:r w:rsidRPr="680F2AC5">
        <w:rPr>
          <w:rFonts w:ascii="Times New Roman" w:hAnsi="Times New Roman"/>
          <w:sz w:val="28"/>
          <w:szCs w:val="28"/>
        </w:rPr>
        <w:t xml:space="preserve">El Auto 082 de 2026 lo demuestra al referir el estándar que deberá usar la Corte para definir la suspensión provisional. En algunos apartes, se refiere a la existencia de “serias dudas” sobre el cumplimiento de los requisitos establecidos en el artículo 215 de la Constitución, al tiempo a que alude a la prima facie “manifiesta inconstitucionalidad”, parámetros posiblemente distintos que representan el carácter inédito del auto objeto del presente salvamento de voto. </w:t>
      </w:r>
    </w:p>
    <w:p w14:paraId="379059E0" w14:textId="77777777" w:rsidR="00B808B5" w:rsidRPr="00345ECE" w:rsidRDefault="00B808B5" w:rsidP="00B808B5">
      <w:pPr>
        <w:pStyle w:val="Prrafodelista"/>
        <w:spacing w:after="0" w:line="240" w:lineRule="auto"/>
        <w:ind w:left="0"/>
        <w:rPr>
          <w:rFonts w:ascii="Times New Roman" w:hAnsi="Times New Roman"/>
          <w:sz w:val="28"/>
          <w:szCs w:val="28"/>
        </w:rPr>
      </w:pPr>
    </w:p>
    <w:p w14:paraId="37D4C2C3" w14:textId="77777777" w:rsidR="00B808B5" w:rsidRPr="00345ECE" w:rsidRDefault="00B808B5" w:rsidP="00B808B5">
      <w:pPr>
        <w:pStyle w:val="Prrafodelista"/>
        <w:spacing w:after="0" w:line="240" w:lineRule="auto"/>
        <w:ind w:left="0"/>
        <w:rPr>
          <w:rFonts w:ascii="Times New Roman" w:hAnsi="Times New Roman"/>
          <w:i/>
          <w:iCs/>
          <w:sz w:val="28"/>
          <w:szCs w:val="28"/>
        </w:rPr>
      </w:pPr>
      <w:r w:rsidRPr="00345ECE">
        <w:rPr>
          <w:rFonts w:ascii="Times New Roman" w:hAnsi="Times New Roman"/>
          <w:i/>
          <w:iCs/>
          <w:sz w:val="28"/>
          <w:szCs w:val="28"/>
        </w:rPr>
        <w:t>3.2 La lectura interna del Auto 272 de 2023 revela su anclaje exclusivo en el control abstracto ordinario</w:t>
      </w:r>
    </w:p>
    <w:p w14:paraId="78408B41" w14:textId="77777777" w:rsidR="00B808B5" w:rsidRPr="00345ECE" w:rsidRDefault="00B808B5" w:rsidP="00B808B5">
      <w:pPr>
        <w:pStyle w:val="Prrafodelista"/>
        <w:spacing w:after="0" w:line="240" w:lineRule="auto"/>
        <w:ind w:left="0"/>
        <w:rPr>
          <w:rFonts w:ascii="Times New Roman" w:hAnsi="Times New Roman"/>
          <w:i/>
          <w:iCs/>
          <w:sz w:val="28"/>
          <w:szCs w:val="28"/>
        </w:rPr>
      </w:pPr>
    </w:p>
    <w:p w14:paraId="5F2B2357" w14:textId="77777777" w:rsidR="00B808B5" w:rsidRPr="00345ECE" w:rsidRDefault="00B808B5" w:rsidP="00B808B5">
      <w:pPr>
        <w:pStyle w:val="Prrafodelista"/>
        <w:spacing w:after="0" w:line="240" w:lineRule="auto"/>
        <w:ind w:left="0"/>
        <w:rPr>
          <w:rFonts w:ascii="Times New Roman" w:hAnsi="Times New Roman"/>
          <w:sz w:val="28"/>
          <w:szCs w:val="28"/>
        </w:rPr>
      </w:pPr>
      <w:r w:rsidRPr="00345ECE">
        <w:rPr>
          <w:rFonts w:ascii="Times New Roman" w:hAnsi="Times New Roman"/>
          <w:sz w:val="28"/>
          <w:szCs w:val="28"/>
        </w:rPr>
        <w:t>El contexto normativo y procesal del Auto 272 de 2023 es inequívoco: se trata de una demanda de inconstitucionalidad contra una ley, tramitada en el marco del control abstracto ordinario, con iniciativa ciudadana y ausencia de mecanismos automáticos de control.</w:t>
      </w:r>
    </w:p>
    <w:p w14:paraId="14F79BA5" w14:textId="77777777" w:rsidR="00B808B5" w:rsidRPr="00345ECE" w:rsidRDefault="00B808B5" w:rsidP="00B808B5">
      <w:pPr>
        <w:pStyle w:val="Prrafodelista"/>
        <w:spacing w:after="0" w:line="240" w:lineRule="auto"/>
        <w:ind w:left="0"/>
        <w:rPr>
          <w:rFonts w:ascii="Times New Roman" w:hAnsi="Times New Roman"/>
          <w:sz w:val="28"/>
          <w:szCs w:val="28"/>
        </w:rPr>
      </w:pPr>
    </w:p>
    <w:p w14:paraId="7A1AD703" w14:textId="77777777" w:rsidR="00B808B5" w:rsidRPr="00345ECE" w:rsidRDefault="00B808B5" w:rsidP="00B808B5">
      <w:pPr>
        <w:pStyle w:val="Prrafodelista"/>
        <w:spacing w:after="0" w:line="240" w:lineRule="auto"/>
        <w:ind w:left="0"/>
        <w:rPr>
          <w:rFonts w:ascii="Times New Roman" w:hAnsi="Times New Roman"/>
          <w:sz w:val="28"/>
          <w:szCs w:val="28"/>
        </w:rPr>
      </w:pPr>
      <w:r w:rsidRPr="00345ECE">
        <w:rPr>
          <w:rFonts w:ascii="Times New Roman" w:hAnsi="Times New Roman"/>
          <w:sz w:val="28"/>
          <w:szCs w:val="28"/>
        </w:rPr>
        <w:t>Toda la arquitectura argumentativa del Auto gira alrededor de esa realidad procesal y es en el marco de ella en el que la Corte justifica la medida (i) en la duración ordinaria del proceso abstracto, (</w:t>
      </w:r>
      <w:proofErr w:type="spellStart"/>
      <w:r w:rsidRPr="00345ECE">
        <w:rPr>
          <w:rFonts w:ascii="Times New Roman" w:hAnsi="Times New Roman"/>
          <w:sz w:val="28"/>
          <w:szCs w:val="28"/>
        </w:rPr>
        <w:t>ii</w:t>
      </w:r>
      <w:proofErr w:type="spellEnd"/>
      <w:r w:rsidRPr="00345ECE">
        <w:rPr>
          <w:rFonts w:ascii="Times New Roman" w:hAnsi="Times New Roman"/>
          <w:sz w:val="28"/>
          <w:szCs w:val="28"/>
        </w:rPr>
        <w:t>) la posibilidad de que, durante ese lapso, la norma produzca efectos imposibles de revertir, (</w:t>
      </w:r>
      <w:proofErr w:type="spellStart"/>
      <w:r w:rsidRPr="00345ECE">
        <w:rPr>
          <w:rFonts w:ascii="Times New Roman" w:hAnsi="Times New Roman"/>
          <w:sz w:val="28"/>
          <w:szCs w:val="28"/>
        </w:rPr>
        <w:t>iii</w:t>
      </w:r>
      <w:proofErr w:type="spellEnd"/>
      <w:r w:rsidRPr="00345ECE">
        <w:rPr>
          <w:rFonts w:ascii="Times New Roman" w:hAnsi="Times New Roman"/>
          <w:sz w:val="28"/>
          <w:szCs w:val="28"/>
        </w:rPr>
        <w:t>) la insuficiencia de técnicas como la inexequibilidad retroactiva en ciertos escenarios y (</w:t>
      </w:r>
      <w:proofErr w:type="spellStart"/>
      <w:r w:rsidRPr="00345ECE">
        <w:rPr>
          <w:rFonts w:ascii="Times New Roman" w:hAnsi="Times New Roman"/>
          <w:sz w:val="28"/>
          <w:szCs w:val="28"/>
        </w:rPr>
        <w:t>iv</w:t>
      </w:r>
      <w:proofErr w:type="spellEnd"/>
      <w:r w:rsidRPr="00345ECE">
        <w:rPr>
          <w:rFonts w:ascii="Times New Roman" w:hAnsi="Times New Roman"/>
          <w:sz w:val="28"/>
          <w:szCs w:val="28"/>
        </w:rPr>
        <w:t>) el riesgo de elusión del control constitucional derivado de esa combinación de elementos.</w:t>
      </w:r>
    </w:p>
    <w:p w14:paraId="72B798A1" w14:textId="77777777" w:rsidR="00B808B5" w:rsidRPr="00345ECE" w:rsidRDefault="00B808B5" w:rsidP="00B808B5">
      <w:pPr>
        <w:pStyle w:val="Prrafodelista"/>
        <w:spacing w:after="0" w:line="240" w:lineRule="auto"/>
        <w:ind w:left="0"/>
        <w:rPr>
          <w:rFonts w:ascii="Times New Roman" w:hAnsi="Times New Roman"/>
          <w:sz w:val="28"/>
          <w:szCs w:val="28"/>
        </w:rPr>
      </w:pPr>
    </w:p>
    <w:p w14:paraId="08675326" w14:textId="77777777" w:rsidR="00B808B5" w:rsidRPr="00345ECE" w:rsidRDefault="00B808B5" w:rsidP="00B808B5">
      <w:pPr>
        <w:pStyle w:val="Prrafodelista"/>
        <w:spacing w:after="0" w:line="240" w:lineRule="auto"/>
        <w:ind w:left="0"/>
        <w:rPr>
          <w:rFonts w:ascii="Times New Roman" w:hAnsi="Times New Roman"/>
          <w:sz w:val="28"/>
          <w:szCs w:val="28"/>
        </w:rPr>
      </w:pPr>
      <w:r w:rsidRPr="00345ECE">
        <w:rPr>
          <w:rFonts w:ascii="Times New Roman" w:hAnsi="Times New Roman"/>
          <w:sz w:val="28"/>
          <w:szCs w:val="28"/>
        </w:rPr>
        <w:t>Este razonamiento se inserta en un escenario normativo específico: el control abstracto ordinario, en el cual la Constitución ni autoriza ni prohíbe expresamente la adopción de medidas cautelares durante el trámite del proceso.</w:t>
      </w:r>
    </w:p>
    <w:p w14:paraId="7EED999D" w14:textId="77777777" w:rsidR="00B808B5" w:rsidRPr="00345ECE" w:rsidRDefault="00B808B5" w:rsidP="00B808B5">
      <w:pPr>
        <w:pStyle w:val="Prrafodelista"/>
        <w:spacing w:after="0" w:line="240" w:lineRule="auto"/>
        <w:ind w:left="0"/>
        <w:rPr>
          <w:rFonts w:ascii="Times New Roman" w:hAnsi="Times New Roman"/>
          <w:sz w:val="28"/>
          <w:szCs w:val="28"/>
        </w:rPr>
      </w:pPr>
    </w:p>
    <w:p w14:paraId="7C2B20CE" w14:textId="77777777" w:rsidR="00B808B5" w:rsidRPr="00345ECE" w:rsidRDefault="00B808B5" w:rsidP="00B808B5">
      <w:pPr>
        <w:pStyle w:val="Prrafodelista"/>
        <w:spacing w:after="0" w:line="240" w:lineRule="auto"/>
        <w:ind w:left="0"/>
        <w:rPr>
          <w:rFonts w:ascii="Times New Roman" w:hAnsi="Times New Roman"/>
          <w:sz w:val="28"/>
          <w:szCs w:val="28"/>
        </w:rPr>
      </w:pPr>
      <w:r w:rsidRPr="00345ECE">
        <w:rPr>
          <w:rFonts w:ascii="Times New Roman" w:hAnsi="Times New Roman"/>
          <w:sz w:val="28"/>
          <w:szCs w:val="28"/>
        </w:rPr>
        <w:lastRenderedPageBreak/>
        <w:t>Nada de ello es trasladable, sin más, al control automático de decretos dictados con fundamento en los artículos 212, 213 y 215, que se activa de oficio, tiene términos abreviados, carácter integral y está constitucionalmente concebido como un juicio definitivo y de cierre. En este último escenario el diseño constitucional es distinto, al punto de que aquí la suspensión provisional es una posibilidad expresamente proscrita, precisamente porque el control automático fue concebido como un control inmediato, integral y definitivo.</w:t>
      </w:r>
    </w:p>
    <w:p w14:paraId="1D9679F2" w14:textId="77777777" w:rsidR="00B808B5" w:rsidRPr="00345ECE" w:rsidRDefault="00B808B5" w:rsidP="00B808B5">
      <w:pPr>
        <w:pStyle w:val="Prrafodelista"/>
        <w:spacing w:after="0" w:line="240" w:lineRule="auto"/>
        <w:ind w:left="0"/>
        <w:rPr>
          <w:rFonts w:ascii="Times New Roman" w:hAnsi="Times New Roman"/>
          <w:sz w:val="28"/>
          <w:szCs w:val="28"/>
        </w:rPr>
      </w:pPr>
    </w:p>
    <w:p w14:paraId="30D0FD2D" w14:textId="77777777" w:rsidR="00B808B5" w:rsidRPr="00345ECE" w:rsidRDefault="00B808B5" w:rsidP="00B808B5">
      <w:pPr>
        <w:pStyle w:val="Prrafodelista"/>
        <w:spacing w:after="0" w:line="240" w:lineRule="auto"/>
        <w:ind w:left="0"/>
        <w:rPr>
          <w:rFonts w:ascii="Times New Roman" w:hAnsi="Times New Roman"/>
          <w:sz w:val="28"/>
          <w:szCs w:val="28"/>
        </w:rPr>
      </w:pPr>
      <w:r w:rsidRPr="00345ECE">
        <w:rPr>
          <w:rFonts w:ascii="Times New Roman" w:hAnsi="Times New Roman"/>
          <w:sz w:val="28"/>
          <w:szCs w:val="28"/>
        </w:rPr>
        <w:t xml:space="preserve">De hecho, el propio Auto 272 de 2023 es explícito al advertir que la suspensión provisional no puede entenderse como una autorización general aplicable a todas las modalidades de control y subraya que su decisión no puede leerse como una habilitación extensiva ni analógica a otros escenarios de revisión constitucional. </w:t>
      </w:r>
    </w:p>
    <w:p w14:paraId="5C8D6D08" w14:textId="77777777" w:rsidR="00B808B5" w:rsidRPr="00345ECE" w:rsidRDefault="00B808B5" w:rsidP="00B808B5">
      <w:pPr>
        <w:pStyle w:val="Prrafodelista"/>
        <w:spacing w:after="0" w:line="240" w:lineRule="auto"/>
        <w:ind w:left="0"/>
        <w:rPr>
          <w:rFonts w:ascii="Times New Roman" w:hAnsi="Times New Roman"/>
          <w:sz w:val="28"/>
          <w:szCs w:val="28"/>
        </w:rPr>
      </w:pPr>
    </w:p>
    <w:p w14:paraId="389CA2E6" w14:textId="77777777" w:rsidR="00B808B5" w:rsidRDefault="00B808B5" w:rsidP="00B808B5">
      <w:pPr>
        <w:pStyle w:val="Prrafodelista"/>
        <w:spacing w:after="0" w:line="240" w:lineRule="auto"/>
        <w:ind w:left="0"/>
        <w:rPr>
          <w:rFonts w:ascii="Times New Roman" w:hAnsi="Times New Roman"/>
          <w:sz w:val="28"/>
          <w:szCs w:val="28"/>
        </w:rPr>
      </w:pPr>
      <w:r w:rsidRPr="680F2AC5">
        <w:rPr>
          <w:rFonts w:ascii="Times New Roman" w:hAnsi="Times New Roman"/>
          <w:sz w:val="28"/>
          <w:szCs w:val="28"/>
        </w:rPr>
        <w:t>Por su parte, el Auto 082 de 2026, con la habilitación inédita de competencias cautelares que introduce, aunada a la aplicación errónea del Auto 272</w:t>
      </w:r>
      <w:r>
        <w:rPr>
          <w:rFonts w:ascii="Times New Roman" w:hAnsi="Times New Roman"/>
          <w:sz w:val="28"/>
          <w:szCs w:val="28"/>
        </w:rPr>
        <w:t xml:space="preserve"> de 2023</w:t>
      </w:r>
      <w:r w:rsidRPr="680F2AC5">
        <w:rPr>
          <w:rFonts w:ascii="Times New Roman" w:hAnsi="Times New Roman"/>
          <w:sz w:val="28"/>
          <w:szCs w:val="28"/>
        </w:rPr>
        <w:t>, terminó alterando el diseño constitucional del control constitucional de los mencionados decretos. Tal alteración</w:t>
      </w:r>
      <w:r>
        <w:rPr>
          <w:rFonts w:ascii="Times New Roman" w:hAnsi="Times New Roman"/>
          <w:sz w:val="28"/>
          <w:szCs w:val="28"/>
        </w:rPr>
        <w:t>,</w:t>
      </w:r>
      <w:r w:rsidRPr="680F2AC5">
        <w:rPr>
          <w:rFonts w:ascii="Times New Roman" w:hAnsi="Times New Roman"/>
          <w:sz w:val="28"/>
          <w:szCs w:val="28"/>
        </w:rPr>
        <w:t xml:space="preserve"> además de desconocer el carácter expedito del control de este tipo de normas, termina obligando –inevitablemente y por más adjetivos que se incluyan- a un estudio de fondo. En efecto, el lenguaje del referido Auto, en aras de asegurar la pretendida excepcionalidad de la medida, termina acudiendo a expresiones que, inevitablemente, juzgan el fondo del asunto y difícilmente dejan espacio señalar una conclusión contraria. Por ejemplo, al señalar que “[e]</w:t>
      </w:r>
      <w:proofErr w:type="spellStart"/>
      <w:r w:rsidRPr="680F2AC5">
        <w:rPr>
          <w:rFonts w:ascii="Times New Roman" w:hAnsi="Times New Roman"/>
          <w:sz w:val="28"/>
          <w:szCs w:val="28"/>
        </w:rPr>
        <w:t>ste</w:t>
      </w:r>
      <w:proofErr w:type="spellEnd"/>
      <w:r w:rsidRPr="680F2AC5">
        <w:rPr>
          <w:rFonts w:ascii="Times New Roman" w:hAnsi="Times New Roman"/>
          <w:sz w:val="28"/>
          <w:szCs w:val="28"/>
        </w:rPr>
        <w:t xml:space="preserve"> acto, de acuerdo con lo señalado y para este momento de la discusión procesal, aparece como una </w:t>
      </w:r>
      <w:r w:rsidRPr="008E1A38">
        <w:rPr>
          <w:rFonts w:ascii="Times New Roman" w:hAnsi="Times New Roman"/>
          <w:i/>
          <w:iCs/>
          <w:sz w:val="28"/>
          <w:szCs w:val="28"/>
        </w:rPr>
        <w:t>afrenta</w:t>
      </w:r>
      <w:r w:rsidRPr="680F2AC5">
        <w:rPr>
          <w:rFonts w:ascii="Times New Roman" w:hAnsi="Times New Roman"/>
          <w:sz w:val="28"/>
          <w:szCs w:val="28"/>
        </w:rPr>
        <w:t xml:space="preserve"> contra el principio de separación de poderes y el principio democrático, toda vez que i</w:t>
      </w:r>
      <w:r w:rsidRPr="008E1A38">
        <w:rPr>
          <w:rFonts w:ascii="Times New Roman" w:hAnsi="Times New Roman"/>
          <w:i/>
          <w:iCs/>
          <w:sz w:val="28"/>
          <w:szCs w:val="28"/>
        </w:rPr>
        <w:t>nvade competencias celosamente resguardadas al legislativo</w:t>
      </w:r>
      <w:r w:rsidRPr="680F2AC5">
        <w:rPr>
          <w:rFonts w:ascii="Times New Roman" w:hAnsi="Times New Roman"/>
          <w:i/>
          <w:iCs/>
          <w:sz w:val="28"/>
          <w:szCs w:val="28"/>
        </w:rPr>
        <w:t>”</w:t>
      </w:r>
      <w:r>
        <w:rPr>
          <w:rFonts w:ascii="Times New Roman" w:hAnsi="Times New Roman"/>
          <w:sz w:val="28"/>
          <w:szCs w:val="28"/>
        </w:rPr>
        <w:t>.</w:t>
      </w:r>
    </w:p>
    <w:p w14:paraId="6C2226F8" w14:textId="77777777" w:rsidR="00B808B5" w:rsidRPr="00345ECE" w:rsidRDefault="00B808B5" w:rsidP="00B808B5">
      <w:pPr>
        <w:pStyle w:val="Prrafodelista"/>
        <w:spacing w:after="0" w:line="240" w:lineRule="auto"/>
        <w:ind w:left="0"/>
        <w:rPr>
          <w:rFonts w:ascii="Times New Roman" w:hAnsi="Times New Roman"/>
          <w:i/>
          <w:iCs/>
          <w:sz w:val="28"/>
          <w:szCs w:val="28"/>
        </w:rPr>
      </w:pPr>
      <w:r w:rsidRPr="00345ECE">
        <w:rPr>
          <w:rFonts w:ascii="Times New Roman" w:hAnsi="Times New Roman"/>
          <w:i/>
          <w:iCs/>
          <w:sz w:val="28"/>
          <w:szCs w:val="28"/>
        </w:rPr>
        <w:t>3.3 La autolimitación expresa del Auto 272 de 2023 frente al control automático</w:t>
      </w:r>
    </w:p>
    <w:p w14:paraId="753DFAFE" w14:textId="77777777" w:rsidR="00B808B5" w:rsidRPr="00345ECE" w:rsidRDefault="00B808B5" w:rsidP="00B808B5">
      <w:pPr>
        <w:pStyle w:val="Prrafodelista"/>
        <w:spacing w:after="0" w:line="240" w:lineRule="auto"/>
        <w:ind w:left="0"/>
        <w:rPr>
          <w:rFonts w:ascii="Times New Roman" w:hAnsi="Times New Roman"/>
          <w:sz w:val="28"/>
          <w:szCs w:val="28"/>
        </w:rPr>
      </w:pPr>
    </w:p>
    <w:p w14:paraId="65D2C8B3" w14:textId="77777777" w:rsidR="00B808B5" w:rsidRPr="00345ECE" w:rsidRDefault="00B808B5" w:rsidP="00B808B5">
      <w:pPr>
        <w:pStyle w:val="Prrafodelista"/>
        <w:spacing w:after="0" w:line="240" w:lineRule="auto"/>
        <w:ind w:left="0"/>
        <w:rPr>
          <w:rFonts w:ascii="Times New Roman" w:hAnsi="Times New Roman"/>
          <w:sz w:val="28"/>
          <w:szCs w:val="28"/>
        </w:rPr>
      </w:pPr>
      <w:r w:rsidRPr="00345ECE">
        <w:rPr>
          <w:rFonts w:ascii="Times New Roman" w:hAnsi="Times New Roman"/>
          <w:sz w:val="28"/>
          <w:szCs w:val="28"/>
        </w:rPr>
        <w:t>Una lectura fiel del Auto 272 de 2023 muestra, además, que la Corte es consciente del riesgo institucional de expandir indebidamente la suspensión provisional. Por ello, incorpora varias cláusulas de autocontención que resultan decisivas para el presente análisis.</w:t>
      </w:r>
    </w:p>
    <w:p w14:paraId="626A608E" w14:textId="77777777" w:rsidR="00B808B5" w:rsidRPr="00345ECE" w:rsidRDefault="00B808B5" w:rsidP="00B808B5">
      <w:pPr>
        <w:pStyle w:val="Prrafodelista"/>
        <w:spacing w:after="0" w:line="240" w:lineRule="auto"/>
        <w:ind w:left="0"/>
        <w:rPr>
          <w:rFonts w:ascii="Times New Roman" w:hAnsi="Times New Roman"/>
          <w:sz w:val="28"/>
          <w:szCs w:val="28"/>
        </w:rPr>
      </w:pPr>
    </w:p>
    <w:p w14:paraId="26070626" w14:textId="77777777" w:rsidR="00B808B5" w:rsidRPr="00345ECE" w:rsidRDefault="00B808B5" w:rsidP="00B808B5">
      <w:pPr>
        <w:pStyle w:val="Prrafodelista"/>
        <w:spacing w:after="0" w:line="240" w:lineRule="auto"/>
        <w:ind w:left="0"/>
        <w:rPr>
          <w:rFonts w:ascii="Times New Roman" w:hAnsi="Times New Roman"/>
          <w:sz w:val="28"/>
          <w:szCs w:val="28"/>
        </w:rPr>
      </w:pPr>
      <w:r w:rsidRPr="00345ECE">
        <w:rPr>
          <w:rFonts w:ascii="Times New Roman" w:hAnsi="Times New Roman"/>
          <w:sz w:val="28"/>
          <w:szCs w:val="28"/>
        </w:rPr>
        <w:t>En particular, la Sala advirtió que la medida no procede de manera automática ni siquiera frente a normas manifiestamente inconstitucionales; su adopción exige demostrar la ineficacia de alternativas menos gravosas, incluida la modulación de efectos; su decreto requiere un juicio estricto de proporcionalidad, con ponderación explícita frente al principio democrático; y</w:t>
      </w:r>
    </w:p>
    <w:p w14:paraId="76839C1E" w14:textId="77777777" w:rsidR="00B808B5" w:rsidRPr="008E1A38" w:rsidRDefault="00B808B5" w:rsidP="00B808B5">
      <w:pPr>
        <w:pStyle w:val="Prrafodelista"/>
        <w:spacing w:after="0" w:line="240" w:lineRule="auto"/>
        <w:ind w:left="0"/>
        <w:rPr>
          <w:rFonts w:ascii="Times New Roman" w:hAnsi="Times New Roman"/>
          <w:b/>
          <w:sz w:val="28"/>
          <w:szCs w:val="28"/>
        </w:rPr>
      </w:pPr>
      <w:r w:rsidRPr="00345ECE">
        <w:rPr>
          <w:rFonts w:ascii="Times New Roman" w:hAnsi="Times New Roman"/>
          <w:sz w:val="28"/>
          <w:szCs w:val="28"/>
        </w:rPr>
        <w:t>la decisión debe ser adoptada por la mayoría de la Sala Plena, precisamente por la intensidad de sus efectos.</w:t>
      </w:r>
    </w:p>
    <w:p w14:paraId="32093392" w14:textId="77777777" w:rsidR="00B808B5" w:rsidRPr="00345ECE" w:rsidRDefault="00B808B5" w:rsidP="00B808B5">
      <w:pPr>
        <w:pStyle w:val="Prrafodelista"/>
        <w:spacing w:after="0" w:line="240" w:lineRule="auto"/>
        <w:ind w:left="0"/>
        <w:rPr>
          <w:rFonts w:ascii="Times New Roman" w:hAnsi="Times New Roman"/>
          <w:sz w:val="28"/>
          <w:szCs w:val="28"/>
        </w:rPr>
      </w:pPr>
    </w:p>
    <w:p w14:paraId="260C2781" w14:textId="77777777" w:rsidR="00B808B5" w:rsidRPr="00345ECE" w:rsidRDefault="00B808B5" w:rsidP="00B808B5">
      <w:pPr>
        <w:pStyle w:val="Prrafodelista"/>
        <w:spacing w:after="0" w:line="240" w:lineRule="auto"/>
        <w:ind w:left="0"/>
        <w:rPr>
          <w:rFonts w:ascii="Times New Roman" w:hAnsi="Times New Roman"/>
          <w:sz w:val="28"/>
          <w:szCs w:val="28"/>
        </w:rPr>
      </w:pPr>
      <w:r w:rsidRPr="00345ECE">
        <w:rPr>
          <w:rFonts w:ascii="Times New Roman" w:hAnsi="Times New Roman"/>
          <w:sz w:val="28"/>
          <w:szCs w:val="28"/>
        </w:rPr>
        <w:t>Bajo ese entendimiento, y en lo que respecta a la posibilidad de estimar procedente la suspensión provisional de los decretos dictados con fundamento en los artículos 212, 213 y 215, el Auto fue explícito al remitirse a la cosa juzgada derivada de la Sentencia C-179 de 1994, en los siguientes términos:</w:t>
      </w:r>
    </w:p>
    <w:p w14:paraId="3B5453EF" w14:textId="77777777" w:rsidR="00B808B5" w:rsidRPr="00345ECE" w:rsidRDefault="00B808B5" w:rsidP="00B808B5">
      <w:pPr>
        <w:pStyle w:val="Prrafodelista"/>
        <w:spacing w:after="0" w:line="240" w:lineRule="auto"/>
        <w:ind w:left="0"/>
        <w:rPr>
          <w:rFonts w:ascii="Times New Roman" w:hAnsi="Times New Roman"/>
          <w:sz w:val="28"/>
          <w:szCs w:val="28"/>
        </w:rPr>
      </w:pPr>
    </w:p>
    <w:p w14:paraId="2D24CA06" w14:textId="77777777" w:rsidR="00B808B5" w:rsidRPr="00345ECE" w:rsidRDefault="00B808B5" w:rsidP="00B808B5">
      <w:pPr>
        <w:pStyle w:val="Prrafodelista"/>
        <w:spacing w:after="0" w:line="240" w:lineRule="auto"/>
        <w:ind w:left="567"/>
        <w:rPr>
          <w:rFonts w:ascii="Times New Roman" w:hAnsi="Times New Roman"/>
        </w:rPr>
      </w:pPr>
      <w:r w:rsidRPr="00345ECE">
        <w:rPr>
          <w:rFonts w:ascii="Times New Roman" w:hAnsi="Times New Roman"/>
        </w:rPr>
        <w:t>“61. Al realizar el control previo y automático de constitucionalidad del proyecto de ley estatutaria sobre estados de excepción (luego sancionado como la </w:t>
      </w:r>
      <w:hyperlink r:id="rId8" w:history="1">
        <w:r w:rsidRPr="00345ECE">
          <w:rPr>
            <w:rFonts w:ascii="Times New Roman" w:hAnsi="Times New Roman"/>
          </w:rPr>
          <w:t>Ley 137 de 1994</w:t>
        </w:r>
      </w:hyperlink>
      <w:r w:rsidRPr="00345ECE">
        <w:rPr>
          <w:rFonts w:ascii="Times New Roman" w:hAnsi="Times New Roman"/>
        </w:rPr>
        <w:t>), en la </w:t>
      </w:r>
      <w:hyperlink r:id="rId9" w:history="1">
        <w:r w:rsidRPr="00345ECE">
          <w:rPr>
            <w:rFonts w:ascii="Times New Roman" w:hAnsi="Times New Roman"/>
          </w:rPr>
          <w:t>Sentencia C-179 de 1994</w:t>
        </w:r>
      </w:hyperlink>
      <w:r w:rsidRPr="00345ECE">
        <w:rPr>
          <w:rFonts w:ascii="Times New Roman" w:hAnsi="Times New Roman"/>
        </w:rPr>
        <w:t>, la Corte señaló que el escrutinio judicial que realiza sobre los decretos legislativos que se dictan con fundamento en los </w:t>
      </w:r>
      <w:hyperlink r:id="rId10" w:history="1">
        <w:r w:rsidRPr="00345ECE">
          <w:rPr>
            <w:rFonts w:ascii="Times New Roman" w:hAnsi="Times New Roman"/>
          </w:rPr>
          <w:t>artículos 212 a 215</w:t>
        </w:r>
      </w:hyperlink>
      <w:r w:rsidRPr="00345ECE">
        <w:rPr>
          <w:rFonts w:ascii="Times New Roman" w:hAnsi="Times New Roman"/>
        </w:rPr>
        <w:t> de la </w:t>
      </w:r>
      <w:hyperlink r:id="rId11" w:history="1">
        <w:r w:rsidRPr="00345ECE">
          <w:rPr>
            <w:rFonts w:ascii="Times New Roman" w:hAnsi="Times New Roman"/>
          </w:rPr>
          <w:t>Constitución</w:t>
        </w:r>
      </w:hyperlink>
      <w:r w:rsidRPr="00345ECE">
        <w:rPr>
          <w:rFonts w:ascii="Times New Roman" w:hAnsi="Times New Roman"/>
        </w:rPr>
        <w:t xml:space="preserve"> es de carácter definitivo, por lo que resultaba contraria a la Constitución aquella disposición que permitía la suspensión provisional de tales decretos legislativos. La Corte indicó en dicha Sentencia que “si es deber de la Corte </w:t>
      </w:r>
      <w:r w:rsidRPr="00345ECE">
        <w:rPr>
          <w:rFonts w:ascii="Times New Roman" w:hAnsi="Times New Roman"/>
        </w:rPr>
        <w:lastRenderedPageBreak/>
        <w:t>pronunciarse en forma definitiva sobre los decretos legislativos, en los ‘estrictos y precisos términos’ contemplados en el </w:t>
      </w:r>
      <w:hyperlink r:id="rId12" w:history="1">
        <w:r w:rsidRPr="00345ECE">
          <w:rPr>
            <w:rFonts w:ascii="Times New Roman" w:hAnsi="Times New Roman"/>
          </w:rPr>
          <w:t>artículo 241</w:t>
        </w:r>
      </w:hyperlink>
      <w:r w:rsidRPr="00345ECE">
        <w:rPr>
          <w:rFonts w:ascii="Times New Roman" w:hAnsi="Times New Roman"/>
        </w:rPr>
        <w:t> de la </w:t>
      </w:r>
      <w:hyperlink r:id="rId13" w:history="1">
        <w:r w:rsidRPr="00345ECE">
          <w:rPr>
            <w:rFonts w:ascii="Times New Roman" w:hAnsi="Times New Roman"/>
          </w:rPr>
          <w:t>Constitución</w:t>
        </w:r>
      </w:hyperlink>
      <w:r w:rsidRPr="00345ECE">
        <w:rPr>
          <w:rFonts w:ascii="Times New Roman" w:hAnsi="Times New Roman"/>
        </w:rPr>
        <w:t>, mal puede una ley, como es la que se estudia, establecer la suspensión provisional de dichos actos jurídicos, lo que configura una clara y abierta violación de la normatividad Suprema”.</w:t>
      </w:r>
    </w:p>
    <w:p w14:paraId="7767059E" w14:textId="77777777" w:rsidR="00B808B5" w:rsidRPr="00345ECE" w:rsidRDefault="00B808B5" w:rsidP="00B808B5">
      <w:pPr>
        <w:pStyle w:val="Prrafodelista"/>
        <w:spacing w:after="0" w:line="240" w:lineRule="auto"/>
        <w:ind w:left="567"/>
        <w:rPr>
          <w:rFonts w:ascii="Times New Roman" w:hAnsi="Times New Roman"/>
        </w:rPr>
      </w:pPr>
    </w:p>
    <w:p w14:paraId="464F7C81" w14:textId="77777777" w:rsidR="00B808B5" w:rsidRPr="00345ECE" w:rsidRDefault="00B808B5" w:rsidP="00B808B5">
      <w:pPr>
        <w:pStyle w:val="Prrafodelista"/>
        <w:spacing w:after="0" w:line="240" w:lineRule="auto"/>
        <w:ind w:left="567"/>
        <w:rPr>
          <w:rFonts w:ascii="Times New Roman" w:hAnsi="Times New Roman"/>
        </w:rPr>
      </w:pPr>
      <w:r w:rsidRPr="00345ECE">
        <w:rPr>
          <w:rFonts w:ascii="Times New Roman" w:hAnsi="Times New Roman"/>
        </w:rPr>
        <w:t>(…)</w:t>
      </w:r>
    </w:p>
    <w:p w14:paraId="72682F4F" w14:textId="77777777" w:rsidR="00B808B5" w:rsidRPr="00345ECE" w:rsidRDefault="00B808B5" w:rsidP="00B808B5">
      <w:pPr>
        <w:pStyle w:val="Prrafodelista"/>
        <w:spacing w:after="0" w:line="240" w:lineRule="auto"/>
        <w:ind w:left="567"/>
        <w:rPr>
          <w:rFonts w:ascii="Times New Roman" w:hAnsi="Times New Roman"/>
        </w:rPr>
      </w:pPr>
    </w:p>
    <w:p w14:paraId="21EBF0B9" w14:textId="77777777" w:rsidR="00B808B5" w:rsidRPr="00345ECE" w:rsidRDefault="00B808B5" w:rsidP="00B808B5">
      <w:pPr>
        <w:pStyle w:val="Prrafodelista"/>
        <w:spacing w:after="0" w:line="240" w:lineRule="auto"/>
        <w:ind w:left="567"/>
        <w:rPr>
          <w:rFonts w:ascii="Times New Roman" w:hAnsi="Times New Roman"/>
        </w:rPr>
      </w:pPr>
      <w:r w:rsidRPr="00345ECE">
        <w:rPr>
          <w:rFonts w:ascii="Times New Roman" w:hAnsi="Times New Roman"/>
        </w:rPr>
        <w:t xml:space="preserve">82. El análisis precedente demuestra que, aunque la Corte se ha pronunciado en diversas ocasiones sobre la improcedencia de adoptar medidas excepcionales orientadas a impedir la producción de efectos de las normas objeto de control abstracto de constitucionalidad, la regla de decisión se ha referido a la inexistencia de una competencia genérica para que este Tribunal adopte decisiones de esta naturaleza. Esto </w:t>
      </w:r>
      <w:r w:rsidRPr="00345ECE">
        <w:rPr>
          <w:rFonts w:ascii="Times New Roman" w:hAnsi="Times New Roman"/>
          <w:u w:val="single"/>
        </w:rPr>
        <w:t>con excepción de las consideraciones aplicables a los decretos legislativos, sustentadas en la cosa juzgada constitucional derivada de la </w:t>
      </w:r>
      <w:hyperlink r:id="rId14" w:history="1">
        <w:r w:rsidRPr="00345ECE">
          <w:rPr>
            <w:rFonts w:ascii="Times New Roman" w:hAnsi="Times New Roman"/>
            <w:u w:val="single"/>
          </w:rPr>
          <w:t>Sentencia C-179 de 1994</w:t>
        </w:r>
      </w:hyperlink>
      <w:r w:rsidRPr="00345ECE">
        <w:rPr>
          <w:rFonts w:ascii="Times New Roman" w:hAnsi="Times New Roman"/>
        </w:rPr>
        <w:t xml:space="preserve"> y la aplicación de la tesis de improcedencia en el Auto 123 de 2022 y como se explicó en precedencia” </w:t>
      </w:r>
      <w:r w:rsidRPr="00345ECE">
        <w:rPr>
          <w:rFonts w:ascii="Times New Roman" w:hAnsi="Times New Roman"/>
          <w:sz w:val="28"/>
          <w:szCs w:val="28"/>
        </w:rPr>
        <w:t>(</w:t>
      </w:r>
      <w:r>
        <w:rPr>
          <w:rFonts w:ascii="Times New Roman" w:hAnsi="Times New Roman"/>
          <w:sz w:val="28"/>
          <w:szCs w:val="28"/>
        </w:rPr>
        <w:t>énfasis añadido</w:t>
      </w:r>
      <w:r w:rsidRPr="00345ECE">
        <w:rPr>
          <w:rFonts w:ascii="Times New Roman" w:hAnsi="Times New Roman"/>
          <w:sz w:val="28"/>
          <w:szCs w:val="28"/>
        </w:rPr>
        <w:t>).</w:t>
      </w:r>
    </w:p>
    <w:p w14:paraId="737EA8F8" w14:textId="77777777" w:rsidR="00B808B5" w:rsidRPr="00345ECE" w:rsidRDefault="00B808B5" w:rsidP="00B808B5">
      <w:pPr>
        <w:pStyle w:val="Prrafodelista"/>
        <w:spacing w:after="0" w:line="240" w:lineRule="auto"/>
        <w:ind w:left="0"/>
        <w:rPr>
          <w:rFonts w:ascii="Times New Roman" w:hAnsi="Times New Roman"/>
          <w:sz w:val="28"/>
          <w:szCs w:val="28"/>
        </w:rPr>
      </w:pPr>
    </w:p>
    <w:p w14:paraId="5D252209" w14:textId="77777777" w:rsidR="00B808B5" w:rsidRPr="00345ECE" w:rsidRDefault="00B808B5" w:rsidP="00B808B5">
      <w:pPr>
        <w:pStyle w:val="Prrafodelista"/>
        <w:spacing w:after="0" w:line="240" w:lineRule="auto"/>
        <w:ind w:left="0"/>
        <w:rPr>
          <w:rFonts w:ascii="Times New Roman" w:hAnsi="Times New Roman"/>
          <w:sz w:val="28"/>
          <w:szCs w:val="28"/>
        </w:rPr>
      </w:pPr>
      <w:r w:rsidRPr="00345ECE">
        <w:rPr>
          <w:rFonts w:ascii="Times New Roman" w:hAnsi="Times New Roman"/>
          <w:sz w:val="28"/>
          <w:szCs w:val="28"/>
        </w:rPr>
        <w:t>Estas expresas precisiones revelan que el Auto 272 de 2023 no pretendió reconfigurar el rol de la Corte como juez constitucional, ni desplazarla hacia funciones de intervención temprana en escenarios donde la Constitución diseñó controles de naturaleza definitiva.</w:t>
      </w:r>
    </w:p>
    <w:p w14:paraId="74979B7E" w14:textId="77777777" w:rsidR="00B808B5" w:rsidRPr="00345ECE" w:rsidRDefault="00B808B5" w:rsidP="00B808B5">
      <w:pPr>
        <w:pStyle w:val="Prrafodelista"/>
        <w:spacing w:after="0" w:line="240" w:lineRule="auto"/>
        <w:ind w:left="0"/>
        <w:rPr>
          <w:rFonts w:ascii="Times New Roman" w:hAnsi="Times New Roman"/>
          <w:sz w:val="28"/>
          <w:szCs w:val="28"/>
        </w:rPr>
      </w:pPr>
    </w:p>
    <w:p w14:paraId="77352403" w14:textId="77777777" w:rsidR="00B808B5" w:rsidRPr="00345ECE" w:rsidRDefault="00B808B5" w:rsidP="00B808B5">
      <w:pPr>
        <w:pStyle w:val="Prrafodelista"/>
        <w:spacing w:after="0" w:line="240" w:lineRule="auto"/>
        <w:ind w:left="0"/>
        <w:rPr>
          <w:rFonts w:ascii="Times New Roman" w:hAnsi="Times New Roman"/>
          <w:sz w:val="28"/>
          <w:szCs w:val="28"/>
        </w:rPr>
      </w:pPr>
      <w:r w:rsidRPr="00345ECE">
        <w:rPr>
          <w:rFonts w:ascii="Times New Roman" w:hAnsi="Times New Roman"/>
          <w:sz w:val="28"/>
          <w:szCs w:val="28"/>
        </w:rPr>
        <w:t xml:space="preserve">Por el contrario, la providencia se esfuerza por preservar la excepcionalidad del mecanismo, consciente de que su uso expansivo podría alterar el equilibrio entre jurisdicción constitucional y funciones de los demás poderes públicos. </w:t>
      </w:r>
    </w:p>
    <w:p w14:paraId="4CB36F04" w14:textId="77777777" w:rsidR="00B808B5" w:rsidRPr="00345ECE" w:rsidRDefault="00B808B5" w:rsidP="00B808B5">
      <w:pPr>
        <w:pStyle w:val="Prrafodelista"/>
        <w:spacing w:after="0" w:line="240" w:lineRule="auto"/>
        <w:ind w:left="0"/>
        <w:rPr>
          <w:rFonts w:ascii="Times New Roman" w:hAnsi="Times New Roman"/>
          <w:sz w:val="28"/>
          <w:szCs w:val="28"/>
        </w:rPr>
      </w:pPr>
    </w:p>
    <w:p w14:paraId="1AB6C3E6" w14:textId="77777777" w:rsidR="00B808B5" w:rsidRPr="00345ECE" w:rsidRDefault="00B808B5" w:rsidP="00B808B5">
      <w:pPr>
        <w:pStyle w:val="Prrafodelista"/>
        <w:spacing w:after="0" w:line="240" w:lineRule="auto"/>
        <w:ind w:left="0"/>
        <w:rPr>
          <w:rFonts w:ascii="Times New Roman" w:hAnsi="Times New Roman"/>
          <w:i/>
          <w:iCs/>
          <w:sz w:val="28"/>
          <w:szCs w:val="28"/>
        </w:rPr>
      </w:pPr>
      <w:r w:rsidRPr="00345ECE">
        <w:rPr>
          <w:rFonts w:ascii="Times New Roman" w:hAnsi="Times New Roman"/>
          <w:i/>
          <w:iCs/>
          <w:sz w:val="28"/>
          <w:szCs w:val="28"/>
        </w:rPr>
        <w:t>3.4 Error competencial: desbordar el diseño del control automático a partir de una lectura expansiva del Auto 272 de 2023</w:t>
      </w:r>
    </w:p>
    <w:p w14:paraId="7086010E" w14:textId="77777777" w:rsidR="00B808B5" w:rsidRPr="00345ECE" w:rsidRDefault="00B808B5" w:rsidP="00B808B5">
      <w:pPr>
        <w:pStyle w:val="Prrafodelista"/>
        <w:spacing w:after="0" w:line="240" w:lineRule="auto"/>
        <w:ind w:left="0"/>
        <w:rPr>
          <w:rFonts w:ascii="Times New Roman" w:hAnsi="Times New Roman"/>
          <w:sz w:val="28"/>
          <w:szCs w:val="28"/>
        </w:rPr>
      </w:pPr>
    </w:p>
    <w:p w14:paraId="5FE36042" w14:textId="77777777" w:rsidR="00B808B5" w:rsidRPr="00345ECE" w:rsidRDefault="00B808B5" w:rsidP="00B808B5">
      <w:pPr>
        <w:pStyle w:val="Prrafodelista"/>
        <w:spacing w:after="0" w:line="240" w:lineRule="auto"/>
        <w:ind w:left="0"/>
        <w:rPr>
          <w:rFonts w:ascii="Times New Roman" w:hAnsi="Times New Roman"/>
          <w:sz w:val="28"/>
          <w:szCs w:val="28"/>
        </w:rPr>
      </w:pPr>
      <w:r w:rsidRPr="00345ECE">
        <w:rPr>
          <w:rFonts w:ascii="Times New Roman" w:hAnsi="Times New Roman"/>
          <w:sz w:val="28"/>
          <w:szCs w:val="28"/>
        </w:rPr>
        <w:t>Finalmente, una interpretación expansiva del Auto 272 de 2023 conduce a un resultado que el propio Auto quiso evitar: la transformación del control constitucional en un sistema cautelar generalizado.</w:t>
      </w:r>
    </w:p>
    <w:p w14:paraId="30F0ACA7" w14:textId="77777777" w:rsidR="00B808B5" w:rsidRPr="00345ECE" w:rsidRDefault="00B808B5" w:rsidP="00B808B5">
      <w:pPr>
        <w:pStyle w:val="Prrafodelista"/>
        <w:spacing w:after="0" w:line="240" w:lineRule="auto"/>
        <w:ind w:left="0"/>
        <w:rPr>
          <w:rFonts w:ascii="Times New Roman" w:hAnsi="Times New Roman"/>
          <w:sz w:val="28"/>
          <w:szCs w:val="28"/>
        </w:rPr>
      </w:pPr>
    </w:p>
    <w:p w14:paraId="1C1C52FE" w14:textId="77777777" w:rsidR="00B808B5" w:rsidRPr="00345ECE" w:rsidRDefault="00B808B5" w:rsidP="00B808B5">
      <w:pPr>
        <w:pStyle w:val="Prrafodelista"/>
        <w:spacing w:after="0" w:line="240" w:lineRule="auto"/>
        <w:ind w:left="0"/>
        <w:rPr>
          <w:rFonts w:ascii="Times New Roman" w:hAnsi="Times New Roman"/>
          <w:sz w:val="28"/>
          <w:szCs w:val="28"/>
        </w:rPr>
      </w:pPr>
      <w:r w:rsidRPr="00345ECE">
        <w:rPr>
          <w:rFonts w:ascii="Times New Roman" w:hAnsi="Times New Roman"/>
          <w:sz w:val="28"/>
          <w:szCs w:val="28"/>
        </w:rPr>
        <w:t xml:space="preserve">Aplicar la suspensión provisional en el control automático de decretos </w:t>
      </w:r>
      <w:r w:rsidRPr="008E1A38">
        <w:rPr>
          <w:rFonts w:ascii="Times New Roman" w:hAnsi="Times New Roman"/>
          <w:sz w:val="28"/>
          <w:szCs w:val="28"/>
        </w:rPr>
        <w:t xml:space="preserve">dictados al amparo de los </w:t>
      </w:r>
      <w:r w:rsidRPr="0066370C">
        <w:rPr>
          <w:rFonts w:ascii="Times New Roman" w:hAnsi="Times New Roman"/>
          <w:sz w:val="28"/>
          <w:szCs w:val="28"/>
        </w:rPr>
        <w:t>artículos 212, 213 y 215 de la</w:t>
      </w:r>
      <w:r w:rsidRPr="008E1A38">
        <w:rPr>
          <w:rFonts w:ascii="Times New Roman" w:hAnsi="Times New Roman"/>
          <w:sz w:val="28"/>
          <w:szCs w:val="28"/>
        </w:rPr>
        <w:t xml:space="preserve"> Constitución</w:t>
      </w:r>
      <w:r w:rsidRPr="00345ECE">
        <w:rPr>
          <w:rFonts w:ascii="Times New Roman" w:hAnsi="Times New Roman"/>
          <w:sz w:val="28"/>
          <w:szCs w:val="28"/>
        </w:rPr>
        <w:t xml:space="preserve"> convierte un juicio posterior y definitivo en un control bifásico, con una etapa cautelar previa no prevista en su diseño constitucional. Ello desplaza a la Corte de su rol de juez de cierre hacia una posición de intervención temprana en la gestión de la emergencia, con implicaciones directas sobre la separación funcional de poderes.</w:t>
      </w:r>
    </w:p>
    <w:p w14:paraId="05A8A954" w14:textId="77777777" w:rsidR="00B808B5" w:rsidRPr="00345ECE" w:rsidRDefault="00B808B5" w:rsidP="00B808B5">
      <w:pPr>
        <w:pStyle w:val="Prrafodelista"/>
        <w:spacing w:after="0" w:line="240" w:lineRule="auto"/>
        <w:ind w:left="0"/>
        <w:rPr>
          <w:rFonts w:ascii="Times New Roman" w:hAnsi="Times New Roman"/>
          <w:sz w:val="28"/>
          <w:szCs w:val="28"/>
        </w:rPr>
      </w:pPr>
    </w:p>
    <w:p w14:paraId="3274A0D5" w14:textId="77777777" w:rsidR="00B808B5" w:rsidRPr="00345ECE" w:rsidRDefault="00B808B5" w:rsidP="00B808B5">
      <w:pPr>
        <w:pStyle w:val="Prrafodelista"/>
        <w:spacing w:after="0" w:line="240" w:lineRule="auto"/>
        <w:ind w:left="0"/>
        <w:rPr>
          <w:rFonts w:ascii="Times New Roman" w:hAnsi="Times New Roman"/>
          <w:sz w:val="28"/>
          <w:szCs w:val="28"/>
        </w:rPr>
      </w:pPr>
      <w:r w:rsidRPr="00345ECE">
        <w:rPr>
          <w:rFonts w:ascii="Times New Roman" w:hAnsi="Times New Roman"/>
          <w:sz w:val="28"/>
          <w:szCs w:val="28"/>
        </w:rPr>
        <w:t xml:space="preserve">Nada de esto se sigue del Auto 272 de 2023 cuando se lo lee con rigor. Por el contrario, la decisión reafirma la necesidad de </w:t>
      </w:r>
      <w:proofErr w:type="spellStart"/>
      <w:r w:rsidRPr="00345ECE">
        <w:rPr>
          <w:rFonts w:ascii="Times New Roman" w:hAnsi="Times New Roman"/>
          <w:sz w:val="28"/>
          <w:szCs w:val="28"/>
        </w:rPr>
        <w:t>autorrestricción</w:t>
      </w:r>
      <w:proofErr w:type="spellEnd"/>
      <w:r w:rsidRPr="00345ECE">
        <w:rPr>
          <w:rFonts w:ascii="Times New Roman" w:hAnsi="Times New Roman"/>
          <w:sz w:val="28"/>
          <w:szCs w:val="28"/>
        </w:rPr>
        <w:t xml:space="preserve"> judicial y de respeto por las diferencias estructurales entre los distintos mecanismos de control.</w:t>
      </w:r>
    </w:p>
    <w:p w14:paraId="3F4AD063" w14:textId="77777777" w:rsidR="00B808B5" w:rsidRPr="00345ECE" w:rsidRDefault="00B808B5" w:rsidP="00B808B5">
      <w:pPr>
        <w:pStyle w:val="Prrafodelista"/>
        <w:spacing w:after="0" w:line="240" w:lineRule="auto"/>
        <w:ind w:left="0"/>
        <w:rPr>
          <w:rFonts w:ascii="Times New Roman" w:hAnsi="Times New Roman"/>
          <w:sz w:val="28"/>
          <w:szCs w:val="28"/>
        </w:rPr>
      </w:pPr>
    </w:p>
    <w:p w14:paraId="34294AF8" w14:textId="77777777" w:rsidR="00B808B5" w:rsidRPr="00345ECE" w:rsidRDefault="00B808B5" w:rsidP="00B808B5">
      <w:pPr>
        <w:pStyle w:val="Prrafodelista"/>
        <w:spacing w:after="0" w:line="240" w:lineRule="auto"/>
        <w:ind w:left="0"/>
        <w:rPr>
          <w:rFonts w:ascii="Times New Roman" w:hAnsi="Times New Roman"/>
          <w:sz w:val="28"/>
          <w:szCs w:val="28"/>
        </w:rPr>
      </w:pPr>
      <w:r w:rsidRPr="00345ECE">
        <w:rPr>
          <w:rFonts w:ascii="Times New Roman" w:hAnsi="Times New Roman"/>
          <w:sz w:val="28"/>
          <w:szCs w:val="28"/>
        </w:rPr>
        <w:t xml:space="preserve">En suma, una lectura cuidadosa y estricta del Auto 272 de 2023 demuestra que su regla de procedencia cautelar es excepcional, contextual y estrictamente delimitada; se encuentra anclada en el control abstracto ordinario, no en el control automático; y no puede erigirse en precedente para habilitar la suspensión provisional de decretos </w:t>
      </w:r>
      <w:r w:rsidRPr="008E1A38">
        <w:rPr>
          <w:rFonts w:ascii="Times New Roman" w:hAnsi="Times New Roman"/>
          <w:sz w:val="28"/>
          <w:szCs w:val="28"/>
        </w:rPr>
        <w:t xml:space="preserve">dictados al amparo de los </w:t>
      </w:r>
      <w:r w:rsidRPr="000D1980">
        <w:rPr>
          <w:rFonts w:ascii="Times New Roman" w:hAnsi="Times New Roman"/>
          <w:sz w:val="28"/>
          <w:szCs w:val="28"/>
        </w:rPr>
        <w:t>artículos 212, 213 y 215 de la Constitución. Invocarlo como fundamento vincul</w:t>
      </w:r>
      <w:r w:rsidRPr="00345ECE">
        <w:rPr>
          <w:rFonts w:ascii="Times New Roman" w:hAnsi="Times New Roman"/>
          <w:sz w:val="28"/>
          <w:szCs w:val="28"/>
        </w:rPr>
        <w:t xml:space="preserve">ante en ese escenario no es una aplicación coherente del precedente, sino una extensión metodológicamente infundada y competencialmente problemática de una </w:t>
      </w:r>
      <w:r w:rsidRPr="00345ECE">
        <w:rPr>
          <w:rFonts w:ascii="Times New Roman" w:hAnsi="Times New Roman"/>
          <w:sz w:val="28"/>
          <w:szCs w:val="28"/>
        </w:rPr>
        <w:lastRenderedPageBreak/>
        <w:t>decisión que, precisamente, se construyó para evitar expansiones indebidas del poder cautelar del juez constitucional.</w:t>
      </w:r>
    </w:p>
    <w:p w14:paraId="2F2DE03D" w14:textId="77777777" w:rsidR="00B808B5" w:rsidRPr="00345ECE" w:rsidRDefault="00B808B5" w:rsidP="00B808B5">
      <w:pPr>
        <w:pStyle w:val="Prrafodelista"/>
        <w:spacing w:after="0" w:line="240" w:lineRule="auto"/>
        <w:ind w:left="0"/>
        <w:rPr>
          <w:rFonts w:ascii="Times New Roman" w:hAnsi="Times New Roman"/>
          <w:sz w:val="28"/>
          <w:szCs w:val="28"/>
        </w:rPr>
      </w:pPr>
    </w:p>
    <w:p w14:paraId="0E005D54" w14:textId="77777777" w:rsidR="00B808B5" w:rsidRPr="00345ECE" w:rsidRDefault="00B808B5" w:rsidP="00B808B5">
      <w:pPr>
        <w:spacing w:after="0" w:line="240" w:lineRule="auto"/>
        <w:ind w:right="-234"/>
        <w:rPr>
          <w:rFonts w:ascii="Times New Roman" w:hAnsi="Times New Roman"/>
          <w:sz w:val="28"/>
          <w:szCs w:val="28"/>
        </w:rPr>
      </w:pPr>
      <w:r w:rsidRPr="00345ECE">
        <w:rPr>
          <w:rFonts w:ascii="Times New Roman" w:hAnsi="Times New Roman"/>
          <w:sz w:val="28"/>
          <w:szCs w:val="28"/>
        </w:rPr>
        <w:t xml:space="preserve">Fecha </w:t>
      </w:r>
      <w:r w:rsidRPr="00345ECE">
        <w:rPr>
          <w:rFonts w:ascii="Times New Roman" w:hAnsi="Times New Roman"/>
          <w:i/>
          <w:iCs/>
          <w:sz w:val="28"/>
          <w:szCs w:val="28"/>
        </w:rPr>
        <w:t>ut supra</w:t>
      </w:r>
      <w:r w:rsidRPr="00345ECE">
        <w:rPr>
          <w:rFonts w:ascii="Times New Roman" w:hAnsi="Times New Roman"/>
          <w:sz w:val="28"/>
          <w:szCs w:val="28"/>
        </w:rPr>
        <w:t>,</w:t>
      </w:r>
    </w:p>
    <w:p w14:paraId="3F0918D6" w14:textId="77777777" w:rsidR="00B808B5" w:rsidRPr="00345ECE" w:rsidRDefault="00B808B5" w:rsidP="00B808B5">
      <w:pPr>
        <w:spacing w:after="0" w:line="240" w:lineRule="auto"/>
        <w:ind w:right="-234"/>
        <w:rPr>
          <w:rFonts w:ascii="Times New Roman" w:hAnsi="Times New Roman"/>
          <w:sz w:val="28"/>
          <w:szCs w:val="28"/>
        </w:rPr>
      </w:pPr>
    </w:p>
    <w:p w14:paraId="5B0AA1DB" w14:textId="77777777" w:rsidR="00B808B5" w:rsidRPr="00345ECE" w:rsidRDefault="00B808B5" w:rsidP="00B808B5">
      <w:pPr>
        <w:spacing w:after="0" w:line="240" w:lineRule="auto"/>
        <w:ind w:right="-234"/>
        <w:rPr>
          <w:rFonts w:ascii="Times New Roman" w:hAnsi="Times New Roman"/>
          <w:sz w:val="28"/>
          <w:szCs w:val="28"/>
        </w:rPr>
      </w:pPr>
    </w:p>
    <w:p w14:paraId="41F03FC7" w14:textId="77777777" w:rsidR="00B808B5" w:rsidRPr="00345ECE" w:rsidRDefault="00B808B5" w:rsidP="00B808B5">
      <w:pPr>
        <w:spacing w:after="0" w:line="240" w:lineRule="auto"/>
        <w:ind w:right="-234"/>
        <w:rPr>
          <w:rFonts w:ascii="Times New Roman" w:hAnsi="Times New Roman"/>
          <w:sz w:val="28"/>
          <w:szCs w:val="28"/>
        </w:rPr>
      </w:pPr>
    </w:p>
    <w:p w14:paraId="38CB7A61" w14:textId="77777777" w:rsidR="00B808B5" w:rsidRPr="00B808B5" w:rsidRDefault="00B808B5">
      <w:pPr>
        <w:spacing w:line="259" w:lineRule="auto"/>
        <w:jc w:val="left"/>
        <w:rPr>
          <w:rFonts w:ascii="Times New Roman" w:hAnsi="Times New Roman"/>
          <w:sz w:val="28"/>
          <w:szCs w:val="28"/>
          <w:lang w:val="es-CO"/>
        </w:rPr>
      </w:pPr>
    </w:p>
    <w:p w14:paraId="7122A0D8" w14:textId="77777777" w:rsidR="00B808B5" w:rsidRPr="00B808B5" w:rsidRDefault="00B808B5" w:rsidP="00D924B6">
      <w:pPr>
        <w:spacing w:after="0" w:line="240" w:lineRule="auto"/>
        <w:jc w:val="center"/>
        <w:rPr>
          <w:rFonts w:ascii="Times New Roman" w:hAnsi="Times New Roman"/>
          <w:sz w:val="28"/>
          <w:szCs w:val="28"/>
          <w:lang w:val="es-CO"/>
        </w:rPr>
      </w:pPr>
    </w:p>
    <w:sectPr w:rsidR="00B808B5" w:rsidRPr="00B808B5" w:rsidSect="005C5077">
      <w:pgSz w:w="12240" w:h="2016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BAF72F" w14:textId="77777777" w:rsidR="00205E3F" w:rsidRDefault="00205E3F" w:rsidP="00684A8D">
      <w:pPr>
        <w:spacing w:after="0" w:line="240" w:lineRule="auto"/>
      </w:pPr>
      <w:r>
        <w:separator/>
      </w:r>
    </w:p>
  </w:endnote>
  <w:endnote w:type="continuationSeparator" w:id="0">
    <w:p w14:paraId="4F384A68" w14:textId="77777777" w:rsidR="00205E3F" w:rsidRDefault="00205E3F" w:rsidP="00684A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Yu Mincho">
    <w:panose1 w:val="02020400000000000000"/>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B75788" w14:textId="77777777" w:rsidR="00205E3F" w:rsidRDefault="00205E3F" w:rsidP="00684A8D">
      <w:pPr>
        <w:spacing w:after="0" w:line="240" w:lineRule="auto"/>
      </w:pPr>
      <w:r>
        <w:separator/>
      </w:r>
    </w:p>
  </w:footnote>
  <w:footnote w:type="continuationSeparator" w:id="0">
    <w:p w14:paraId="54C4CAC2" w14:textId="77777777" w:rsidR="00205E3F" w:rsidRDefault="00205E3F" w:rsidP="00684A8D">
      <w:pPr>
        <w:spacing w:after="0" w:line="240" w:lineRule="auto"/>
      </w:pPr>
      <w:r>
        <w:continuationSeparator/>
      </w:r>
    </w:p>
  </w:footnote>
  <w:footnote w:id="1">
    <w:p w14:paraId="06712A26" w14:textId="77777777" w:rsidR="00A03B4C" w:rsidRDefault="007B11D8" w:rsidP="006F75AD">
      <w:pPr>
        <w:widowControl w:val="0"/>
        <w:tabs>
          <w:tab w:val="left" w:pos="284"/>
          <w:tab w:val="left" w:pos="426"/>
        </w:tabs>
        <w:autoSpaceDE w:val="0"/>
        <w:autoSpaceDN w:val="0"/>
        <w:adjustRightInd w:val="0"/>
        <w:spacing w:after="0" w:line="240" w:lineRule="auto"/>
      </w:pPr>
      <w:r w:rsidRPr="007F2045">
        <w:rPr>
          <w:rFonts w:ascii="Times New Roman" w:hAnsi="Times New Roman"/>
          <w:sz w:val="20"/>
          <w:szCs w:val="20"/>
          <w:vertAlign w:val="superscript"/>
        </w:rPr>
        <w:footnoteRef/>
      </w:r>
      <w:r w:rsidRPr="007F2045">
        <w:rPr>
          <w:rFonts w:ascii="Times New Roman" w:hAnsi="Times New Roman"/>
          <w:sz w:val="20"/>
          <w:szCs w:val="20"/>
        </w:rPr>
        <w:t xml:space="preserve"> </w:t>
      </w:r>
      <w:r w:rsidRPr="007F2045">
        <w:rPr>
          <w:rFonts w:ascii="Times New Roman" w:eastAsia="MS Mincho" w:hAnsi="Times New Roman"/>
          <w:sz w:val="20"/>
          <w:szCs w:val="20"/>
          <w:lang w:val="es-CO" w:eastAsia="es-MX"/>
        </w:rPr>
        <w:t xml:space="preserve">El texto del decreto se transcribe integralmente </w:t>
      </w:r>
      <w:bookmarkStart w:id="1" w:name="_Hlk143612583"/>
      <w:r w:rsidRPr="007F2045">
        <w:rPr>
          <w:rFonts w:ascii="Times New Roman" w:eastAsia="MS Mincho" w:hAnsi="Times New Roman"/>
          <w:iCs/>
          <w:sz w:val="20"/>
          <w:szCs w:val="20"/>
          <w:lang w:val="es-CO" w:eastAsia="es-MX"/>
        </w:rPr>
        <w:t>en el</w:t>
      </w:r>
      <w:r w:rsidRPr="007F2045">
        <w:rPr>
          <w:rFonts w:ascii="Times New Roman" w:eastAsia="MS Mincho" w:hAnsi="Times New Roman"/>
          <w:i/>
          <w:sz w:val="20"/>
          <w:szCs w:val="20"/>
          <w:lang w:val="es-CO" w:eastAsia="es-MX"/>
        </w:rPr>
        <w:t xml:space="preserve"> </w:t>
      </w:r>
      <w:r w:rsidRPr="007F2045">
        <w:rPr>
          <w:rFonts w:ascii="Times New Roman" w:eastAsia="MS Mincho" w:hAnsi="Times New Roman"/>
          <w:b/>
          <w:bCs/>
          <w:iCs/>
          <w:sz w:val="20"/>
          <w:szCs w:val="20"/>
          <w:lang w:val="es-CO" w:eastAsia="es-MX"/>
        </w:rPr>
        <w:t>anexo 1</w:t>
      </w:r>
      <w:r w:rsidRPr="007F2045">
        <w:rPr>
          <w:rFonts w:ascii="Times New Roman" w:eastAsia="MS Mincho" w:hAnsi="Times New Roman"/>
          <w:sz w:val="20"/>
          <w:szCs w:val="20"/>
          <w:lang w:val="es-CO" w:eastAsia="es-MX"/>
        </w:rPr>
        <w:t>.</w:t>
      </w:r>
      <w:bookmarkEnd w:id="1"/>
      <w:r w:rsidRPr="007F2045">
        <w:rPr>
          <w:rFonts w:ascii="Times New Roman" w:eastAsia="MS Mincho" w:hAnsi="Times New Roman"/>
          <w:sz w:val="20"/>
          <w:szCs w:val="20"/>
          <w:lang w:val="es-CO" w:eastAsia="es-MX"/>
        </w:rPr>
        <w:t xml:space="preserve"> Su descripción general es la siguiente: considerandos (pp. 1-16), presupuesto fáctico (pp. 2-9), presupuesto valorativo (pp. 9-14), presupuesto de suficiencia (pp. 14-16), articulado (pp. 16) y firmas (pp. 17-20).</w:t>
      </w:r>
    </w:p>
  </w:footnote>
  <w:footnote w:id="2">
    <w:p w14:paraId="3E6A9E37" w14:textId="77777777" w:rsidR="00A03B4C" w:rsidRDefault="007B11D8">
      <w:pPr>
        <w:pStyle w:val="Textonotapie"/>
      </w:pPr>
      <w:r w:rsidRPr="007F2045">
        <w:rPr>
          <w:rFonts w:ascii="Times New Roman" w:hAnsi="Times New Roman"/>
          <w:vertAlign w:val="superscript"/>
        </w:rPr>
        <w:footnoteRef/>
      </w:r>
      <w:r w:rsidRPr="007F2045">
        <w:rPr>
          <w:rFonts w:ascii="Times New Roman" w:hAnsi="Times New Roman"/>
        </w:rPr>
        <w:t xml:space="preserve"> </w:t>
      </w:r>
      <w:r w:rsidRPr="007F2045">
        <w:rPr>
          <w:rFonts w:ascii="Times New Roman" w:eastAsia="MS Mincho" w:hAnsi="Times New Roman"/>
          <w:lang w:val="es-CO" w:eastAsia="es-MX"/>
        </w:rPr>
        <w:t xml:space="preserve">La Corte también recibió varias solicitudes para suspender el Decreto 1390 de 2025. Entre ellas se encontraban las presentadas por Angélica Lozano Correa y Catherine </w:t>
      </w:r>
      <w:proofErr w:type="spellStart"/>
      <w:r w:rsidRPr="007F2045">
        <w:rPr>
          <w:rFonts w:ascii="Times New Roman" w:eastAsia="MS Mincho" w:hAnsi="Times New Roman"/>
          <w:lang w:val="es-CO" w:eastAsia="es-MX"/>
        </w:rPr>
        <w:t>Juvinao</w:t>
      </w:r>
      <w:proofErr w:type="spellEnd"/>
      <w:r w:rsidRPr="007F2045">
        <w:rPr>
          <w:rFonts w:ascii="Times New Roman" w:eastAsia="MS Mincho" w:hAnsi="Times New Roman"/>
          <w:lang w:val="es-CO" w:eastAsia="es-MX"/>
        </w:rPr>
        <w:t xml:space="preserve">, Paloma Valencia Laserna, Efraín Cepeda y otros, Catalina Hoyos Jiménez, Richard Humberto </w:t>
      </w:r>
      <w:proofErr w:type="spellStart"/>
      <w:r w:rsidRPr="007F2045">
        <w:rPr>
          <w:rFonts w:ascii="Times New Roman" w:eastAsia="MS Mincho" w:hAnsi="Times New Roman"/>
          <w:lang w:val="es-CO" w:eastAsia="es-MX"/>
        </w:rPr>
        <w:t>Fuelantala</w:t>
      </w:r>
      <w:proofErr w:type="spellEnd"/>
      <w:r w:rsidRPr="007F2045">
        <w:rPr>
          <w:rFonts w:ascii="Times New Roman" w:eastAsia="MS Mincho" w:hAnsi="Times New Roman"/>
          <w:lang w:val="es-CO" w:eastAsia="es-MX"/>
        </w:rPr>
        <w:t xml:space="preserve"> Delgado, Luz María González de Bedout y otros, Christian Munir Garcés Aljure, Luis Felipe Henao Cardona, Jaime Enrique Lozano, Carlos Fernando </w:t>
      </w:r>
      <w:proofErr w:type="spellStart"/>
      <w:r w:rsidRPr="007F2045">
        <w:rPr>
          <w:rFonts w:ascii="Times New Roman" w:eastAsia="MS Mincho" w:hAnsi="Times New Roman"/>
          <w:lang w:val="es-CO" w:eastAsia="es-MX"/>
        </w:rPr>
        <w:t>Motoa</w:t>
      </w:r>
      <w:proofErr w:type="spellEnd"/>
      <w:r w:rsidRPr="007F2045">
        <w:rPr>
          <w:rFonts w:ascii="Times New Roman" w:eastAsia="MS Mincho" w:hAnsi="Times New Roman"/>
          <w:lang w:val="es-CO" w:eastAsia="es-MX"/>
        </w:rPr>
        <w:t xml:space="preserve"> Solarte, Miguel Alberto Mayorga Mogollón, José David Riveros </w:t>
      </w:r>
      <w:proofErr w:type="spellStart"/>
      <w:r w:rsidRPr="007F2045">
        <w:rPr>
          <w:rFonts w:ascii="Times New Roman" w:eastAsia="MS Mincho" w:hAnsi="Times New Roman"/>
          <w:lang w:val="es-CO" w:eastAsia="es-MX"/>
        </w:rPr>
        <w:t>Namén</w:t>
      </w:r>
      <w:proofErr w:type="spellEnd"/>
      <w:r w:rsidRPr="007F2045">
        <w:rPr>
          <w:rFonts w:ascii="Times New Roman" w:eastAsia="MS Mincho" w:hAnsi="Times New Roman"/>
          <w:lang w:val="es-CO" w:eastAsia="es-MX"/>
        </w:rPr>
        <w:t xml:space="preserve">, la Alcaldía de Medellín, la Gobernación de Antioquia, el Consejo Gremial Nacional, </w:t>
      </w:r>
      <w:proofErr w:type="spellStart"/>
      <w:r w:rsidRPr="007F2045">
        <w:rPr>
          <w:rFonts w:ascii="Times New Roman" w:eastAsia="MS Mincho" w:hAnsi="Times New Roman"/>
          <w:lang w:val="es-CO" w:eastAsia="es-MX"/>
        </w:rPr>
        <w:t>Asocapitales</w:t>
      </w:r>
      <w:proofErr w:type="spellEnd"/>
      <w:r w:rsidRPr="007F2045">
        <w:rPr>
          <w:rFonts w:ascii="Times New Roman" w:eastAsia="MS Mincho" w:hAnsi="Times New Roman"/>
          <w:lang w:val="es-CO" w:eastAsia="es-MX"/>
        </w:rPr>
        <w:t xml:space="preserve">, la Federación Nacional de Departamentos, la Asociación Nacional de Empresarios de Colombia </w:t>
      </w:r>
      <w:r w:rsidR="00525409" w:rsidRPr="007F2045">
        <w:rPr>
          <w:rFonts w:ascii="Times New Roman" w:eastAsia="MS Mincho" w:hAnsi="Times New Roman"/>
          <w:lang w:val="es-CO" w:eastAsia="es-MX"/>
        </w:rPr>
        <w:t>-</w:t>
      </w:r>
      <w:r w:rsidRPr="007F2045">
        <w:rPr>
          <w:rFonts w:ascii="Times New Roman" w:eastAsia="MS Mincho" w:hAnsi="Times New Roman"/>
          <w:lang w:val="es-CO" w:eastAsia="es-MX"/>
        </w:rPr>
        <w:t xml:space="preserve"> ANDI, David Gerardo Cote Rodríguez, Camilo Andrés Rojas Castro, Abelardo de La Espriella, Germán Calderón España, Diego Alejandro  Gutiérrez Narváez, Carlos Mario Salgado Morales, Sandro Manuel Junco Riveira, Miguel Alberto Mayorga Mogollón, José Manuel Restrepo </w:t>
      </w:r>
      <w:proofErr w:type="spellStart"/>
      <w:r w:rsidRPr="007F2045">
        <w:rPr>
          <w:rFonts w:ascii="Times New Roman" w:eastAsia="MS Mincho" w:hAnsi="Times New Roman"/>
          <w:lang w:val="es-CO" w:eastAsia="es-MX"/>
        </w:rPr>
        <w:t>Abondano</w:t>
      </w:r>
      <w:proofErr w:type="spellEnd"/>
      <w:r w:rsidRPr="007F2045">
        <w:rPr>
          <w:rFonts w:ascii="Times New Roman" w:eastAsia="MS Mincho" w:hAnsi="Times New Roman"/>
          <w:lang w:val="es-CO" w:eastAsia="es-MX"/>
        </w:rPr>
        <w:t xml:space="preserve">, Lucas Pombo Santos y Francisco Gnecco Estrada, </w:t>
      </w:r>
      <w:proofErr w:type="spellStart"/>
      <w:r w:rsidRPr="007F2045">
        <w:rPr>
          <w:rFonts w:ascii="Times New Roman" w:eastAsia="MS Mincho" w:hAnsi="Times New Roman"/>
          <w:lang w:val="es-CO" w:eastAsia="es-MX"/>
        </w:rPr>
        <w:t>Duverney</w:t>
      </w:r>
      <w:proofErr w:type="spellEnd"/>
      <w:r w:rsidRPr="007F2045">
        <w:rPr>
          <w:rFonts w:ascii="Times New Roman" w:eastAsia="MS Mincho" w:hAnsi="Times New Roman"/>
          <w:lang w:val="es-CO" w:eastAsia="es-MX"/>
        </w:rPr>
        <w:t xml:space="preserve"> Ardila Germán de </w:t>
      </w:r>
      <w:proofErr w:type="spellStart"/>
      <w:r w:rsidRPr="007F2045">
        <w:rPr>
          <w:rFonts w:ascii="Times New Roman" w:eastAsia="MS Mincho" w:hAnsi="Times New Roman"/>
          <w:lang w:val="es-CO" w:eastAsia="es-MX"/>
        </w:rPr>
        <w:t>Ribón</w:t>
      </w:r>
      <w:proofErr w:type="spellEnd"/>
      <w:r w:rsidRPr="007F2045">
        <w:rPr>
          <w:rFonts w:ascii="Times New Roman" w:eastAsia="MS Mincho" w:hAnsi="Times New Roman"/>
          <w:lang w:val="es-CO" w:eastAsia="es-MX"/>
        </w:rPr>
        <w:t xml:space="preserve"> y Guillermo Otálora Lozano. Sin embargo, como se precisará en la sección 5 de esta providencia, la suspensión provisional solo procede a solicitud de al menos uno de los integrantes de la Sala Plena de la Corte.</w:t>
      </w:r>
    </w:p>
  </w:footnote>
  <w:footnote w:id="3">
    <w:p w14:paraId="1B44767B"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Esta postura ha sido la línea pacífica de este Tribunal (Corte Constitucional, sentencia C-145 de 2020). </w:t>
      </w:r>
    </w:p>
  </w:footnote>
  <w:footnote w:id="4">
    <w:p w14:paraId="2C81FFA3"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w:t>
      </w:r>
      <w:r w:rsidRPr="007F2045">
        <w:rPr>
          <w:rFonts w:ascii="Times New Roman" w:eastAsia="MS Mincho" w:hAnsi="Times New Roman"/>
          <w:bCs/>
          <w:lang w:eastAsia="es-ES"/>
        </w:rPr>
        <w:t xml:space="preserve">En ese sentido, </w:t>
      </w:r>
      <w:r w:rsidRPr="007F2045">
        <w:rPr>
          <w:rFonts w:ascii="Times New Roman" w:hAnsi="Times New Roman"/>
        </w:rPr>
        <w:t xml:space="preserve">resulta aplicable la regla fijada por la Corte, según la cual, en aquellos casos en los cuales en desarrollo de una norma habilitante se expiden normas que ejercen la atribución, la Corte conserva competencia para pronunciarse sobre la primera, a pesar de que el término para ejercer la facultad ha concluido. En la sentencia C-226 de 2021 indicó la Corte: </w:t>
      </w:r>
      <w:r w:rsidRPr="007F2045">
        <w:rPr>
          <w:rFonts w:ascii="Times New Roman" w:hAnsi="Times New Roman"/>
          <w:shd w:val="clear" w:color="auto" w:fill="FFFFFF"/>
        </w:rPr>
        <w:t>“Por el contrario, la norma transitoria que se encuentra cuestionada dio lugar, a su amparo, a la expedición de seis decretos leyes (…), que se encuentran vigentes y surtiendo efectos jurídicos. La validez constitucional de dichos decretos depende directamente de la norma habilitante; ella integra el parámetro del control de constitucionalidad, al mismo tiempo que la eventual inexequibilidad de la norma cuestionada, entrañaría la inconstitucionalidad, por consecuencia, de los decretos expedidos a su amparo. Es por todo lo anterior, que la Sala Plena de la Corte Constitucional concluye que, en el presente caso, aunque la norma demandada agotó su contenido prescriptivo, delimitado temporalmente, dentro de dicha oportunidad se expidieron decretos leyes en su desarrollo, los cuales se encuentran vigentes y produciendo efectos, por lo que sí existe objeto del control de constitucionalidad”.</w:t>
      </w:r>
    </w:p>
  </w:footnote>
  <w:footnote w:id="5">
    <w:p w14:paraId="1238D77A"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w:t>
      </w:r>
      <w:proofErr w:type="spellStart"/>
      <w:r w:rsidRPr="007F2045">
        <w:rPr>
          <w:rFonts w:ascii="Times New Roman" w:hAnsi="Times New Roman"/>
          <w:kern w:val="0"/>
          <w:lang w:val="es-CO" w:eastAsia="es-ES_tradnl"/>
        </w:rPr>
        <w:t>Ayma-Huallpa</w:t>
      </w:r>
      <w:proofErr w:type="spellEnd"/>
      <w:r w:rsidRPr="007F2045">
        <w:rPr>
          <w:rFonts w:ascii="Times New Roman" w:hAnsi="Times New Roman"/>
          <w:kern w:val="0"/>
          <w:lang w:val="es-CO" w:eastAsia="es-ES_tradnl"/>
        </w:rPr>
        <w:t xml:space="preserve">, H. (2026). Impacto de las medidas cautelares constitucionales en la estabilidad de la administración pública y el derecho al buen gobierno en el Perú. </w:t>
      </w:r>
      <w:proofErr w:type="spellStart"/>
      <w:r w:rsidRPr="007F2045">
        <w:rPr>
          <w:rFonts w:ascii="Times New Roman" w:hAnsi="Times New Roman"/>
          <w:i/>
          <w:iCs/>
          <w:kern w:val="0"/>
          <w:lang w:val="es-CO" w:eastAsia="es-ES_tradnl"/>
        </w:rPr>
        <w:t>Prohominum</w:t>
      </w:r>
      <w:proofErr w:type="spellEnd"/>
      <w:r w:rsidRPr="007F2045">
        <w:rPr>
          <w:rFonts w:ascii="Times New Roman" w:hAnsi="Times New Roman"/>
          <w:i/>
          <w:iCs/>
          <w:kern w:val="0"/>
          <w:lang w:val="es-CO" w:eastAsia="es-ES_tradnl"/>
        </w:rPr>
        <w:t xml:space="preserve">, </w:t>
      </w:r>
      <w:r w:rsidRPr="007F2045">
        <w:rPr>
          <w:rFonts w:ascii="Times New Roman" w:hAnsi="Times New Roman"/>
          <w:kern w:val="0"/>
          <w:lang w:val="es-CO" w:eastAsia="es-ES_tradnl"/>
        </w:rPr>
        <w:t xml:space="preserve">8(1), 259–270; Hernández Valle, R. (2021). Las medidas cautelares en los procesos constitucionales (Cap. X). En </w:t>
      </w:r>
      <w:r w:rsidRPr="007F2045">
        <w:rPr>
          <w:rFonts w:ascii="Times New Roman" w:hAnsi="Times New Roman"/>
          <w:i/>
          <w:iCs/>
          <w:kern w:val="0"/>
          <w:lang w:val="es-CO" w:eastAsia="es-ES_tradnl"/>
        </w:rPr>
        <w:t>Derecho procesal constitucional y derecho convencional</w:t>
      </w:r>
      <w:r w:rsidRPr="007F2045">
        <w:rPr>
          <w:rFonts w:ascii="Times New Roman" w:hAnsi="Times New Roman"/>
          <w:kern w:val="0"/>
          <w:lang w:val="es-CO" w:eastAsia="es-ES_tradnl"/>
        </w:rPr>
        <w:t xml:space="preserve"> (pp. 171–214). Instituto de Estudios Constitucionales del Estado de Querétaro; Instituto de Investigaciones Jurídicas, UNAM; Mora-Córdova, D. F. (2021). </w:t>
      </w:r>
      <w:r w:rsidRPr="007F2045">
        <w:rPr>
          <w:rFonts w:ascii="Times New Roman" w:hAnsi="Times New Roman"/>
          <w:i/>
          <w:iCs/>
          <w:kern w:val="0"/>
          <w:lang w:val="es-CO" w:eastAsia="es-ES_tradnl"/>
        </w:rPr>
        <w:t>Antinomias constitucionales: Impacto en el derecho a la tutela judicial efectiva en el Estado ecuatoriano</w:t>
      </w:r>
      <w:r w:rsidRPr="007F2045">
        <w:rPr>
          <w:rFonts w:ascii="Times New Roman" w:hAnsi="Times New Roman"/>
          <w:kern w:val="0"/>
          <w:lang w:val="es-CO" w:eastAsia="es-ES_tradnl"/>
        </w:rPr>
        <w:t xml:space="preserve">. Santiago; Rodríguez, M. del R., &amp; Soberanes Díez, J. M. (2022). </w:t>
      </w:r>
      <w:r w:rsidRPr="007F2045">
        <w:rPr>
          <w:rFonts w:ascii="Times New Roman" w:hAnsi="Times New Roman"/>
          <w:i/>
          <w:iCs/>
          <w:kern w:val="0"/>
          <w:lang w:val="es-CO" w:eastAsia="es-ES_tradnl"/>
        </w:rPr>
        <w:t>Las medidas cautelares en los procesos constitucionales</w:t>
      </w:r>
      <w:r w:rsidRPr="007F2045">
        <w:rPr>
          <w:rFonts w:ascii="Times New Roman" w:hAnsi="Times New Roman"/>
          <w:kern w:val="0"/>
          <w:lang w:val="es-CO" w:eastAsia="es-ES_tradnl"/>
        </w:rPr>
        <w:t xml:space="preserve">. </w:t>
      </w:r>
      <w:proofErr w:type="spellStart"/>
      <w:r w:rsidRPr="007F2045">
        <w:rPr>
          <w:rFonts w:ascii="Times New Roman" w:hAnsi="Times New Roman"/>
          <w:kern w:val="0"/>
          <w:lang w:val="en-US" w:eastAsia="es-ES_tradnl"/>
        </w:rPr>
        <w:t>Tirant</w:t>
      </w:r>
      <w:proofErr w:type="spellEnd"/>
      <w:r w:rsidRPr="007F2045">
        <w:rPr>
          <w:rFonts w:ascii="Times New Roman" w:hAnsi="Times New Roman"/>
          <w:kern w:val="0"/>
          <w:lang w:val="en-US" w:eastAsia="es-ES_tradnl"/>
        </w:rPr>
        <w:t xml:space="preserve"> lo Blanch; Sharpe, R. J. (2019). Interim Remedies and Constitutional Rights. </w:t>
      </w:r>
      <w:proofErr w:type="spellStart"/>
      <w:r w:rsidRPr="007F2045">
        <w:rPr>
          <w:rFonts w:ascii="Times New Roman" w:hAnsi="Times New Roman"/>
          <w:i/>
          <w:iCs/>
          <w:kern w:val="0"/>
          <w:lang w:val="es-CO" w:eastAsia="es-ES_tradnl"/>
        </w:rPr>
        <w:t>University</w:t>
      </w:r>
      <w:proofErr w:type="spellEnd"/>
      <w:r w:rsidRPr="007F2045">
        <w:rPr>
          <w:rFonts w:ascii="Times New Roman" w:hAnsi="Times New Roman"/>
          <w:i/>
          <w:iCs/>
          <w:kern w:val="0"/>
          <w:lang w:val="es-CO" w:eastAsia="es-ES_tradnl"/>
        </w:rPr>
        <w:t xml:space="preserve"> </w:t>
      </w:r>
      <w:proofErr w:type="spellStart"/>
      <w:r w:rsidRPr="007F2045">
        <w:rPr>
          <w:rFonts w:ascii="Times New Roman" w:hAnsi="Times New Roman"/>
          <w:i/>
          <w:iCs/>
          <w:kern w:val="0"/>
          <w:lang w:val="es-CO" w:eastAsia="es-ES_tradnl"/>
        </w:rPr>
        <w:t>of</w:t>
      </w:r>
      <w:proofErr w:type="spellEnd"/>
      <w:r w:rsidRPr="007F2045">
        <w:rPr>
          <w:rFonts w:ascii="Times New Roman" w:hAnsi="Times New Roman"/>
          <w:i/>
          <w:iCs/>
          <w:kern w:val="0"/>
          <w:lang w:val="es-CO" w:eastAsia="es-ES_tradnl"/>
        </w:rPr>
        <w:t xml:space="preserve"> Toronto </w:t>
      </w:r>
      <w:proofErr w:type="spellStart"/>
      <w:r w:rsidRPr="007F2045">
        <w:rPr>
          <w:rFonts w:ascii="Times New Roman" w:hAnsi="Times New Roman"/>
          <w:i/>
          <w:iCs/>
          <w:kern w:val="0"/>
          <w:lang w:val="es-CO" w:eastAsia="es-ES_tradnl"/>
        </w:rPr>
        <w:t>Law</w:t>
      </w:r>
      <w:proofErr w:type="spellEnd"/>
      <w:r w:rsidRPr="007F2045">
        <w:rPr>
          <w:rFonts w:ascii="Times New Roman" w:hAnsi="Times New Roman"/>
          <w:i/>
          <w:iCs/>
          <w:kern w:val="0"/>
          <w:lang w:val="es-CO" w:eastAsia="es-ES_tradnl"/>
        </w:rPr>
        <w:t xml:space="preserve"> </w:t>
      </w:r>
      <w:proofErr w:type="spellStart"/>
      <w:r w:rsidRPr="007F2045">
        <w:rPr>
          <w:rFonts w:ascii="Times New Roman" w:hAnsi="Times New Roman"/>
          <w:i/>
          <w:iCs/>
          <w:kern w:val="0"/>
          <w:lang w:val="es-CO" w:eastAsia="es-ES_tradnl"/>
        </w:rPr>
        <w:t>Journal</w:t>
      </w:r>
      <w:proofErr w:type="spellEnd"/>
      <w:r w:rsidRPr="007F2045">
        <w:rPr>
          <w:rFonts w:ascii="Times New Roman" w:hAnsi="Times New Roman"/>
          <w:i/>
          <w:iCs/>
          <w:kern w:val="0"/>
          <w:lang w:val="es-CO" w:eastAsia="es-ES_tradnl"/>
        </w:rPr>
        <w:t>, 69</w:t>
      </w:r>
      <w:r w:rsidRPr="007F2045">
        <w:rPr>
          <w:rFonts w:ascii="Times New Roman" w:hAnsi="Times New Roman"/>
          <w:kern w:val="0"/>
          <w:lang w:val="es-CO" w:eastAsia="es-ES_tradnl"/>
        </w:rPr>
        <w:t xml:space="preserve">, 9–32. </w:t>
      </w:r>
    </w:p>
  </w:footnote>
  <w:footnote w:id="6">
    <w:p w14:paraId="29AF0CD5"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w:t>
      </w:r>
      <w:r w:rsidRPr="007F2045">
        <w:rPr>
          <w:rFonts w:ascii="Times New Roman" w:hAnsi="Times New Roman"/>
          <w:lang w:val="es-ES_tradnl"/>
        </w:rPr>
        <w:t xml:space="preserve">Ibid. </w:t>
      </w:r>
    </w:p>
  </w:footnote>
  <w:footnote w:id="7">
    <w:p w14:paraId="3B8C12FB"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Sobre el tema, se puede analizar: Hernández Valle, R. (2021). </w:t>
      </w:r>
      <w:r w:rsidRPr="007F2045">
        <w:rPr>
          <w:rStyle w:val="nfasis"/>
          <w:rFonts w:ascii="Times New Roman" w:hAnsi="Times New Roman"/>
        </w:rPr>
        <w:t>Las medidas cautelares en los procesos constitucionales</w:t>
      </w:r>
      <w:r w:rsidRPr="007F2045">
        <w:rPr>
          <w:rFonts w:ascii="Times New Roman" w:hAnsi="Times New Roman"/>
        </w:rPr>
        <w:t xml:space="preserve">; Maurer, A. (2001). </w:t>
      </w:r>
      <w:r w:rsidRPr="007F2045">
        <w:rPr>
          <w:rFonts w:ascii="Times New Roman" w:hAnsi="Times New Roman"/>
          <w:lang w:val="en-US"/>
        </w:rPr>
        <w:t xml:space="preserve">The Federal Constitutional Court’s emergency power to intervene: Provisional measures pursuant to Article 32 of the Federal Constitutional Court Act, </w:t>
      </w:r>
      <w:r w:rsidRPr="007F2045">
        <w:rPr>
          <w:rStyle w:val="nfasis"/>
          <w:rFonts w:ascii="Times New Roman" w:hAnsi="Times New Roman"/>
          <w:lang w:val="en-US"/>
        </w:rPr>
        <w:t>German Law Journal</w:t>
      </w:r>
      <w:r w:rsidRPr="007F2045">
        <w:rPr>
          <w:rFonts w:ascii="Times New Roman" w:hAnsi="Times New Roman"/>
          <w:lang w:val="en-US"/>
        </w:rPr>
        <w:t xml:space="preserve">, 2(13); Sharpe, R. J. (2019). </w:t>
      </w:r>
      <w:proofErr w:type="spellStart"/>
      <w:r w:rsidRPr="007F2045">
        <w:rPr>
          <w:rFonts w:ascii="Times New Roman" w:hAnsi="Times New Roman"/>
        </w:rPr>
        <w:t>Interim</w:t>
      </w:r>
      <w:proofErr w:type="spellEnd"/>
      <w:r w:rsidRPr="007F2045">
        <w:rPr>
          <w:rFonts w:ascii="Times New Roman" w:hAnsi="Times New Roman"/>
        </w:rPr>
        <w:t xml:space="preserve"> Remedies and </w:t>
      </w:r>
      <w:proofErr w:type="spellStart"/>
      <w:r w:rsidRPr="007F2045">
        <w:rPr>
          <w:rFonts w:ascii="Times New Roman" w:hAnsi="Times New Roman"/>
        </w:rPr>
        <w:t>Constitutional</w:t>
      </w:r>
      <w:proofErr w:type="spellEnd"/>
      <w:r w:rsidRPr="007F2045">
        <w:rPr>
          <w:rFonts w:ascii="Times New Roman" w:hAnsi="Times New Roman"/>
        </w:rPr>
        <w:t xml:space="preserve"> </w:t>
      </w:r>
      <w:proofErr w:type="spellStart"/>
      <w:r w:rsidRPr="007F2045">
        <w:rPr>
          <w:rFonts w:ascii="Times New Roman" w:hAnsi="Times New Roman"/>
        </w:rPr>
        <w:t>Rights</w:t>
      </w:r>
      <w:proofErr w:type="spellEnd"/>
      <w:r w:rsidRPr="007F2045">
        <w:rPr>
          <w:rFonts w:ascii="Times New Roman" w:hAnsi="Times New Roman"/>
        </w:rPr>
        <w:t xml:space="preserve">; </w:t>
      </w:r>
      <w:proofErr w:type="spellStart"/>
      <w:r w:rsidRPr="007F2045">
        <w:rPr>
          <w:rFonts w:ascii="Times New Roman" w:hAnsi="Times New Roman"/>
        </w:rPr>
        <w:t>Schöndorf-Haubold</w:t>
      </w:r>
      <w:proofErr w:type="spellEnd"/>
      <w:r w:rsidRPr="007F2045">
        <w:rPr>
          <w:rFonts w:ascii="Times New Roman" w:hAnsi="Times New Roman"/>
        </w:rPr>
        <w:t xml:space="preserve">, B. (2016). </w:t>
      </w:r>
      <w:r w:rsidRPr="007F2045">
        <w:rPr>
          <w:rStyle w:val="nfasis"/>
          <w:rFonts w:ascii="Times New Roman" w:hAnsi="Times New Roman"/>
        </w:rPr>
        <w:t>El papel de los Tribunales Constitucionales en la gobernanza multinivel. Alemania: El Tribunal Constitucional Federal</w:t>
      </w:r>
      <w:r w:rsidRPr="007F2045">
        <w:rPr>
          <w:rFonts w:ascii="Times New Roman" w:hAnsi="Times New Roman"/>
        </w:rPr>
        <w:t xml:space="preserve">; Simón Yarza, F. (2023). Suspensión de la ley y recurso de inconstitucionalidad, </w:t>
      </w:r>
      <w:r w:rsidRPr="007F2045">
        <w:rPr>
          <w:rStyle w:val="nfasis"/>
          <w:rFonts w:ascii="Times New Roman" w:hAnsi="Times New Roman"/>
        </w:rPr>
        <w:t>Revista Española de Derecho Constitucional</w:t>
      </w:r>
      <w:r w:rsidRPr="007F2045">
        <w:rPr>
          <w:rFonts w:ascii="Times New Roman" w:hAnsi="Times New Roman"/>
        </w:rPr>
        <w:t xml:space="preserve">, (129), 79–115; Suárez Ávila, A. A. (2026). Prohibición de la suspensión con efectos generales en la acción de inconstitucionalidad, controversia constitucional y amparo contra leyes”, </w:t>
      </w:r>
      <w:r w:rsidRPr="007F2045">
        <w:rPr>
          <w:rStyle w:val="nfasis"/>
          <w:rFonts w:ascii="Times New Roman" w:hAnsi="Times New Roman"/>
        </w:rPr>
        <w:t>Cuestiones Constitucionales. Revista Mexicana de Derecho Constitucional</w:t>
      </w:r>
      <w:r w:rsidRPr="007F2045">
        <w:rPr>
          <w:rFonts w:ascii="Times New Roman" w:hAnsi="Times New Roman"/>
        </w:rPr>
        <w:t>, 27(55), 1–35.</w:t>
      </w:r>
    </w:p>
  </w:footnote>
  <w:footnote w:id="8">
    <w:p w14:paraId="07C10B97" w14:textId="77777777" w:rsidR="007B11D8" w:rsidRPr="007F2045" w:rsidRDefault="007B11D8" w:rsidP="00DB7330">
      <w:pPr>
        <w:pStyle w:val="Textonotapie"/>
        <w:rPr>
          <w:rFonts w:ascii="Times New Roman" w:hAnsi="Times New Roman"/>
        </w:rPr>
      </w:pPr>
      <w:r w:rsidRPr="007F2045">
        <w:rPr>
          <w:rFonts w:ascii="Times New Roman" w:hAnsi="Times New Roman"/>
          <w:vertAlign w:val="superscript"/>
        </w:rPr>
        <w:footnoteRef/>
      </w:r>
      <w:r w:rsidRPr="007F2045">
        <w:rPr>
          <w:rFonts w:ascii="Times New Roman" w:hAnsi="Times New Roman"/>
        </w:rPr>
        <w:t xml:space="preserve"> Ibid. Además</w:t>
      </w:r>
      <w:r w:rsidRPr="007F2045">
        <w:rPr>
          <w:rFonts w:ascii="Times New Roman" w:hAnsi="Times New Roman"/>
          <w:kern w:val="0"/>
          <w:lang w:val="es-ES_tradnl"/>
        </w:rPr>
        <w:t xml:space="preserve">, </w:t>
      </w:r>
      <w:r w:rsidRPr="007F2045">
        <w:rPr>
          <w:rFonts w:ascii="Times New Roman" w:hAnsi="Times New Roman"/>
        </w:rPr>
        <w:t xml:space="preserve">se pueden analizar las siguientes decisiones, entre otras: </w:t>
      </w:r>
    </w:p>
    <w:p w14:paraId="13E6629F" w14:textId="77777777" w:rsidR="007B11D8" w:rsidRPr="007F2045" w:rsidRDefault="007B11D8" w:rsidP="00DB7330">
      <w:pPr>
        <w:pStyle w:val="Textonotapie"/>
        <w:numPr>
          <w:ilvl w:val="0"/>
          <w:numId w:val="3"/>
        </w:numPr>
        <w:ind w:left="142" w:hanging="142"/>
        <w:rPr>
          <w:rFonts w:ascii="Times New Roman" w:hAnsi="Times New Roman"/>
          <w:kern w:val="0"/>
          <w:lang w:val="es-ES_tradnl"/>
        </w:rPr>
      </w:pPr>
      <w:r w:rsidRPr="007F2045">
        <w:rPr>
          <w:rFonts w:ascii="Times New Roman" w:hAnsi="Times New Roman"/>
          <w:kern w:val="0"/>
          <w:lang w:val="es-ES_tradnl"/>
        </w:rPr>
        <w:t xml:space="preserve">Corte Constitucional del Ecuador, </w:t>
      </w:r>
      <w:hyperlink r:id="rId1" w:history="1">
        <w:r w:rsidRPr="007F2045">
          <w:rPr>
            <w:rStyle w:val="Hipervnculo"/>
            <w:rFonts w:ascii="Times New Roman" w:hAnsi="Times New Roman"/>
            <w:kern w:val="0"/>
            <w:lang w:val="es-ES_tradnl"/>
          </w:rPr>
          <w:t>Dictamen No. 6-25-EE/25</w:t>
        </w:r>
      </w:hyperlink>
      <w:r w:rsidRPr="007F2045">
        <w:rPr>
          <w:rFonts w:ascii="Times New Roman" w:hAnsi="Times New Roman"/>
          <w:kern w:val="0"/>
          <w:lang w:val="es-ES_tradnl"/>
        </w:rPr>
        <w:t xml:space="preserve">, Control de constitucionalidad del decreto ejecutivo No. 134 que declaró el estado de excepción en varias providencias, fundamentos jurídicos 100 a 101. En esa providencia, la Corte Constitucional del Ecuador rechazó una solicitud de suspensión cautelar del artículo 3 de un decreto ejecutivo dictado en estado de excepción, pues ya había declarado inconstitucional la declaratoria del estado de excepción en la provincia de Azuay. </w:t>
      </w:r>
    </w:p>
    <w:p w14:paraId="08621B2C" w14:textId="77777777" w:rsidR="007B11D8" w:rsidRPr="007F2045" w:rsidRDefault="007B11D8" w:rsidP="00DB7330">
      <w:pPr>
        <w:pStyle w:val="Textonotapie"/>
        <w:numPr>
          <w:ilvl w:val="0"/>
          <w:numId w:val="3"/>
        </w:numPr>
        <w:ind w:left="142" w:hanging="142"/>
        <w:rPr>
          <w:rFonts w:ascii="Times New Roman" w:hAnsi="Times New Roman"/>
          <w:kern w:val="0"/>
          <w:lang w:val="es-ES_tradnl"/>
        </w:rPr>
      </w:pPr>
      <w:r w:rsidRPr="007F2045">
        <w:rPr>
          <w:rFonts w:ascii="Times New Roman" w:hAnsi="Times New Roman"/>
          <w:kern w:val="0"/>
          <w:lang w:val="es-ES_tradnl"/>
        </w:rPr>
        <w:t xml:space="preserve">Tribunal Constitucional Federal de Alemania, </w:t>
      </w:r>
      <w:hyperlink r:id="rId2" w:history="1">
        <w:r w:rsidR="009E35F9" w:rsidRPr="007F2045">
          <w:rPr>
            <w:rStyle w:val="Hipervnculo"/>
            <w:rFonts w:ascii="Times New Roman" w:hAnsi="Times New Roman"/>
            <w:kern w:val="0"/>
            <w:lang w:val="es-ES_tradnl"/>
          </w:rPr>
          <w:t>auto del 5 de mayo de 2021 No. 1BvR 781/21</w:t>
        </w:r>
      </w:hyperlink>
      <w:r w:rsidRPr="007F2045">
        <w:rPr>
          <w:rFonts w:ascii="Times New Roman" w:hAnsi="Times New Roman"/>
        </w:rPr>
        <w:t>, 805/21, 820/21, 854/21 y 889/21</w:t>
      </w:r>
      <w:r w:rsidRPr="007F2045">
        <w:rPr>
          <w:rFonts w:ascii="Times New Roman" w:hAnsi="Times New Roman"/>
          <w:kern w:val="0"/>
          <w:lang w:val="es-ES_tradnl"/>
        </w:rPr>
        <w:t xml:space="preserve">, Resolución sobre solicitudes de suspensión provisional contra las medidas federales de emergencia adoptadas en el marco de la pandemia de COVID-19. </w:t>
      </w:r>
    </w:p>
    <w:p w14:paraId="36B91D4F" w14:textId="77777777" w:rsidR="00A03B4C" w:rsidRDefault="007B11D8" w:rsidP="00DB7330">
      <w:pPr>
        <w:pStyle w:val="Textonotapie"/>
        <w:numPr>
          <w:ilvl w:val="0"/>
          <w:numId w:val="3"/>
        </w:numPr>
        <w:ind w:left="142" w:hanging="142"/>
      </w:pPr>
      <w:r w:rsidRPr="007F2045">
        <w:rPr>
          <w:rFonts w:ascii="Times New Roman" w:hAnsi="Times New Roman"/>
          <w:kern w:val="0"/>
          <w:lang w:val="es-ES_tradnl"/>
        </w:rPr>
        <w:t xml:space="preserve"> Supremo Tribunal Federal de Brasil, Medidas cautelares ADI No. 6347/DF y No. 6351/DF, suspensión de la eficacia del artículo 6º-B de la Ley 13.979/2020 relativa a restricciones al acceso a la información durante la emergencia sanitaria por COVID-19.</w:t>
      </w:r>
    </w:p>
  </w:footnote>
  <w:footnote w:id="9">
    <w:p w14:paraId="76A62D9F" w14:textId="77777777" w:rsidR="00A03B4C" w:rsidRDefault="007B11D8" w:rsidP="00DB7330">
      <w:pPr>
        <w:autoSpaceDE w:val="0"/>
        <w:autoSpaceDN w:val="0"/>
        <w:adjustRightInd w:val="0"/>
        <w:spacing w:after="0" w:line="240" w:lineRule="auto"/>
      </w:pPr>
      <w:r w:rsidRPr="007F2045">
        <w:rPr>
          <w:rFonts w:ascii="Times New Roman" w:hAnsi="Times New Roman"/>
          <w:sz w:val="20"/>
          <w:szCs w:val="20"/>
          <w:vertAlign w:val="superscript"/>
        </w:rPr>
        <w:footnoteRef/>
      </w:r>
      <w:r w:rsidRPr="007F2045">
        <w:rPr>
          <w:rFonts w:ascii="Times New Roman" w:hAnsi="Times New Roman"/>
          <w:sz w:val="20"/>
          <w:szCs w:val="20"/>
        </w:rPr>
        <w:t xml:space="preserve"> Por ejemplo, Alemania es uno de los sistemas constitucionales donde la suspensión provisional en procesos constitucionales tiene mayor antigüedad y surgió a partir de la jurisprudencia. Esta era una facultad que tenía el </w:t>
      </w:r>
      <w:proofErr w:type="spellStart"/>
      <w:r w:rsidRPr="007F2045">
        <w:rPr>
          <w:rFonts w:ascii="Times New Roman" w:hAnsi="Times New Roman"/>
          <w:i/>
          <w:iCs/>
          <w:sz w:val="20"/>
          <w:szCs w:val="20"/>
        </w:rPr>
        <w:t>Staatsgerichtshof</w:t>
      </w:r>
      <w:proofErr w:type="spellEnd"/>
      <w:r w:rsidRPr="007F2045">
        <w:rPr>
          <w:rFonts w:ascii="Times New Roman" w:hAnsi="Times New Roman"/>
          <w:i/>
          <w:iCs/>
          <w:sz w:val="20"/>
          <w:szCs w:val="20"/>
        </w:rPr>
        <w:t>,</w:t>
      </w:r>
      <w:r w:rsidRPr="007F2045">
        <w:rPr>
          <w:rFonts w:ascii="Times New Roman" w:hAnsi="Times New Roman"/>
          <w:sz w:val="20"/>
          <w:szCs w:val="20"/>
        </w:rPr>
        <w:t xml:space="preserve"> Tribunal que resolvía conflicto entre los </w:t>
      </w:r>
      <w:proofErr w:type="spellStart"/>
      <w:r w:rsidRPr="007F2045">
        <w:rPr>
          <w:rFonts w:ascii="Times New Roman" w:hAnsi="Times New Roman"/>
          <w:i/>
          <w:iCs/>
          <w:sz w:val="20"/>
          <w:szCs w:val="20"/>
        </w:rPr>
        <w:t>Länder</w:t>
      </w:r>
      <w:proofErr w:type="spellEnd"/>
      <w:r w:rsidRPr="007F2045">
        <w:rPr>
          <w:rFonts w:ascii="Times New Roman" w:hAnsi="Times New Roman"/>
          <w:i/>
          <w:iCs/>
          <w:sz w:val="20"/>
          <w:szCs w:val="20"/>
        </w:rPr>
        <w:t xml:space="preserve"> </w:t>
      </w:r>
      <w:r w:rsidRPr="007F2045">
        <w:rPr>
          <w:rFonts w:ascii="Times New Roman" w:hAnsi="Times New Roman"/>
          <w:sz w:val="20"/>
          <w:szCs w:val="20"/>
        </w:rPr>
        <w:t xml:space="preserve">y el </w:t>
      </w:r>
      <w:r w:rsidRPr="007F2045">
        <w:rPr>
          <w:rFonts w:ascii="Times New Roman" w:hAnsi="Times New Roman"/>
          <w:i/>
          <w:iCs/>
          <w:sz w:val="20"/>
          <w:szCs w:val="20"/>
        </w:rPr>
        <w:t>Reich</w:t>
      </w:r>
      <w:r w:rsidRPr="007F2045">
        <w:rPr>
          <w:rFonts w:ascii="Times New Roman" w:hAnsi="Times New Roman"/>
          <w:sz w:val="20"/>
          <w:szCs w:val="20"/>
        </w:rPr>
        <w:t xml:space="preserve"> durante la República de Weimar. Sin embargo, la consecución de esa facultad no provenía de la ley, sino que, al entenderla como necesaria para la efectividad de su jurisdicción, el Tribunal la construyó. El desarrollo de esta facultad, durante la República de Weimar, se hizo con base en el modelo de suspensión de leyes que contenía el artículo 940 del Código de Procedimiento Civil. Esta construcción de la facultad de suspensión provisional de leyes fue un antecedente directo para que en la Ley fundamental de Bonn y en el artículo 32 de la Ley del Tribunal Constitucional Federal se le reconociera ese poder al actual Tribunal Constitucional Alemán [Schneider, K. (2022). </w:t>
      </w:r>
      <w:r w:rsidRPr="00D924B6">
        <w:rPr>
          <w:rFonts w:ascii="Times New Roman" w:hAnsi="Times New Roman"/>
          <w:sz w:val="20"/>
          <w:szCs w:val="20"/>
        </w:rPr>
        <w:t xml:space="preserve">§ 32. En C. </w:t>
      </w:r>
      <w:proofErr w:type="spellStart"/>
      <w:r w:rsidRPr="00D924B6">
        <w:rPr>
          <w:rFonts w:ascii="Times New Roman" w:hAnsi="Times New Roman"/>
          <w:sz w:val="20"/>
          <w:szCs w:val="20"/>
        </w:rPr>
        <w:t>Burkiczak</w:t>
      </w:r>
      <w:proofErr w:type="spellEnd"/>
      <w:r w:rsidRPr="00D924B6">
        <w:rPr>
          <w:rFonts w:ascii="Times New Roman" w:hAnsi="Times New Roman"/>
          <w:sz w:val="20"/>
          <w:szCs w:val="20"/>
        </w:rPr>
        <w:t xml:space="preserve">, F.-W. </w:t>
      </w:r>
      <w:proofErr w:type="spellStart"/>
      <w:r w:rsidRPr="00D924B6">
        <w:rPr>
          <w:rFonts w:ascii="Times New Roman" w:hAnsi="Times New Roman"/>
          <w:sz w:val="20"/>
          <w:szCs w:val="20"/>
        </w:rPr>
        <w:t>Dollinger</w:t>
      </w:r>
      <w:proofErr w:type="spellEnd"/>
      <w:r w:rsidRPr="00D924B6">
        <w:rPr>
          <w:rFonts w:ascii="Times New Roman" w:hAnsi="Times New Roman"/>
          <w:sz w:val="20"/>
          <w:szCs w:val="20"/>
        </w:rPr>
        <w:t xml:space="preserve">, &amp; F. </w:t>
      </w:r>
      <w:proofErr w:type="spellStart"/>
      <w:r w:rsidRPr="00D924B6">
        <w:rPr>
          <w:rFonts w:ascii="Times New Roman" w:hAnsi="Times New Roman"/>
          <w:sz w:val="20"/>
          <w:szCs w:val="20"/>
        </w:rPr>
        <w:t>Schorkopf</w:t>
      </w:r>
      <w:proofErr w:type="spellEnd"/>
      <w:r w:rsidRPr="00D924B6">
        <w:rPr>
          <w:rFonts w:ascii="Times New Roman" w:hAnsi="Times New Roman"/>
          <w:sz w:val="20"/>
          <w:szCs w:val="20"/>
        </w:rPr>
        <w:t xml:space="preserve"> (Eds.), </w:t>
      </w:r>
      <w:proofErr w:type="spellStart"/>
      <w:r w:rsidRPr="00D924B6">
        <w:rPr>
          <w:rStyle w:val="nfasis"/>
          <w:rFonts w:ascii="Times New Roman" w:hAnsi="Times New Roman"/>
          <w:sz w:val="20"/>
          <w:szCs w:val="20"/>
        </w:rPr>
        <w:t>Bundesverfassungsgerichtsgesetz</w:t>
      </w:r>
      <w:proofErr w:type="spellEnd"/>
      <w:r w:rsidRPr="00D924B6">
        <w:rPr>
          <w:rStyle w:val="nfasis"/>
          <w:rFonts w:ascii="Times New Roman" w:hAnsi="Times New Roman"/>
          <w:sz w:val="20"/>
          <w:szCs w:val="20"/>
        </w:rPr>
        <w:t xml:space="preserve"> (Heidelberg </w:t>
      </w:r>
      <w:proofErr w:type="spellStart"/>
      <w:r w:rsidRPr="00D924B6">
        <w:rPr>
          <w:rStyle w:val="nfasis"/>
          <w:rFonts w:ascii="Times New Roman" w:hAnsi="Times New Roman"/>
          <w:sz w:val="20"/>
          <w:szCs w:val="20"/>
        </w:rPr>
        <w:t>Kommentar</w:t>
      </w:r>
      <w:proofErr w:type="spellEnd"/>
      <w:r w:rsidRPr="00D924B6">
        <w:rPr>
          <w:rStyle w:val="nfasis"/>
          <w:rFonts w:ascii="Times New Roman" w:hAnsi="Times New Roman"/>
          <w:sz w:val="20"/>
          <w:szCs w:val="20"/>
        </w:rPr>
        <w:t>)</w:t>
      </w:r>
      <w:r w:rsidRPr="00D924B6">
        <w:rPr>
          <w:rFonts w:ascii="Times New Roman" w:hAnsi="Times New Roman"/>
          <w:sz w:val="20"/>
          <w:szCs w:val="20"/>
        </w:rPr>
        <w:t xml:space="preserve"> (2.ª ed.). </w:t>
      </w:r>
      <w:r w:rsidRPr="007F2045">
        <w:rPr>
          <w:rFonts w:ascii="Times New Roman" w:hAnsi="Times New Roman"/>
          <w:sz w:val="20"/>
          <w:szCs w:val="20"/>
        </w:rPr>
        <w:t xml:space="preserve">C. F. Müller]. </w:t>
      </w:r>
    </w:p>
  </w:footnote>
  <w:footnote w:id="10">
    <w:p w14:paraId="6031295E" w14:textId="77777777" w:rsidR="00A03B4C" w:rsidRDefault="007B11D8" w:rsidP="00DB7330">
      <w:pPr>
        <w:autoSpaceDE w:val="0"/>
        <w:autoSpaceDN w:val="0"/>
        <w:adjustRightInd w:val="0"/>
        <w:spacing w:after="0" w:line="240" w:lineRule="auto"/>
      </w:pPr>
      <w:r w:rsidRPr="007F2045">
        <w:rPr>
          <w:rFonts w:ascii="Times New Roman" w:hAnsi="Times New Roman"/>
          <w:sz w:val="20"/>
          <w:szCs w:val="20"/>
          <w:vertAlign w:val="superscript"/>
        </w:rPr>
        <w:footnoteRef/>
      </w:r>
      <w:r w:rsidRPr="007F2045">
        <w:rPr>
          <w:rFonts w:ascii="Times New Roman" w:hAnsi="Times New Roman"/>
          <w:sz w:val="20"/>
          <w:szCs w:val="20"/>
        </w:rPr>
        <w:t xml:space="preserve"> </w:t>
      </w:r>
      <w:r w:rsidRPr="007F2045">
        <w:rPr>
          <w:rFonts w:ascii="Times New Roman" w:hAnsi="Times New Roman"/>
          <w:sz w:val="20"/>
          <w:szCs w:val="20"/>
          <w:lang w:val="es-ES_tradnl"/>
        </w:rPr>
        <w:t xml:space="preserve">En particular, se puede consultar: Malagón-Pinzón, M. (2011). La suspensión provisional y la Corte Constitucional: Raíces históricas, persistencias y transformaciones hasta el presente. </w:t>
      </w:r>
      <w:r w:rsidRPr="007F2045">
        <w:rPr>
          <w:rFonts w:ascii="Times New Roman" w:hAnsi="Times New Roman"/>
          <w:i/>
          <w:iCs/>
          <w:sz w:val="20"/>
          <w:szCs w:val="20"/>
          <w:lang w:val="es-ES_tradnl"/>
        </w:rPr>
        <w:t>Revista Estudios Socio-Jurídicos, 13</w:t>
      </w:r>
      <w:r w:rsidRPr="007F2045">
        <w:rPr>
          <w:rFonts w:ascii="Times New Roman" w:hAnsi="Times New Roman"/>
          <w:sz w:val="20"/>
          <w:szCs w:val="20"/>
          <w:lang w:val="es-ES_tradnl"/>
        </w:rPr>
        <w:t xml:space="preserve">(1), 349–364; </w:t>
      </w:r>
      <w:r w:rsidRPr="007F2045">
        <w:rPr>
          <w:rFonts w:ascii="Times New Roman" w:hAnsi="Times New Roman"/>
          <w:sz w:val="20"/>
          <w:szCs w:val="20"/>
        </w:rPr>
        <w:t xml:space="preserve">Malagón-Pinzón, M. (2024). </w:t>
      </w:r>
      <w:r w:rsidRPr="007F2045">
        <w:rPr>
          <w:rStyle w:val="nfasis"/>
          <w:rFonts w:ascii="Times New Roman" w:hAnsi="Times New Roman"/>
          <w:sz w:val="20"/>
          <w:szCs w:val="20"/>
        </w:rPr>
        <w:t>Los modelos de control constitucional y administrativo en Colombia (1811-2023)</w:t>
      </w:r>
      <w:r w:rsidRPr="007F2045">
        <w:rPr>
          <w:rFonts w:ascii="Times New Roman" w:hAnsi="Times New Roman"/>
          <w:sz w:val="20"/>
          <w:szCs w:val="20"/>
        </w:rPr>
        <w:t xml:space="preserve"> (2.ª ed.). Ediciones Uniandes. Por ejemplo, según ese autor, mediante un Acuerdo del 4 de enero de 1859, la Corte Suprema suspendió una parte de la Ley del Estado del Magdalena del 13 de octubre de 1858, tras considerar que “se comprende fácilmente” que la norma sometida a control de constitucionalidad “pugna abiertamente” contra dos prohibiciones contenidas en la Constitución Política de la Confederación, a saber, que ningún Estado Federal podía crear contribuciones frente al comercio exterior ni “sobre los objetos que deban consumirse en diferente Estado”. </w:t>
      </w:r>
    </w:p>
  </w:footnote>
  <w:footnote w:id="11">
    <w:p w14:paraId="590CD7AF"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w:t>
      </w:r>
      <w:r w:rsidRPr="007F2045">
        <w:rPr>
          <w:rFonts w:ascii="Times New Roman" w:hAnsi="Times New Roman"/>
          <w:lang w:val="es-CO"/>
        </w:rPr>
        <w:t>“Por el cual se dicta el régimen procedimental de los juicios y actuaciones que deban surtirse ante la Corte Constitucional”.</w:t>
      </w:r>
    </w:p>
  </w:footnote>
  <w:footnote w:id="12">
    <w:p w14:paraId="5CBB3AED"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w:t>
      </w:r>
      <w:r w:rsidRPr="007F2045">
        <w:rPr>
          <w:rFonts w:ascii="Times New Roman" w:hAnsi="Times New Roman"/>
          <w:lang w:val="es-CO"/>
        </w:rPr>
        <w:t>“Por la cual se decreta el presupuesto de rentas y recursos de capital y ley de apropiaciones para la vigencia fiscal del 1º de enero al 31 de diciembre de 2022”.</w:t>
      </w:r>
    </w:p>
  </w:footnote>
  <w:footnote w:id="13">
    <w:p w14:paraId="15D07496"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Ver auto 123 de 2022, salvamento de voto conjunto de la magistrada Diana Fajardo Rivera y del magistrado Alberto Rojas Ríos.</w:t>
      </w:r>
    </w:p>
  </w:footnote>
  <w:footnote w:id="14">
    <w:p w14:paraId="791553D7" w14:textId="77777777" w:rsidR="00A03B4C" w:rsidRDefault="007B11D8" w:rsidP="000A0987">
      <w:pPr>
        <w:pStyle w:val="Textonotapie"/>
      </w:pPr>
      <w:r w:rsidRPr="007F2045">
        <w:rPr>
          <w:rFonts w:ascii="Times New Roman" w:hAnsi="Times New Roman"/>
          <w:vertAlign w:val="superscript"/>
        </w:rPr>
        <w:footnoteRef/>
      </w:r>
      <w:r w:rsidRPr="007F2045">
        <w:rPr>
          <w:rFonts w:ascii="Times New Roman" w:hAnsi="Times New Roman"/>
        </w:rPr>
        <w:t xml:space="preserve"> Aclaraciones de voto de la magistrada Diana Fajardo Rivera y de los magistrados José Fernando Reyes Cuartas y Jorge Enrique Ibáñez Najar. </w:t>
      </w:r>
    </w:p>
  </w:footnote>
  <w:footnote w:id="15">
    <w:p w14:paraId="423E4588"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Proyecto de Ley 91/1992 Senado - 166/1992 Cámara, que corresponde a la Ley 137 de 1994 “por la cual se regulan los Estados de Excepción en Colombia”. </w:t>
      </w:r>
    </w:p>
  </w:footnote>
  <w:footnote w:id="16">
    <w:p w14:paraId="69FE57EF" w14:textId="77777777" w:rsidR="00A03B4C" w:rsidRDefault="007B11D8" w:rsidP="00ED63F1">
      <w:pPr>
        <w:pStyle w:val="Textonotapie"/>
      </w:pPr>
      <w:r w:rsidRPr="007F2045">
        <w:rPr>
          <w:rFonts w:ascii="Times New Roman" w:hAnsi="Times New Roman"/>
          <w:vertAlign w:val="superscript"/>
        </w:rPr>
        <w:footnoteRef/>
      </w:r>
      <w:r w:rsidRPr="00D924B6">
        <w:rPr>
          <w:rFonts w:ascii="Times New Roman" w:hAnsi="Times New Roman"/>
          <w:lang w:val="pt-PT"/>
        </w:rPr>
        <w:t xml:space="preserve"> Corte Constitucional, sentencia C-383 de 2023. </w:t>
      </w:r>
    </w:p>
  </w:footnote>
  <w:footnote w:id="17">
    <w:p w14:paraId="5D804A62" w14:textId="77777777" w:rsidR="00A03B4C" w:rsidRDefault="007B11D8" w:rsidP="000253F9">
      <w:pPr>
        <w:pStyle w:val="Textonotapie"/>
      </w:pPr>
      <w:r w:rsidRPr="007F2045">
        <w:rPr>
          <w:rFonts w:ascii="Times New Roman" w:hAnsi="Times New Roman"/>
          <w:vertAlign w:val="superscript"/>
        </w:rPr>
        <w:footnoteRef/>
      </w:r>
      <w:r w:rsidRPr="007F2045">
        <w:rPr>
          <w:rFonts w:ascii="Times New Roman" w:hAnsi="Times New Roman"/>
        </w:rPr>
        <w:t xml:space="preserve"> Corte Constitucional, sentencias C-256 de 2020 y C-219 de 2025. Sobre este aspecto, el delegado a la Asamblea Nacional Constituyente Gustavo Zafra Roldán sostuvo que “en 105 años de vigencia de la Constitución de 1886: 70 años fueron en estado de sitio, o sea el equivalente al 66,5% de la vigencia de la Constitución del 86” [Zafra Roldán, G. (2023). </w:t>
      </w:r>
      <w:r w:rsidRPr="007F2045">
        <w:rPr>
          <w:rStyle w:val="nfasis"/>
          <w:rFonts w:ascii="Times New Roman" w:hAnsi="Times New Roman"/>
        </w:rPr>
        <w:t>Audacias y cautelas de la Corte Constitucional</w:t>
      </w:r>
      <w:r w:rsidRPr="007F2045">
        <w:rPr>
          <w:rFonts w:ascii="Times New Roman" w:hAnsi="Times New Roman"/>
        </w:rPr>
        <w:t xml:space="preserve">. Revista de la Academia Colombiana de Jurisprudencia, (378), 213–234]. A su vez, Mauricio García Villegas y Rodrigo Uprimny indicaron que “por ejemplo, en los 21 años transcurridos entre 1970 y 1991, Colombia vivió 206 meses bajo estado de excepción, es decir, 17 años, lo cual representa el 82% del tiempo transcurrido. Entre 1949 y 1991 Colombia vivió más de treinta años en estado de sitio” [García Villegas, M. y Uprimny Yepes, R. (2005). ¿Controlando la excepcionalidad permanente en Colombia? Una defensa prudente del control judicial de los estados de excepción. </w:t>
      </w:r>
      <w:proofErr w:type="spellStart"/>
      <w:r w:rsidRPr="007F2045">
        <w:rPr>
          <w:rFonts w:ascii="Times New Roman" w:hAnsi="Times New Roman"/>
        </w:rPr>
        <w:t>Dejusticia</w:t>
      </w:r>
      <w:proofErr w:type="spellEnd"/>
      <w:r w:rsidRPr="007F2045">
        <w:rPr>
          <w:rFonts w:ascii="Times New Roman" w:hAnsi="Times New Roman"/>
        </w:rPr>
        <w:t>].</w:t>
      </w:r>
    </w:p>
  </w:footnote>
  <w:footnote w:id="18">
    <w:p w14:paraId="1DB27449"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w:t>
      </w:r>
      <w:r w:rsidRPr="007F2045">
        <w:rPr>
          <w:rFonts w:ascii="Times New Roman" w:hAnsi="Times New Roman"/>
          <w:lang w:val="es-ES_tradnl"/>
        </w:rPr>
        <w:t xml:space="preserve">Corte Constitucional, </w:t>
      </w:r>
      <w:hyperlink r:id="rId3" w:history="1">
        <w:r w:rsidRPr="007F2045">
          <w:rPr>
            <w:rStyle w:val="Hipervnculo"/>
            <w:rFonts w:ascii="Times New Roman" w:hAnsi="Times New Roman"/>
            <w:lang w:val="es-ES_tradnl"/>
          </w:rPr>
          <w:t>Estadísticas</w:t>
        </w:r>
      </w:hyperlink>
      <w:r w:rsidRPr="007F2045">
        <w:rPr>
          <w:rFonts w:ascii="Times New Roman" w:hAnsi="Times New Roman"/>
          <w:lang w:val="es-ES_tradnl"/>
        </w:rPr>
        <w:t xml:space="preserve"> “Sentencias control estados de excepción”.</w:t>
      </w:r>
    </w:p>
  </w:footnote>
  <w:footnote w:id="19">
    <w:p w14:paraId="6223D076"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w:t>
      </w:r>
      <w:r w:rsidRPr="007F2045">
        <w:rPr>
          <w:rFonts w:ascii="Times New Roman" w:hAnsi="Times New Roman"/>
          <w:lang w:val="es-ES_tradnl"/>
        </w:rPr>
        <w:t xml:space="preserve">Corte Constitucional, </w:t>
      </w:r>
      <w:hyperlink r:id="rId4" w:history="1">
        <w:r w:rsidRPr="007F2045">
          <w:rPr>
            <w:rStyle w:val="Hipervnculo"/>
            <w:rFonts w:ascii="Times New Roman" w:hAnsi="Times New Roman"/>
            <w:lang w:val="es-ES_tradnl"/>
          </w:rPr>
          <w:t>Estadísticas</w:t>
        </w:r>
      </w:hyperlink>
      <w:r w:rsidRPr="007F2045">
        <w:rPr>
          <w:rFonts w:ascii="Times New Roman" w:hAnsi="Times New Roman"/>
          <w:lang w:val="es-ES_tradnl"/>
        </w:rPr>
        <w:t xml:space="preserve"> “Sentencias control Decretos Pandemia”. </w:t>
      </w:r>
    </w:p>
  </w:footnote>
  <w:footnote w:id="20">
    <w:p w14:paraId="130124B3" w14:textId="77777777" w:rsidR="00A03B4C" w:rsidRDefault="007B11D8" w:rsidP="00114051">
      <w:pPr>
        <w:pStyle w:val="Textonotapie"/>
      </w:pPr>
      <w:r w:rsidRPr="007F2045">
        <w:rPr>
          <w:rFonts w:ascii="Times New Roman" w:hAnsi="Times New Roman"/>
          <w:vertAlign w:val="superscript"/>
        </w:rPr>
        <w:footnoteRef/>
      </w:r>
      <w:r w:rsidRPr="007F2045">
        <w:rPr>
          <w:rFonts w:ascii="Times New Roman" w:hAnsi="Times New Roman"/>
        </w:rPr>
        <w:t xml:space="preserve"> No es la primera vez que la Corte revisa sus competencias para asegurar la guarda y supremacía de la Constitución, así no aparezcan en principio explícitas en el texto constitucional. Un ejemplo destacado es la sentencia C-551 de 2003, según la cual la competencia –contenida en el artículo 241-2 e interpretada sistemáticamente con otras disposiciones como el artículo 379 de la Constitución– le permite a la Corte analizar los eventuales vicios de competencia cometidos en el procedimiento de formación de las leyes de convocatoria a un referendo que pretendan modificar el Texto Superior. Según esa sentencia, se incurre en vicios de competencia cuando se sustituyen ejes definitorios de la Constitución. </w:t>
      </w:r>
    </w:p>
  </w:footnote>
  <w:footnote w:id="21">
    <w:p w14:paraId="2DE994BC" w14:textId="77777777" w:rsidR="00A03B4C" w:rsidRDefault="007B11D8" w:rsidP="00DB7330">
      <w:pPr>
        <w:pStyle w:val="Textonotapie"/>
      </w:pPr>
      <w:r w:rsidRPr="007F2045">
        <w:rPr>
          <w:rFonts w:ascii="Times New Roman" w:hAnsi="Times New Roman"/>
          <w:vertAlign w:val="superscript"/>
        </w:rPr>
        <w:footnoteRef/>
      </w:r>
      <w:r w:rsidRPr="00D924B6">
        <w:rPr>
          <w:rFonts w:ascii="Times New Roman" w:hAnsi="Times New Roman"/>
          <w:lang w:val="pt-PT"/>
        </w:rPr>
        <w:t xml:space="preserve"> Corte Constitucional, sentencia C-004 de 1992. </w:t>
      </w:r>
      <w:r w:rsidRPr="007F2045">
        <w:rPr>
          <w:rFonts w:ascii="Times New Roman" w:hAnsi="Times New Roman"/>
        </w:rPr>
        <w:t xml:space="preserve">En esa providencia, la Corte descartó la tesis del control puramente formal sobre los decretos declaratorios a partir de una interpretación sistemática de los artículos 4, 214, 215, 228 y 241-7 de la Constitución. Por esa vía, siguió la postura asumida por la Corte Suprema de Justicia, la cual ejerció un control material sobre las declaratorias de los estados de sitio a partir de los años 80 [García Villegas, M. y Uprimny Yepes, R. (2005). ¿Controlando la excepcionalidad permanente en Colombia? Una defensa prudente del control judicial de los estados de excepción]. </w:t>
      </w:r>
    </w:p>
  </w:footnote>
  <w:footnote w:id="22">
    <w:p w14:paraId="74FBC27E" w14:textId="77777777" w:rsidR="00A03B4C" w:rsidRDefault="007B11D8" w:rsidP="006E1617">
      <w:pPr>
        <w:pStyle w:val="Textonotapie"/>
      </w:pPr>
      <w:r w:rsidRPr="007F2045">
        <w:rPr>
          <w:rFonts w:ascii="Times New Roman" w:hAnsi="Times New Roman"/>
          <w:vertAlign w:val="superscript"/>
        </w:rPr>
        <w:footnoteRef/>
      </w:r>
      <w:r w:rsidRPr="007F2045">
        <w:rPr>
          <w:rFonts w:ascii="Times New Roman" w:hAnsi="Times New Roman"/>
        </w:rPr>
        <w:t xml:space="preserve"> </w:t>
      </w:r>
      <w:r w:rsidRPr="007F2045">
        <w:rPr>
          <w:rFonts w:ascii="Times New Roman" w:hAnsi="Times New Roman"/>
          <w:lang w:val="es-ES_tradnl"/>
        </w:rPr>
        <w:t xml:space="preserve">Artículos 228 y 229 de la Constitución y artículo 4 de la Ley 270 de 1996, analizado en las sentencias C-037 de 1996 y C-713 de 2008. </w:t>
      </w:r>
    </w:p>
  </w:footnote>
  <w:footnote w:id="23">
    <w:p w14:paraId="79613F93" w14:textId="77777777" w:rsidR="00A03B4C" w:rsidRDefault="007B11D8" w:rsidP="004350FF">
      <w:pPr>
        <w:pStyle w:val="Textonotapie"/>
      </w:pPr>
      <w:r w:rsidRPr="007F2045">
        <w:rPr>
          <w:rFonts w:ascii="Times New Roman" w:hAnsi="Times New Roman"/>
          <w:vertAlign w:val="superscript"/>
        </w:rPr>
        <w:footnoteRef/>
      </w:r>
      <w:r w:rsidRPr="007F2045">
        <w:rPr>
          <w:rFonts w:ascii="Times New Roman" w:hAnsi="Times New Roman"/>
        </w:rPr>
        <w:t xml:space="preserve"> En efecto entre el momento en que se expide los decretos de excepción y la adopción de una decisión de fondo, debe transcurrir un período de tiempo significativo dado que, conforme lo establece el Decreto 2067 de 1991, es necesario agotar varias etapas que incluyen, entre otras cosas, la práctica de pruebas, la fijación en lista del proceso y la intervención del procurador general de la Nación. Igualmente, diferentes vicisitudes pueden sobrevenir en el curso del trámite, tal y como ocurre con el requerimiento de pruebas no remitidas, la formulación de recusaciones, la presentación de impedimentos o la declaración de prejudicialidad.</w:t>
      </w:r>
    </w:p>
  </w:footnote>
  <w:footnote w:id="24">
    <w:p w14:paraId="22D0E882" w14:textId="77777777" w:rsidR="00A03B4C" w:rsidRDefault="007B11D8">
      <w:pPr>
        <w:pStyle w:val="Textonotapie"/>
      </w:pPr>
      <w:r w:rsidRPr="007F2045">
        <w:rPr>
          <w:rFonts w:ascii="Times New Roman" w:hAnsi="Times New Roman"/>
          <w:vertAlign w:val="superscript"/>
        </w:rPr>
        <w:footnoteRef/>
      </w:r>
      <w:r w:rsidRPr="007F2045">
        <w:rPr>
          <w:rFonts w:ascii="Times New Roman" w:hAnsi="Times New Roman"/>
        </w:rPr>
        <w:t xml:space="preserve"> Los avances en la configuración de los procesos judiciales y el desarrollo de la jurisprudencia constitucional demuestran que la suspensión provisional es una medida cautelar de especial relevancia tanto en el ámbito general como en el constitucional. Por ejemplo, la legislación procesal ha reconocido al juez la facultad de decretar este tipo de medidas en procesos de diversa naturaleza (civil, laboral, constitucional –tutela–, comercial –competencia desleal–, contencioso administrativo y arbitraje nacional). Por su parte, en asuntos de naturaleza constitucional, esta Corte ha destacado su importancia para preservar la eficacia de la decisión definitiva y evitar que el transcurso del tiempo torne ilusorio el control judicial (sentencia C-298 de 2025). Así lo ha señalado respecto de escenarios en los que una norma o un acto pueden producir efectos que, de continuar desplegándose, consoliden situaciones jurídicas contrarias a la Constitución o generen daños de difícil o imposible reparación. De este modo, el ordenamiento jurídico pone a disposición del juez las herramientas procesales que le permitan preservar la efectividad real –y no meramente formal– de la decisión judicial.</w:t>
      </w:r>
    </w:p>
  </w:footnote>
  <w:footnote w:id="25">
    <w:p w14:paraId="437491AD" w14:textId="77777777" w:rsidR="00A03B4C" w:rsidRDefault="007B11D8">
      <w:pPr>
        <w:pStyle w:val="Textonotapie"/>
      </w:pPr>
      <w:r w:rsidRPr="007F2045">
        <w:rPr>
          <w:rFonts w:ascii="Times New Roman" w:hAnsi="Times New Roman"/>
          <w:vertAlign w:val="superscript"/>
        </w:rPr>
        <w:footnoteRef/>
      </w:r>
      <w:r w:rsidRPr="007F2045">
        <w:rPr>
          <w:rFonts w:ascii="Times New Roman" w:hAnsi="Times New Roman"/>
        </w:rPr>
        <w:t xml:space="preserve"> </w:t>
      </w:r>
      <w:r w:rsidRPr="007F2045">
        <w:rPr>
          <w:rFonts w:ascii="Times New Roman" w:hAnsi="Times New Roman"/>
          <w:lang w:val="es-ES_tradnl"/>
        </w:rPr>
        <w:t>Al respecto, se puede consultar el auto 272 de 2023 en que, en relación con la figura excepcional de la suspensión provisional, la Corte señaló que: “</w:t>
      </w:r>
      <w:r w:rsidRPr="007F2045">
        <w:rPr>
          <w:rFonts w:ascii="Times New Roman" w:hAnsi="Times New Roman"/>
        </w:rPr>
        <w:t xml:space="preserve">con fundamento en el principio de </w:t>
      </w:r>
      <w:proofErr w:type="spellStart"/>
      <w:r w:rsidRPr="007F2045">
        <w:rPr>
          <w:rFonts w:ascii="Times New Roman" w:hAnsi="Times New Roman"/>
          <w:i/>
          <w:iCs/>
        </w:rPr>
        <w:t>autorrestricción</w:t>
      </w:r>
      <w:proofErr w:type="spellEnd"/>
      <w:r w:rsidRPr="007F2045">
        <w:rPr>
          <w:rFonts w:ascii="Times New Roman" w:hAnsi="Times New Roman"/>
          <w:i/>
          <w:iCs/>
        </w:rPr>
        <w:t xml:space="preserve"> judicial</w:t>
      </w:r>
      <w:r w:rsidRPr="007F2045">
        <w:rPr>
          <w:rFonts w:ascii="Times New Roman" w:hAnsi="Times New Roman"/>
        </w:rPr>
        <w:t xml:space="preserve"> y en el principio democrático, para decretar una medida</w:t>
      </w:r>
      <w:r w:rsidRPr="007F2045">
        <w:rPr>
          <w:rFonts w:ascii="Times New Roman" w:hAnsi="Times New Roman"/>
          <w:b/>
          <w:bCs/>
        </w:rPr>
        <w:t xml:space="preserve"> </w:t>
      </w:r>
      <w:r w:rsidRPr="007F2045">
        <w:rPr>
          <w:rFonts w:ascii="Times New Roman" w:hAnsi="Times New Roman"/>
        </w:rPr>
        <w:t xml:space="preserve">orientada a impedir la producción de efectos de las normas objeto de control, la Corte se debe someter a unos </w:t>
      </w:r>
      <w:r w:rsidRPr="007F2045">
        <w:rPr>
          <w:rFonts w:ascii="Times New Roman" w:hAnsi="Times New Roman"/>
          <w:i/>
          <w:iCs/>
        </w:rPr>
        <w:t>requisitos o estándares estrictos</w:t>
      </w:r>
      <w:r w:rsidRPr="007F2045">
        <w:rPr>
          <w:rFonts w:ascii="Times New Roman" w:hAnsi="Times New Roman"/>
        </w:rPr>
        <w:t xml:space="preserve"> los cuales deben respetar unos elementos mínimos”. </w:t>
      </w:r>
    </w:p>
  </w:footnote>
  <w:footnote w:id="26">
    <w:p w14:paraId="6A057A81" w14:textId="77777777" w:rsidR="00A03B4C" w:rsidRDefault="007B11D8" w:rsidP="00DB7330">
      <w:pPr>
        <w:pStyle w:val="Textonotapie"/>
      </w:pPr>
      <w:r w:rsidRPr="007F2045">
        <w:rPr>
          <w:rFonts w:ascii="Times New Roman" w:hAnsi="Times New Roman"/>
          <w:vertAlign w:val="superscript"/>
        </w:rPr>
        <w:footnoteRef/>
      </w:r>
      <w:r w:rsidRPr="00D924B6">
        <w:rPr>
          <w:rFonts w:ascii="Times New Roman" w:hAnsi="Times New Roman"/>
          <w:lang w:val="pt-PT"/>
        </w:rPr>
        <w:t xml:space="preserve"> Corte Constitucional, sentencia C-366 de 1994.</w:t>
      </w:r>
    </w:p>
  </w:footnote>
  <w:footnote w:id="27">
    <w:p w14:paraId="6F398CD7" w14:textId="77777777" w:rsidR="00A03B4C" w:rsidRDefault="007B11D8" w:rsidP="00DB7330">
      <w:pPr>
        <w:pStyle w:val="Textonotapie"/>
      </w:pPr>
      <w:r w:rsidRPr="007F2045">
        <w:rPr>
          <w:rFonts w:ascii="Times New Roman" w:hAnsi="Times New Roman"/>
          <w:shd w:val="clear" w:color="auto" w:fill="FFFFFF" w:themeFill="background1"/>
          <w:vertAlign w:val="superscript"/>
        </w:rPr>
        <w:footnoteRef/>
      </w:r>
      <w:r w:rsidRPr="007F2045">
        <w:rPr>
          <w:rFonts w:ascii="Times New Roman" w:hAnsi="Times New Roman"/>
          <w:shd w:val="clear" w:color="auto" w:fill="FFFFFF" w:themeFill="background1"/>
        </w:rPr>
        <w:t xml:space="preserve"> Es importante advertir que la regla establecida en esta decisión es aplicable, en todo caso, a los demás estados de excepción. No sobra precisar que el examen concreto deberá considerar las particularidades del estado de emergencia regulado en el artículo 215 de la Constitución</w:t>
      </w:r>
    </w:p>
  </w:footnote>
  <w:footnote w:id="28">
    <w:p w14:paraId="0DDCF61D" w14:textId="77777777" w:rsidR="00A03B4C" w:rsidRDefault="001B5728">
      <w:pPr>
        <w:pStyle w:val="Textonotapie"/>
      </w:pPr>
      <w:r w:rsidRPr="007F2045">
        <w:rPr>
          <w:rFonts w:ascii="Times New Roman" w:hAnsi="Times New Roman"/>
          <w:vertAlign w:val="superscript"/>
        </w:rPr>
        <w:footnoteRef/>
      </w:r>
      <w:r w:rsidRPr="007F2045">
        <w:rPr>
          <w:rFonts w:ascii="Times New Roman" w:hAnsi="Times New Roman"/>
        </w:rPr>
        <w:t xml:space="preserve"> En el fundamento jurídico 82 de esa providencia se señaló: “El análisis precedente demuestra que, aunque la Corte se ha pronunciado en diversas ocasiones sobre la improcedencia de adoptar medidas excepcionales orientadas a impedir la producción de efectos de las normas objeto de control abstracto de constitucionalidad, la regla de decisión se ha referido a la inexistencia de una competencia genérica para que este Tribunal adopte decisiones de esta naturaleza. Esto con excepción de las consideraciones aplicables a los decretos legislativos, sustentadas en la cosa juzgada constitucional derivada de la sentencia C-179 de 1994 y la aplicación de la tesis de improcedencia en el auto 123 de 2022 y como se explicó en precedencia”.</w:t>
      </w:r>
    </w:p>
  </w:footnote>
  <w:footnote w:id="29">
    <w:p w14:paraId="70DA807D" w14:textId="77777777" w:rsidR="00A03B4C" w:rsidRDefault="007B11D8" w:rsidP="00DB7330">
      <w:pPr>
        <w:pStyle w:val="Textonotapie"/>
      </w:pPr>
      <w:r w:rsidRPr="007F2045">
        <w:rPr>
          <w:rFonts w:ascii="Times New Roman" w:hAnsi="Times New Roman"/>
          <w:vertAlign w:val="superscript"/>
        </w:rPr>
        <w:footnoteRef/>
      </w:r>
      <w:r w:rsidRPr="00D924B6">
        <w:rPr>
          <w:rFonts w:ascii="Times New Roman" w:hAnsi="Times New Roman"/>
          <w:lang w:val="pt-PT"/>
        </w:rPr>
        <w:t xml:space="preserve"> Corte Constitucional, sentencia C-007 de 2016.</w:t>
      </w:r>
    </w:p>
  </w:footnote>
  <w:footnote w:id="30">
    <w:p w14:paraId="09801FF8" w14:textId="77777777" w:rsidR="00A03B4C" w:rsidRDefault="007B11D8" w:rsidP="00DB7330">
      <w:pPr>
        <w:spacing w:after="0" w:line="240" w:lineRule="auto"/>
        <w:mirrorIndents/>
      </w:pPr>
      <w:r w:rsidRPr="007F2045">
        <w:rPr>
          <w:rFonts w:ascii="Times New Roman" w:hAnsi="Times New Roman"/>
          <w:color w:val="000000"/>
          <w:sz w:val="20"/>
          <w:szCs w:val="20"/>
          <w:vertAlign w:val="superscript"/>
          <w:lang w:val="es-ES_tradnl"/>
        </w:rPr>
        <w:footnoteRef/>
      </w:r>
      <w:r w:rsidRPr="007F2045">
        <w:rPr>
          <w:rFonts w:ascii="Times New Roman" w:hAnsi="Times New Roman"/>
          <w:color w:val="000000"/>
          <w:sz w:val="20"/>
          <w:szCs w:val="20"/>
          <w:lang w:val="pt-BR"/>
        </w:rPr>
        <w:t xml:space="preserve"> </w:t>
      </w:r>
      <w:r w:rsidRPr="00D924B6">
        <w:rPr>
          <w:rFonts w:ascii="Times New Roman" w:hAnsi="Times New Roman"/>
          <w:sz w:val="20"/>
          <w:szCs w:val="20"/>
          <w:lang w:val="pt-PT"/>
        </w:rPr>
        <w:t xml:space="preserve">Corte Constitucional, </w:t>
      </w:r>
      <w:r w:rsidRPr="007F2045">
        <w:rPr>
          <w:rFonts w:ascii="Times New Roman" w:hAnsi="Times New Roman"/>
          <w:color w:val="000000"/>
          <w:sz w:val="20"/>
          <w:szCs w:val="20"/>
          <w:lang w:val="pt-BR"/>
        </w:rPr>
        <w:t>sentencia C-009 de 2023.</w:t>
      </w:r>
    </w:p>
  </w:footnote>
  <w:footnote w:id="31">
    <w:p w14:paraId="13571795" w14:textId="77777777" w:rsidR="00A03B4C" w:rsidRDefault="007B11D8" w:rsidP="00DB7330">
      <w:pPr>
        <w:pStyle w:val="Textonotapie"/>
      </w:pPr>
      <w:r w:rsidRPr="007F2045">
        <w:rPr>
          <w:rFonts w:ascii="Times New Roman" w:hAnsi="Times New Roman"/>
          <w:vertAlign w:val="superscript"/>
        </w:rPr>
        <w:footnoteRef/>
      </w:r>
      <w:r w:rsidRPr="00D924B6">
        <w:rPr>
          <w:rFonts w:ascii="Times New Roman" w:hAnsi="Times New Roman"/>
          <w:lang w:val="pt-BR"/>
        </w:rPr>
        <w:t xml:space="preserve"> Corte Constitucional, sentencias C-774 de 2001, C-153 de 2002, C-030 de 2003, C-600 de 2010, C-552 de 2014, C-007 de 2016, C-312 de 2017, C-068 de 2024, C-029 de 2025, entre </w:t>
      </w:r>
      <w:proofErr w:type="spellStart"/>
      <w:r w:rsidRPr="00D924B6">
        <w:rPr>
          <w:rFonts w:ascii="Times New Roman" w:hAnsi="Times New Roman"/>
          <w:lang w:val="pt-BR"/>
        </w:rPr>
        <w:t>otras</w:t>
      </w:r>
      <w:proofErr w:type="spellEnd"/>
      <w:r w:rsidRPr="00D924B6">
        <w:rPr>
          <w:rFonts w:ascii="Times New Roman" w:hAnsi="Times New Roman"/>
          <w:lang w:val="pt-BR"/>
        </w:rPr>
        <w:t>.</w:t>
      </w:r>
    </w:p>
  </w:footnote>
  <w:footnote w:id="32">
    <w:p w14:paraId="0F30623C" w14:textId="77777777" w:rsidR="00A03B4C" w:rsidRDefault="007B11D8" w:rsidP="00DB7330">
      <w:pPr>
        <w:pStyle w:val="Textonotapie"/>
      </w:pPr>
      <w:r w:rsidRPr="007F2045">
        <w:rPr>
          <w:rFonts w:ascii="Times New Roman" w:hAnsi="Times New Roman"/>
          <w:vertAlign w:val="superscript"/>
        </w:rPr>
        <w:footnoteRef/>
      </w:r>
      <w:r w:rsidRPr="00D924B6">
        <w:rPr>
          <w:rFonts w:ascii="Times New Roman" w:hAnsi="Times New Roman"/>
          <w:lang w:val="pt-BR"/>
        </w:rPr>
        <w:t xml:space="preserve"> Corte Constitucional, sentencias C-1173 de 2005, C-720 de 2007, C-257 de 2008, C-228 de 2009, C-744 de 2015, C-008 de 2017, C-312 de 2017, C-055 de 2022, C-101 de 2022, C-227 de 2023, C-473 de 2023, C-147 de 2024, C-209 de 2025, entre </w:t>
      </w:r>
      <w:proofErr w:type="spellStart"/>
      <w:r w:rsidRPr="00D924B6">
        <w:rPr>
          <w:rFonts w:ascii="Times New Roman" w:hAnsi="Times New Roman"/>
          <w:lang w:val="pt-BR"/>
        </w:rPr>
        <w:t>otras</w:t>
      </w:r>
      <w:proofErr w:type="spellEnd"/>
      <w:r w:rsidRPr="00D924B6">
        <w:rPr>
          <w:rFonts w:ascii="Times New Roman" w:hAnsi="Times New Roman"/>
          <w:lang w:val="pt-BR"/>
        </w:rPr>
        <w:t>.</w:t>
      </w:r>
    </w:p>
  </w:footnote>
  <w:footnote w:id="33">
    <w:p w14:paraId="4E3546A0"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“Dicha identidad se aprecia teniendo en cuenta tanto la redacción de los artículos como el contexto dentro del cual se ubica la disposición demandada, de tal forma que si la redacción es diversa pero el contenido normativo es el mismo a la luz del contexto, se entiende que ha habido una reproducción, y, por el contrario, si la redacción es </w:t>
      </w:r>
      <w:proofErr w:type="gramStart"/>
      <w:r w:rsidRPr="007F2045">
        <w:rPr>
          <w:rFonts w:ascii="Times New Roman" w:hAnsi="Times New Roman"/>
        </w:rPr>
        <w:t>igual</w:t>
      </w:r>
      <w:proofErr w:type="gramEnd"/>
      <w:r w:rsidRPr="007F2045">
        <w:rPr>
          <w:rFonts w:ascii="Times New Roman" w:hAnsi="Times New Roman"/>
        </w:rPr>
        <w:t xml:space="preserve"> pero del contexto se deduce un significado normativo distinto, se entiende que no se realizó una reproducción”. Sentencia C-1173 de 2005, reiterada en sentencia C-241 de 2012. En la sentencia C-007 de 2016 la Corte expresó: </w:t>
      </w:r>
      <w:r w:rsidRPr="007F2045">
        <w:rPr>
          <w:rFonts w:ascii="Times New Roman" w:hAnsi="Times New Roman"/>
          <w:shd w:val="clear" w:color="auto" w:fill="FFFFFF"/>
        </w:rPr>
        <w:t>“[s]e tratará del mismo objeto de control cuando el contenido normativo que fue juzgado previamente es igual al acusado, o bien porque se trata del mismo texto, o bien porque -pese a sus diferencias- producen los mismos efectos jurídicos. La variación de algunos de los elementos normativos, o la modificación de su alcance como consecuencia de la adopción de nuevas disposiciones, son circunstancias que pueden incidir en el objeto controlado”.</w:t>
      </w:r>
    </w:p>
  </w:footnote>
  <w:footnote w:id="34">
    <w:p w14:paraId="6CE3561E" w14:textId="77777777" w:rsidR="00A03B4C" w:rsidRDefault="007B11D8" w:rsidP="006D1DE0">
      <w:pPr>
        <w:pStyle w:val="NormalWeb"/>
        <w:shd w:val="clear" w:color="auto" w:fill="FFFFFF"/>
        <w:spacing w:before="0" w:beforeAutospacing="0" w:after="0" w:afterAutospacing="0"/>
      </w:pPr>
      <w:r w:rsidRPr="007F2045">
        <w:rPr>
          <w:sz w:val="20"/>
          <w:szCs w:val="20"/>
          <w:vertAlign w:val="superscript"/>
        </w:rPr>
        <w:footnoteRef/>
      </w:r>
      <w:r w:rsidRPr="007F2045">
        <w:rPr>
          <w:sz w:val="20"/>
          <w:szCs w:val="20"/>
        </w:rPr>
        <w:t xml:space="preserve"> Esa disposición establece lo siguiente: “</w:t>
      </w:r>
      <w:r w:rsidRPr="007F2045">
        <w:rPr>
          <w:color w:val="333333"/>
          <w:kern w:val="0"/>
          <w:sz w:val="20"/>
          <w:szCs w:val="20"/>
          <w:lang w:val="es-CO"/>
        </w:rPr>
        <w:t xml:space="preserve">Los fallos que la Corte dicte en ejercicio del control jurisdiccional hacen tránsito a cosa juzgada constitucional. </w:t>
      </w:r>
      <w:r w:rsidRPr="007F2045">
        <w:rPr>
          <w:color w:val="333333"/>
          <w:kern w:val="0"/>
          <w:sz w:val="20"/>
          <w:szCs w:val="20"/>
          <w:lang w:val="es-CO"/>
        </w:rPr>
        <w:t>Ninguna autoridad podrá reproducir el contenido material del acto jurídico declarado inexequible por razones de fondo, mientras subsistan en la Carta las disposiciones que sirvieron para hacer la confrontación entre la norma ordinaria y la Constitución”.</w:t>
      </w:r>
    </w:p>
  </w:footnote>
  <w:footnote w:id="35">
    <w:p w14:paraId="686BAF9D" w14:textId="77777777" w:rsidR="007B11D8" w:rsidRPr="007F2045" w:rsidRDefault="007B11D8" w:rsidP="00E51598">
      <w:pPr>
        <w:pStyle w:val="Textonotapie"/>
        <w:rPr>
          <w:rFonts w:ascii="Times New Roman" w:hAnsi="Times New Roman"/>
        </w:rPr>
      </w:pPr>
      <w:r w:rsidRPr="007F2045">
        <w:rPr>
          <w:rFonts w:ascii="Times New Roman" w:hAnsi="Times New Roman"/>
          <w:vertAlign w:val="superscript"/>
        </w:rPr>
        <w:footnoteRef/>
      </w:r>
      <w:r w:rsidRPr="007F2045">
        <w:rPr>
          <w:rFonts w:ascii="Times New Roman" w:hAnsi="Times New Roman"/>
        </w:rPr>
        <w:t xml:space="preserve"> En esa dirección se encuentran los autos 161, 176 y 189 del año 2020. Igualmente, de ese mismo año la sentencia C-193.</w:t>
      </w:r>
    </w:p>
    <w:p w14:paraId="063CF779" w14:textId="77777777" w:rsidR="00A03B4C" w:rsidRDefault="00A03B4C" w:rsidP="00E51598">
      <w:pPr>
        <w:pStyle w:val="Textonotapie"/>
      </w:pPr>
    </w:p>
  </w:footnote>
  <w:footnote w:id="36">
    <w:p w14:paraId="6BEEA3D6" w14:textId="77777777" w:rsidR="00A03B4C" w:rsidRDefault="007B11D8">
      <w:pPr>
        <w:pStyle w:val="Textonotapie"/>
      </w:pPr>
      <w:r w:rsidRPr="007F2045">
        <w:rPr>
          <w:rFonts w:ascii="Times New Roman" w:hAnsi="Times New Roman"/>
          <w:vertAlign w:val="superscript"/>
        </w:rPr>
        <w:footnoteRef/>
      </w:r>
      <w:r w:rsidRPr="007F2045">
        <w:rPr>
          <w:rFonts w:ascii="Times New Roman" w:hAnsi="Times New Roman"/>
        </w:rPr>
        <w:t xml:space="preserve"> </w:t>
      </w:r>
      <w:r w:rsidR="0020197F" w:rsidRPr="007F2045">
        <w:rPr>
          <w:rFonts w:ascii="Times New Roman" w:hAnsi="Times New Roman"/>
        </w:rPr>
        <w:t xml:space="preserve">Apelando </w:t>
      </w:r>
      <w:r w:rsidRPr="007F2045">
        <w:rPr>
          <w:rFonts w:ascii="Times New Roman" w:hAnsi="Times New Roman"/>
        </w:rPr>
        <w:t xml:space="preserve">a estos dos tipos de decretos, la sentencia C-802 de 2002 señaló, al referirse al régimen propio de la conmoción interior, que existían “[l]os declarativos del estado de conmoción, con fuerza de ley porque constituyen una auto habilitación para legislar y los decretos de desarrollo de esas facultades excepcionales”. </w:t>
      </w:r>
      <w:r w:rsidR="0020197F" w:rsidRPr="007F2045">
        <w:rPr>
          <w:rFonts w:ascii="Times New Roman" w:hAnsi="Times New Roman"/>
        </w:rPr>
        <w:t>La Corte, p</w:t>
      </w:r>
      <w:r w:rsidRPr="007F2045">
        <w:rPr>
          <w:rFonts w:ascii="Times New Roman" w:hAnsi="Times New Roman"/>
        </w:rPr>
        <w:t>recisó</w:t>
      </w:r>
      <w:r w:rsidR="0020197F" w:rsidRPr="007F2045">
        <w:rPr>
          <w:rFonts w:ascii="Times New Roman" w:hAnsi="Times New Roman"/>
        </w:rPr>
        <w:t>,</w:t>
      </w:r>
      <w:r w:rsidRPr="007F2045">
        <w:rPr>
          <w:rFonts w:ascii="Times New Roman" w:hAnsi="Times New Roman"/>
        </w:rPr>
        <w:t xml:space="preserve"> además</w:t>
      </w:r>
      <w:r w:rsidR="0020197F" w:rsidRPr="007F2045">
        <w:rPr>
          <w:rFonts w:ascii="Times New Roman" w:hAnsi="Times New Roman"/>
        </w:rPr>
        <w:t>,</w:t>
      </w:r>
      <w:r w:rsidRPr="007F2045">
        <w:rPr>
          <w:rFonts w:ascii="Times New Roman" w:hAnsi="Times New Roman"/>
        </w:rPr>
        <w:t xml:space="preserve"> que existe entre ellos “una </w:t>
      </w:r>
      <w:proofErr w:type="spellStart"/>
      <w:r w:rsidRPr="007F2045">
        <w:rPr>
          <w:rFonts w:ascii="Times New Roman" w:hAnsi="Times New Roman"/>
        </w:rPr>
        <w:t>inescindibilidad</w:t>
      </w:r>
      <w:proofErr w:type="spellEnd"/>
      <w:r w:rsidRPr="007F2045">
        <w:rPr>
          <w:rFonts w:ascii="Times New Roman" w:hAnsi="Times New Roman"/>
        </w:rPr>
        <w:t xml:space="preserve"> indiscutible” advirtiendo que “[e]l decreto declaratorio no es de menor jerarquía normativa; por el contrario, constituye el parámetro de control de los decretos que con fundamento en él dicte el Gobierno Nacional”.</w:t>
      </w:r>
    </w:p>
  </w:footnote>
  <w:footnote w:id="37">
    <w:p w14:paraId="3D104280" w14:textId="77777777" w:rsidR="00A03B4C" w:rsidRDefault="007B11D8">
      <w:pPr>
        <w:pStyle w:val="Textonotapie"/>
      </w:pPr>
      <w:r w:rsidRPr="007F2045">
        <w:rPr>
          <w:rFonts w:ascii="Times New Roman" w:hAnsi="Times New Roman"/>
          <w:vertAlign w:val="superscript"/>
        </w:rPr>
        <w:footnoteRef/>
      </w:r>
      <w:r w:rsidRPr="007F2045">
        <w:rPr>
          <w:rFonts w:ascii="Times New Roman" w:hAnsi="Times New Roman"/>
        </w:rPr>
        <w:t xml:space="preserve"> Igualmente, la Corte ha reconocido que, con fundamento en el artículo 213 de la Constitución, el presidente de la República podrá prorrogar por noventa días la vigencia de los decretos legislativos expedidos durante el estado de conmoción. Sobre ello</w:t>
      </w:r>
      <w:r w:rsidR="009F4E52" w:rsidRPr="007F2045">
        <w:rPr>
          <w:rFonts w:ascii="Times New Roman" w:hAnsi="Times New Roman"/>
        </w:rPr>
        <w:t>,</w:t>
      </w:r>
      <w:r w:rsidRPr="007F2045">
        <w:rPr>
          <w:rFonts w:ascii="Times New Roman" w:hAnsi="Times New Roman"/>
        </w:rPr>
        <w:t xml:space="preserve"> la sentencia C-410 de 2025 explicó: “La Corte Constitucional ha indicado que, en virtud de lo establecido en los artículos 213 y 214 superiores, cuando se cumple con el término máximo de vigencia de la declaración de conmoción interior o cuando han desaparecido o cesado las causas que dieron lugar a dicho estado de excepción, “el Gobierno deberá levantar el [e]</w:t>
      </w:r>
      <w:proofErr w:type="spellStart"/>
      <w:r w:rsidRPr="007F2045">
        <w:rPr>
          <w:rFonts w:ascii="Times New Roman" w:hAnsi="Times New Roman"/>
        </w:rPr>
        <w:t>stado</w:t>
      </w:r>
      <w:proofErr w:type="spellEnd"/>
      <w:r w:rsidRPr="007F2045">
        <w:rPr>
          <w:rFonts w:ascii="Times New Roman" w:hAnsi="Times New Roman"/>
        </w:rPr>
        <w:t xml:space="preserve"> de [c]</w:t>
      </w:r>
      <w:proofErr w:type="spellStart"/>
      <w:r w:rsidRPr="007F2045">
        <w:rPr>
          <w:rFonts w:ascii="Times New Roman" w:hAnsi="Times New Roman"/>
        </w:rPr>
        <w:t>onmoción</w:t>
      </w:r>
      <w:proofErr w:type="spellEnd"/>
      <w:r w:rsidRPr="007F2045">
        <w:rPr>
          <w:rFonts w:ascii="Times New Roman" w:hAnsi="Times New Roman"/>
        </w:rPr>
        <w:t xml:space="preserve"> [i]</w:t>
      </w:r>
      <w:proofErr w:type="spellStart"/>
      <w:r w:rsidRPr="007F2045">
        <w:rPr>
          <w:rFonts w:ascii="Times New Roman" w:hAnsi="Times New Roman"/>
        </w:rPr>
        <w:t>nterior</w:t>
      </w:r>
      <w:proofErr w:type="spellEnd"/>
      <w:r w:rsidRPr="007F2045">
        <w:rPr>
          <w:rFonts w:ascii="Times New Roman" w:hAnsi="Times New Roman"/>
        </w:rPr>
        <w:t>, y declarar restablecido el orden público” (…). Si bien, en principio, los decretos legislativos de desarrollo dictados al amparo de este estado excepcional dejan de regir tan pronto se declare restablecido el orden público, el inciso tercero del artículo 213 constitucional y el artículo 41 de la LEEE consagran la posibilidad de prorrogarlos hasta por 90 días más desde el decreto que ordena el levantamiento de la declaratoria de conmoción interior”.</w:t>
      </w:r>
    </w:p>
  </w:footnote>
  <w:footnote w:id="38">
    <w:p w14:paraId="33D408C9" w14:textId="77777777" w:rsidR="00A03B4C" w:rsidRDefault="007B11D8" w:rsidP="00DB7330">
      <w:pPr>
        <w:pStyle w:val="NormalWeb"/>
        <w:spacing w:before="0" w:beforeAutospacing="0" w:after="0" w:afterAutospacing="0"/>
      </w:pPr>
      <w:r w:rsidRPr="007F2045">
        <w:rPr>
          <w:sz w:val="20"/>
          <w:szCs w:val="20"/>
          <w:vertAlign w:val="superscript"/>
        </w:rPr>
        <w:footnoteRef/>
      </w:r>
      <w:r w:rsidRPr="007F2045">
        <w:rPr>
          <w:sz w:val="20"/>
          <w:szCs w:val="20"/>
        </w:rPr>
        <w:t xml:space="preserve"> </w:t>
      </w:r>
      <w:r w:rsidRPr="007F2045">
        <w:rPr>
          <w:bCs/>
          <w:sz w:val="20"/>
          <w:szCs w:val="20"/>
        </w:rPr>
        <w:t>Así, por ejemplo, el artículo 10 establece que “[</w:t>
      </w:r>
      <w:r w:rsidRPr="007F2045">
        <w:rPr>
          <w:sz w:val="20"/>
          <w:szCs w:val="20"/>
        </w:rPr>
        <w:t>c]</w:t>
      </w:r>
      <w:proofErr w:type="spellStart"/>
      <w:r w:rsidRPr="007F2045">
        <w:rPr>
          <w:sz w:val="20"/>
          <w:szCs w:val="20"/>
        </w:rPr>
        <w:t>ada</w:t>
      </w:r>
      <w:proofErr w:type="spellEnd"/>
      <w:r w:rsidRPr="007F2045">
        <w:rPr>
          <w:sz w:val="20"/>
          <w:szCs w:val="20"/>
        </w:rPr>
        <w:t xml:space="preserve"> una de las medidas adoptadas en los decretos legislativos deberá estar directa y específicamente encaminada a conjurar las causas de la perturbación y a impedir la extensión de sus efectos</w:t>
      </w:r>
      <w:bookmarkStart w:id="2" w:name="ver_1649240"/>
      <w:bookmarkEnd w:id="2"/>
      <w:r w:rsidRPr="007F2045">
        <w:rPr>
          <w:sz w:val="20"/>
          <w:szCs w:val="20"/>
        </w:rPr>
        <w:t>”; el artículo 11 prescribe que “[l]os decretos legislativos deberán expresar claramente las razones por las cuales cada una de las medidas adoptadas es necesaria para alcanzar los fines que dieron lugar a la declaratoria del estado de excepción correspondiente</w:t>
      </w:r>
      <w:bookmarkStart w:id="3" w:name="ver_1649241"/>
      <w:bookmarkEnd w:id="3"/>
      <w:r w:rsidRPr="007F2045">
        <w:rPr>
          <w:sz w:val="20"/>
          <w:szCs w:val="20"/>
        </w:rPr>
        <w:t>”; el artículo 12 prevé que “[l]os decretos legislativos que suspendan leyes deberán expresar las razones por las cuales son incompatibles con el correspondiente Estado de Excepción”; el artículo 32 establece que “[e]l Congreso podrá reformar o derogar, en cualquier tiempo, los decretos legislativos que dicte el Gobierno durante el Estado de Guerra Exterior, con el voto favorable de los dos tercios de los miembros de una y otra Cámara”; el artículo 41 dispone que “[l]os decretos legislativos que dicte el Gobierno durante el Estado de Conmoción Interior, dejaran de regir tan pronto como se declare restablecido el orden público, pero se podrá prorrogar su vigencia hasta por 90 días más”; el artículo 49 señala que “[e]l Congreso podrá, durante el año siguiente a la declaratoria del Estado de Emergencia, reformar, derogar, o adicionar los decretos legislativos que dicte el Gobierno durante dicho Estado, en aquellas materias que ordinariamente son de iniciativa gubernamental</w:t>
      </w:r>
      <w:bookmarkStart w:id="4" w:name="ver_1649279"/>
      <w:bookmarkEnd w:id="4"/>
      <w:r w:rsidRPr="007F2045">
        <w:rPr>
          <w:sz w:val="20"/>
          <w:szCs w:val="20"/>
        </w:rPr>
        <w:t xml:space="preserve">”; el </w:t>
      </w:r>
      <w:r w:rsidRPr="007F2045">
        <w:rPr>
          <w:bCs/>
          <w:sz w:val="20"/>
          <w:szCs w:val="20"/>
        </w:rPr>
        <w:t>artículo 50 prescribe que en ningún</w:t>
      </w:r>
      <w:r w:rsidRPr="007F2045">
        <w:rPr>
          <w:b/>
          <w:bCs/>
          <w:sz w:val="20"/>
          <w:szCs w:val="20"/>
        </w:rPr>
        <w:t xml:space="preserve"> caso</w:t>
      </w:r>
      <w:r w:rsidRPr="007F2045">
        <w:rPr>
          <w:sz w:val="20"/>
          <w:szCs w:val="20"/>
        </w:rPr>
        <w:t xml:space="preserve"> el Gobierno podrá desmejorar los derechos sociales de los trabajadores mediante los decretos legislativos dictados durante el Estado de Emergencia”; y el artículo 58 establece que la ley 137 de 1994 “no podrá ser, en ningún caso, suspendida por un decreto legislativo dictado durante los Estados de Excepción, y sólo podrá ser modificada por los procedimientos previstos en la Constitución por una ley estatutaria”.</w:t>
      </w:r>
    </w:p>
  </w:footnote>
  <w:footnote w:id="39">
    <w:p w14:paraId="6861CA27"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Precisamente, en ese sentido, la Corte ha declarado en algunas oportunidades que el control constitucional del decreto declaratorio corresponde a una competencia atípica dado que no se adscribe de manera expresa al artículo 241. 7 de la Constitución. Así lo recordó la sentencia C-145 de 2020 en cuya nota de pie No. 56 indicó: “</w:t>
      </w:r>
      <w:r w:rsidRPr="007F2045">
        <w:rPr>
          <w:rFonts w:ascii="Times New Roman" w:hAnsi="Times New Roman"/>
          <w:shd w:val="clear" w:color="auto" w:fill="FFFFFF"/>
        </w:rPr>
        <w:t xml:space="preserve">La Corte Suprema de Justicia consideraba que la evaluación del orden público era una competencia completamente discrecional del </w:t>
      </w:r>
      <w:proofErr w:type="gramStart"/>
      <w:r w:rsidRPr="007F2045">
        <w:rPr>
          <w:rFonts w:ascii="Times New Roman" w:hAnsi="Times New Roman"/>
          <w:shd w:val="clear" w:color="auto" w:fill="FFFFFF"/>
        </w:rPr>
        <w:t>Presidente</w:t>
      </w:r>
      <w:proofErr w:type="gramEnd"/>
      <w:r w:rsidRPr="007F2045">
        <w:rPr>
          <w:rFonts w:ascii="Times New Roman" w:hAnsi="Times New Roman"/>
          <w:shd w:val="clear" w:color="auto" w:fill="FFFFFF"/>
        </w:rPr>
        <w:t xml:space="preserve"> de la República, por tratarse de típicos ‘actos políticos’ razón por la cual el control judicial de la declaratoria del estado de excepción era solo formal. Con la expedición de la Constitución Política de 1991 se entendió que no pueden existir al interior del Estado de derecho actos arbitrarios o desprovistos de control alguno (sentencia C-156 de 2011). La Corte ha establecido que la Constitución ha establecido dos tipos de decretos legislativos: los declarativos del estado de excepción con fuerza de ley porque constituyen una auto habilitación para legislar y los decretos de desarrollo de esas facultades excepcionales (sentencia C-802 de 2002). Las sentencias C-049 de 2012 y C-173 de 2014 indicaron que los decretos que declaran un estado de excepción constituyen una competencia atípica”. </w:t>
      </w:r>
    </w:p>
  </w:footnote>
  <w:footnote w:id="40">
    <w:p w14:paraId="0A9530C8" w14:textId="77777777" w:rsidR="00A03B4C" w:rsidRDefault="007B11D8">
      <w:pPr>
        <w:pStyle w:val="Textonotapie"/>
      </w:pPr>
      <w:r w:rsidRPr="007F2045">
        <w:rPr>
          <w:rFonts w:ascii="Times New Roman" w:hAnsi="Times New Roman"/>
          <w:vertAlign w:val="superscript"/>
        </w:rPr>
        <w:footnoteRef/>
      </w:r>
      <w:r w:rsidRPr="007F2045">
        <w:rPr>
          <w:rFonts w:ascii="Times New Roman" w:hAnsi="Times New Roman"/>
        </w:rPr>
        <w:t xml:space="preserve"> </w:t>
      </w:r>
      <w:r w:rsidRPr="007F2045">
        <w:rPr>
          <w:rFonts w:ascii="Times New Roman" w:hAnsi="Times New Roman"/>
          <w:shd w:val="clear" w:color="auto" w:fill="FFFFFF"/>
          <w:lang w:val="es-CO"/>
        </w:rPr>
        <w:t>Tal artículo establece: “Ninguna autoridad podrá reproducir el contenido material del acto jurídico declarado inexequible por razones de fondo, mientras subsistan en la Carta las disposiciones que sirvieron para hacer la confrontación entre la norma ordinaria y la Constitución (…)”.</w:t>
      </w:r>
    </w:p>
  </w:footnote>
  <w:footnote w:id="41">
    <w:p w14:paraId="187D30BD" w14:textId="77777777" w:rsidR="00A03B4C" w:rsidRDefault="007B11D8" w:rsidP="00DB7330">
      <w:pPr>
        <w:pStyle w:val="Prrafodelista"/>
        <w:tabs>
          <w:tab w:val="left" w:pos="284"/>
          <w:tab w:val="left" w:pos="426"/>
        </w:tabs>
        <w:spacing w:after="0" w:line="240" w:lineRule="auto"/>
        <w:ind w:left="0"/>
      </w:pPr>
      <w:r w:rsidRPr="007F2045">
        <w:rPr>
          <w:rFonts w:ascii="Times New Roman" w:hAnsi="Times New Roman"/>
          <w:sz w:val="20"/>
          <w:szCs w:val="20"/>
          <w:vertAlign w:val="superscript"/>
        </w:rPr>
        <w:footnoteRef/>
      </w:r>
      <w:r w:rsidRPr="007F2045">
        <w:rPr>
          <w:rFonts w:ascii="Times New Roman" w:hAnsi="Times New Roman"/>
          <w:sz w:val="20"/>
          <w:szCs w:val="20"/>
        </w:rPr>
        <w:t xml:space="preserve"> Una interpretación textual de las consideraciones de la Corte podría también conducir a la misma conclusión. En efecto, la expresión “</w:t>
      </w:r>
      <w:r w:rsidRPr="007F2045">
        <w:rPr>
          <w:rFonts w:ascii="Times New Roman" w:hAnsi="Times New Roman"/>
          <w:b/>
          <w:sz w:val="20"/>
          <w:szCs w:val="20"/>
        </w:rPr>
        <w:t>esta</w:t>
      </w:r>
      <w:r w:rsidRPr="007F2045">
        <w:rPr>
          <w:rFonts w:ascii="Times New Roman" w:hAnsi="Times New Roman"/>
          <w:sz w:val="20"/>
          <w:szCs w:val="20"/>
        </w:rPr>
        <w:t xml:space="preserve"> clase” designaría al segundo supuesto -decretos de desarrollo- esto es, el que “se acaba de mencionar” -según la definición que de tal expresión provee la RAE.</w:t>
      </w:r>
    </w:p>
  </w:footnote>
  <w:footnote w:id="42">
    <w:p w14:paraId="15C39276"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Corte Constitucional, </w:t>
      </w:r>
      <w:r w:rsidRPr="007F2045">
        <w:rPr>
          <w:rFonts w:ascii="Times New Roman" w:hAnsi="Times New Roman"/>
          <w:lang w:val="es-CO"/>
        </w:rPr>
        <w:t>autos 161 de 2020, 176 de 2020, 189 de 2020 y sentencia C-193 de 2020.</w:t>
      </w:r>
    </w:p>
  </w:footnote>
  <w:footnote w:id="43">
    <w:p w14:paraId="0AD67D81"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w:t>
      </w:r>
      <w:r w:rsidRPr="007F2045">
        <w:rPr>
          <w:rFonts w:ascii="Times New Roman" w:hAnsi="Times New Roman"/>
          <w:lang w:val="es-CO"/>
        </w:rPr>
        <w:t>Decreto Legislativo 1085 de 2023.</w:t>
      </w:r>
    </w:p>
  </w:footnote>
  <w:footnote w:id="44">
    <w:p w14:paraId="61998006"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Sentencia C-463 de 2023, nota al pie 2.</w:t>
      </w:r>
    </w:p>
  </w:footnote>
  <w:footnote w:id="45">
    <w:p w14:paraId="58D14EEE"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w:t>
      </w:r>
      <w:r w:rsidRPr="007F2045">
        <w:rPr>
          <w:rFonts w:ascii="Times New Roman" w:hAnsi="Times New Roman"/>
          <w:lang w:val="es-CO"/>
        </w:rPr>
        <w:t>Ibidem.</w:t>
      </w:r>
    </w:p>
  </w:footnote>
  <w:footnote w:id="46">
    <w:p w14:paraId="70CDD7C0"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PLEEE, artículos 19, 20 y 56. </w:t>
      </w:r>
    </w:p>
  </w:footnote>
  <w:footnote w:id="47">
    <w:p w14:paraId="23DAD20B"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El artículo 56 del PLEEE se refería a la “suspensión de los efectos”, mientras que el auto 272 de 2023 establece que la medida de suspensión “está orientada a impedir la producción de efectos de las normas objeto de control” (fundamentos 53 y 54).</w:t>
      </w:r>
    </w:p>
  </w:footnote>
  <w:footnote w:id="48">
    <w:p w14:paraId="1CB8BC0D"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Auto 272 de 2023, fundamento 90.</w:t>
      </w:r>
    </w:p>
  </w:footnote>
  <w:footnote w:id="49">
    <w:p w14:paraId="76130035"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PLEEE, artículo 56.</w:t>
      </w:r>
    </w:p>
  </w:footnote>
  <w:footnote w:id="50">
    <w:p w14:paraId="51FBE804"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Auto 272 de 2023, fundamento 59.</w:t>
      </w:r>
    </w:p>
  </w:footnote>
  <w:footnote w:id="51">
    <w:p w14:paraId="4800B78C"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PLEEE, artículo 56; auto 272 de 2023, fundamento 58.</w:t>
      </w:r>
    </w:p>
  </w:footnote>
  <w:footnote w:id="52">
    <w:p w14:paraId="5E8E4462"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PLEEE, artículo 56.</w:t>
      </w:r>
    </w:p>
  </w:footnote>
  <w:footnote w:id="53">
    <w:p w14:paraId="12E24B3B"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Ibidem.</w:t>
      </w:r>
    </w:p>
  </w:footnote>
  <w:footnote w:id="54">
    <w:p w14:paraId="0E6CD1EE"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Auto 272 de 2023, fundamento 54.</w:t>
      </w:r>
    </w:p>
  </w:footnote>
  <w:footnote w:id="55">
    <w:p w14:paraId="7FBE537A"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Auto 272 de 2023, fundamento 53.</w:t>
      </w:r>
    </w:p>
  </w:footnote>
  <w:footnote w:id="56">
    <w:p w14:paraId="43955C1E" w14:textId="77777777" w:rsidR="00A03B4C" w:rsidRDefault="007B11D8" w:rsidP="00DB7330">
      <w:pPr>
        <w:pStyle w:val="Textonotapie"/>
      </w:pPr>
      <w:r w:rsidRPr="007F2045">
        <w:rPr>
          <w:rFonts w:ascii="Times New Roman" w:hAnsi="Times New Roman"/>
          <w:vertAlign w:val="superscript"/>
        </w:rPr>
        <w:footnoteRef/>
      </w:r>
      <w:r w:rsidRPr="00D924B6">
        <w:rPr>
          <w:rFonts w:ascii="Times New Roman" w:hAnsi="Times New Roman"/>
          <w:lang w:val="pt-PT"/>
        </w:rPr>
        <w:t xml:space="preserve"> Auto 272 de 2023, fundamento 54.</w:t>
      </w:r>
    </w:p>
  </w:footnote>
  <w:footnote w:id="57">
    <w:p w14:paraId="53FBBAD9" w14:textId="77777777" w:rsidR="00A03B4C" w:rsidRDefault="007B11D8" w:rsidP="00DB7330">
      <w:pPr>
        <w:pStyle w:val="Textonotapie"/>
      </w:pPr>
      <w:r w:rsidRPr="007F2045">
        <w:rPr>
          <w:rFonts w:ascii="Times New Roman" w:hAnsi="Times New Roman"/>
          <w:vertAlign w:val="superscript"/>
        </w:rPr>
        <w:footnoteRef/>
      </w:r>
      <w:r w:rsidRPr="00D924B6">
        <w:rPr>
          <w:rFonts w:ascii="Times New Roman" w:hAnsi="Times New Roman"/>
          <w:lang w:val="pt-PT"/>
        </w:rPr>
        <w:t xml:space="preserve"> Ibidem.</w:t>
      </w:r>
    </w:p>
  </w:footnote>
  <w:footnote w:id="58">
    <w:p w14:paraId="7B3BE966" w14:textId="77777777" w:rsidR="00A03B4C" w:rsidRDefault="007B11D8" w:rsidP="00DB7330">
      <w:pPr>
        <w:pStyle w:val="Textonotapie"/>
      </w:pPr>
      <w:r w:rsidRPr="007F2045">
        <w:rPr>
          <w:rFonts w:ascii="Times New Roman" w:hAnsi="Times New Roman"/>
          <w:vertAlign w:val="superscript"/>
        </w:rPr>
        <w:footnoteRef/>
      </w:r>
      <w:r w:rsidRPr="00D924B6">
        <w:rPr>
          <w:rFonts w:ascii="Times New Roman" w:hAnsi="Times New Roman"/>
          <w:lang w:val="pt-PT"/>
        </w:rPr>
        <w:t xml:space="preserve"> Auto 272 de 2023, fundamento 55.</w:t>
      </w:r>
    </w:p>
  </w:footnote>
  <w:footnote w:id="59">
    <w:p w14:paraId="4475F4B3" w14:textId="77777777" w:rsidR="00A03B4C" w:rsidRDefault="007B11D8" w:rsidP="00DB7330">
      <w:pPr>
        <w:pStyle w:val="Textonotapie"/>
      </w:pPr>
      <w:r w:rsidRPr="007F2045">
        <w:rPr>
          <w:rFonts w:ascii="Times New Roman" w:hAnsi="Times New Roman"/>
          <w:vertAlign w:val="superscript"/>
        </w:rPr>
        <w:footnoteRef/>
      </w:r>
      <w:r w:rsidRPr="00D924B6">
        <w:rPr>
          <w:rFonts w:ascii="Times New Roman" w:hAnsi="Times New Roman"/>
          <w:lang w:val="pt-PT"/>
        </w:rPr>
        <w:t xml:space="preserve"> Auto 272 de 2023, fundamento 56.</w:t>
      </w:r>
    </w:p>
  </w:footnote>
  <w:footnote w:id="60">
    <w:p w14:paraId="7C396099" w14:textId="77777777" w:rsidR="00A03B4C" w:rsidRDefault="007B11D8" w:rsidP="00DB7330">
      <w:pPr>
        <w:pStyle w:val="Textonotapie"/>
      </w:pPr>
      <w:r w:rsidRPr="007F2045">
        <w:rPr>
          <w:rFonts w:ascii="Times New Roman" w:hAnsi="Times New Roman"/>
          <w:vertAlign w:val="superscript"/>
        </w:rPr>
        <w:footnoteRef/>
      </w:r>
      <w:r w:rsidRPr="00D924B6">
        <w:rPr>
          <w:rFonts w:ascii="Times New Roman" w:hAnsi="Times New Roman"/>
          <w:lang w:val="pt-PT"/>
        </w:rPr>
        <w:t xml:space="preserve"> Auto 272 de 2023, fundamento 57.</w:t>
      </w:r>
    </w:p>
  </w:footnote>
  <w:footnote w:id="61">
    <w:p w14:paraId="403BCB2A"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Auto 272 de 2023, fundamento 58.</w:t>
      </w:r>
    </w:p>
  </w:footnote>
  <w:footnote w:id="62">
    <w:p w14:paraId="50EDCE38" w14:textId="77777777" w:rsidR="00A03B4C" w:rsidRDefault="007B11D8">
      <w:pPr>
        <w:pStyle w:val="Textonotapie"/>
      </w:pPr>
      <w:r w:rsidRPr="007F2045">
        <w:rPr>
          <w:rFonts w:ascii="Times New Roman" w:hAnsi="Times New Roman"/>
          <w:shd w:val="clear" w:color="auto" w:fill="FFFFFF" w:themeFill="background1"/>
          <w:vertAlign w:val="superscript"/>
        </w:rPr>
        <w:footnoteRef/>
      </w:r>
      <w:r w:rsidRPr="007F2045">
        <w:rPr>
          <w:rFonts w:ascii="Times New Roman" w:hAnsi="Times New Roman"/>
          <w:shd w:val="clear" w:color="auto" w:fill="FFFFFF" w:themeFill="background1"/>
        </w:rPr>
        <w:t xml:space="preserve"> </w:t>
      </w:r>
      <w:r w:rsidRPr="007F2045">
        <w:rPr>
          <w:rFonts w:ascii="Times New Roman" w:hAnsi="Times New Roman"/>
          <w:shd w:val="clear" w:color="auto" w:fill="FFFFFF" w:themeFill="background1"/>
          <w:lang w:val="es-CO"/>
        </w:rPr>
        <w:t>El magistrado Jorge Enrique Ibáñez presentó una solicitud de suspensión del Decreto 1390 de 2025. Esta no fue valorada por la Sala dado que le fue aceptado el impedimento formulado para participar en este proceso.</w:t>
      </w:r>
    </w:p>
  </w:footnote>
  <w:footnote w:id="63">
    <w:p w14:paraId="4E0D0A84" w14:textId="77777777" w:rsidR="00A03B4C" w:rsidRDefault="007B11D8">
      <w:pPr>
        <w:pStyle w:val="Textonotapie"/>
      </w:pPr>
      <w:r w:rsidRPr="007F2045">
        <w:rPr>
          <w:rFonts w:ascii="Times New Roman" w:hAnsi="Times New Roman"/>
          <w:vertAlign w:val="superscript"/>
        </w:rPr>
        <w:footnoteRef/>
      </w:r>
      <w:r w:rsidRPr="007F2045">
        <w:rPr>
          <w:rFonts w:ascii="Times New Roman" w:hAnsi="Times New Roman"/>
        </w:rPr>
        <w:t xml:space="preserve"> </w:t>
      </w:r>
      <w:r w:rsidRPr="007F2045">
        <w:rPr>
          <w:rFonts w:ascii="Times New Roman" w:hAnsi="Times New Roman"/>
          <w:lang w:val="es-CO"/>
        </w:rPr>
        <w:t>Para efectos metodológicos, la Sala valorará de manera separada cada una de ellas. No obstante la primera de las condiciones referidas en el auto 272 de 2023 se estudiará de manera conjunta con la cuarta, dada la afinidad de sus contenidos, en la medida en que en ellas existe una pregunta común, relativa al carácter imprescindible o necesario de la medida de suspensión provisional.</w:t>
      </w:r>
    </w:p>
  </w:footnote>
  <w:footnote w:id="64">
    <w:p w14:paraId="6559516D" w14:textId="77777777" w:rsidR="00A03B4C" w:rsidRDefault="007B11D8" w:rsidP="00DB7330">
      <w:pPr>
        <w:pStyle w:val="Textonotapie"/>
      </w:pPr>
      <w:r w:rsidRPr="007F2045">
        <w:rPr>
          <w:rFonts w:ascii="Times New Roman" w:eastAsiaTheme="majorEastAsia" w:hAnsi="Times New Roman"/>
          <w:vertAlign w:val="superscript"/>
        </w:rPr>
        <w:footnoteRef/>
      </w:r>
      <w:r w:rsidRPr="00D924B6">
        <w:rPr>
          <w:rFonts w:ascii="Times New Roman" w:hAnsi="Times New Roman"/>
          <w:lang w:val="pt-PT"/>
        </w:rPr>
        <w:t xml:space="preserve"> Corte Constitucional, sentencia C-383 de 2023.</w:t>
      </w:r>
    </w:p>
  </w:footnote>
  <w:footnote w:id="65">
    <w:p w14:paraId="2E95BCE2" w14:textId="77777777" w:rsidR="00A03B4C" w:rsidRDefault="007B11D8" w:rsidP="00DB7330">
      <w:pPr>
        <w:pStyle w:val="Textonotapie"/>
      </w:pPr>
      <w:r w:rsidRPr="007F2045">
        <w:rPr>
          <w:rFonts w:ascii="Times New Roman" w:eastAsiaTheme="majorEastAsia" w:hAnsi="Times New Roman"/>
          <w:vertAlign w:val="superscript"/>
        </w:rPr>
        <w:footnoteRef/>
      </w:r>
      <w:r w:rsidRPr="007F2045">
        <w:rPr>
          <w:rFonts w:ascii="Times New Roman" w:hAnsi="Times New Roman"/>
        </w:rPr>
        <w:t xml:space="preserve"> Ibid.</w:t>
      </w:r>
    </w:p>
  </w:footnote>
  <w:footnote w:id="66">
    <w:p w14:paraId="417BEE5D"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En virtud de la naturaleza de la suspensión provisional, la adopción de esta decisión no afecta el derecho al debido proceso, en particular la defensa o contradicción, toda vez que en estos casos la evaluación de la Corte se concentra en la motivación del decreto y sus anexos y, por tanto, en la ausencia de evidencia clara y palmaria acerca de los presupuestos básicos exigidos por el artículo 215 de la Constitución, de tal forma que pueda evidenciarse si, como se ha indicado, de una primera y simple observación se infiera su ostensible incompatibilidad con la Constitución.</w:t>
      </w:r>
    </w:p>
  </w:footnote>
  <w:footnote w:id="67">
    <w:p w14:paraId="4A742B78" w14:textId="77777777" w:rsidR="00A03B4C" w:rsidRDefault="007B11D8" w:rsidP="00DB7330">
      <w:pPr>
        <w:spacing w:after="0" w:line="240" w:lineRule="auto"/>
      </w:pPr>
      <w:r w:rsidRPr="007F2045">
        <w:rPr>
          <w:rFonts w:ascii="Times New Roman" w:hAnsi="Times New Roman"/>
          <w:sz w:val="20"/>
          <w:szCs w:val="20"/>
          <w:vertAlign w:val="superscript"/>
        </w:rPr>
        <w:footnoteRef/>
      </w:r>
      <w:r w:rsidRPr="007F2045">
        <w:rPr>
          <w:rFonts w:ascii="Times New Roman" w:hAnsi="Times New Roman"/>
          <w:sz w:val="20"/>
          <w:szCs w:val="20"/>
        </w:rPr>
        <w:t xml:space="preserve"> “Por medio de la cual se establece una regla fiscal y se dictan otras disposiciones”.</w:t>
      </w:r>
    </w:p>
  </w:footnote>
  <w:footnote w:id="68">
    <w:p w14:paraId="65B47195" w14:textId="77777777" w:rsidR="00A03B4C" w:rsidRDefault="007B11D8" w:rsidP="00DB7330">
      <w:pPr>
        <w:spacing w:after="0" w:line="240" w:lineRule="auto"/>
      </w:pPr>
      <w:r w:rsidRPr="007F2045">
        <w:rPr>
          <w:rFonts w:ascii="Times New Roman" w:hAnsi="Times New Roman"/>
          <w:sz w:val="20"/>
          <w:szCs w:val="20"/>
          <w:vertAlign w:val="superscript"/>
        </w:rPr>
        <w:footnoteRef/>
      </w:r>
      <w:r w:rsidRPr="007F2045">
        <w:rPr>
          <w:rFonts w:ascii="Times New Roman" w:hAnsi="Times New Roman"/>
          <w:sz w:val="20"/>
          <w:szCs w:val="20"/>
        </w:rPr>
        <w:t xml:space="preserve"> “Por medio de la cual se expide la Ley de Inversión Social y se dictan otras disposiciones”.</w:t>
      </w:r>
    </w:p>
  </w:footnote>
  <w:footnote w:id="69">
    <w:p w14:paraId="56765CE9"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Decreto 4712 de 2008, “por el cual se modifica la estructura del Ministerio de Hacienda y Crédito Público”, artículo 33: “Son funciones de la Dirección General de Crédito Público y Tesoro nacional las siguientes: (…) 2. Dirigir y administrar, bajo la orientación del </w:t>
      </w:r>
      <w:proofErr w:type="gramStart"/>
      <w:r w:rsidRPr="007F2045">
        <w:rPr>
          <w:rFonts w:ascii="Times New Roman" w:hAnsi="Times New Roman"/>
        </w:rPr>
        <w:t>Ministro</w:t>
      </w:r>
      <w:proofErr w:type="gramEnd"/>
      <w:r w:rsidRPr="007F2045">
        <w:rPr>
          <w:rFonts w:ascii="Times New Roman" w:hAnsi="Times New Roman"/>
        </w:rPr>
        <w:t xml:space="preserve"> de Hacienda y Crédito Público, el diseño, la ejecución, coordinación, vigilancia y políticas de riesgo del financiamiento público, el otorgamiento de la garantía de la Nación, el manejo de las operaciones de crédito público y Tesoro Nacional y las operaciones de la Nación –Ministerio de Hacienda y Crédito Público– con la Banca de Inversión, (…) 25. Definir y administrar los riesgos asociados con las operaciones financieras que realice la Dirección General de Crédito Público y Tesoro Nacional, crear las metodologías y disponer de las herramientas necesarias para la evaluación y calificación de los riesgos, las proyecciones y sostenibilidad de deuda pública y presentar los estudios pertinentes”.</w:t>
      </w:r>
    </w:p>
  </w:footnote>
  <w:footnote w:id="70">
    <w:p w14:paraId="15D7332F" w14:textId="77777777" w:rsidR="00A03B4C" w:rsidRDefault="007B11D8" w:rsidP="00DB7330">
      <w:pPr>
        <w:spacing w:after="0" w:line="240" w:lineRule="auto"/>
      </w:pPr>
      <w:r w:rsidRPr="007F2045">
        <w:rPr>
          <w:rFonts w:ascii="Times New Roman" w:hAnsi="Times New Roman"/>
          <w:sz w:val="20"/>
          <w:szCs w:val="20"/>
          <w:vertAlign w:val="superscript"/>
        </w:rPr>
        <w:footnoteRef/>
      </w:r>
      <w:r w:rsidRPr="007F2045">
        <w:rPr>
          <w:rFonts w:ascii="Times New Roman" w:hAnsi="Times New Roman"/>
          <w:sz w:val="20"/>
          <w:szCs w:val="20"/>
        </w:rPr>
        <w:t xml:space="preserve"> El Proyecto de Ley 83/2025 Senado - 102/2025 Cámara fue aprobado por la plenaria de la Cámara de Representantes en sesión del 15 de octubre de 2025, y su texto fue publicado en la Gaceta del Congreso 2044 del 29 de octubre de 2025. La misma iniciativa fue aprobada por la plenaria del Senado de la República en sesiones del 15 y 16 de octubre de 2025, y su texto fue publicado en la Gaceta del Congreso 2043 del 28 de octubre del mismo año.</w:t>
      </w:r>
    </w:p>
  </w:footnote>
  <w:footnote w:id="71">
    <w:p w14:paraId="7BD3520F" w14:textId="77777777" w:rsidR="00A03B4C" w:rsidRDefault="007B11D8" w:rsidP="00DB7330">
      <w:pPr>
        <w:spacing w:after="0" w:line="240" w:lineRule="auto"/>
      </w:pPr>
      <w:r w:rsidRPr="007F2045">
        <w:rPr>
          <w:rFonts w:ascii="Times New Roman" w:hAnsi="Times New Roman"/>
          <w:sz w:val="20"/>
          <w:szCs w:val="20"/>
          <w:vertAlign w:val="superscript"/>
        </w:rPr>
        <w:footnoteRef/>
      </w:r>
      <w:r w:rsidRPr="007F2045">
        <w:rPr>
          <w:rFonts w:ascii="Times New Roman" w:hAnsi="Times New Roman"/>
          <w:sz w:val="20"/>
          <w:szCs w:val="20"/>
        </w:rPr>
        <w:t xml:space="preserve"> Constitución Política, artículo 154.</w:t>
      </w:r>
    </w:p>
  </w:footnote>
  <w:footnote w:id="72">
    <w:p w14:paraId="75000E4B" w14:textId="77777777" w:rsidR="00A03B4C" w:rsidRDefault="007B11D8" w:rsidP="00DB7330">
      <w:pPr>
        <w:spacing w:after="0" w:line="240" w:lineRule="auto"/>
      </w:pPr>
      <w:r w:rsidRPr="007F2045">
        <w:rPr>
          <w:rFonts w:ascii="Times New Roman" w:hAnsi="Times New Roman"/>
          <w:sz w:val="20"/>
          <w:szCs w:val="20"/>
          <w:vertAlign w:val="superscript"/>
        </w:rPr>
        <w:footnoteRef/>
      </w:r>
      <w:r w:rsidRPr="007F2045">
        <w:rPr>
          <w:rFonts w:ascii="Times New Roman" w:hAnsi="Times New Roman"/>
          <w:sz w:val="20"/>
          <w:szCs w:val="20"/>
        </w:rPr>
        <w:t xml:space="preserve"> Constitución Política, artículos 347 a 351; Estatuto Orgánico del Presupuesto (Decreto Ley 111 de 1996), artículos 47 a 63.</w:t>
      </w:r>
    </w:p>
  </w:footnote>
  <w:footnote w:id="73">
    <w:p w14:paraId="1E315566"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w:t>
      </w:r>
      <w:r w:rsidRPr="007F2045">
        <w:rPr>
          <w:rFonts w:ascii="Times New Roman" w:hAnsi="Times New Roman"/>
          <w:lang w:val="es-ES_tradnl"/>
        </w:rPr>
        <w:t xml:space="preserve">En efecto, </w:t>
      </w:r>
      <w:r w:rsidRPr="007F2045">
        <w:rPr>
          <w:rFonts w:ascii="Times New Roman" w:eastAsia="Times New Roman" w:hAnsi="Times New Roman"/>
          <w:lang w:val="es-ES_tradnl"/>
        </w:rPr>
        <w:t>el 10 de diciembre de 2024, el Congreso de la República decidió archivar el Proyecto de Ley 300/24 Cámara – 245/24 Senado, mediante el cual se buscaba expedir normas para el financiamiento del Presupuesto General de la Nación. De acuerdo con la exposición de motivos del proyecto, dichas normas pretendían, entre otras cosas, destinar recursos a la mitigación y adaptación de los riesgos climáticos (</w:t>
      </w:r>
      <w:r w:rsidRPr="007F2045">
        <w:rPr>
          <w:rFonts w:ascii="Times New Roman" w:hAnsi="Times New Roman"/>
        </w:rPr>
        <w:t>Gaceta del Congreso n.º 1346 del 11 de septiembre de 2024).</w:t>
      </w:r>
    </w:p>
  </w:footnote>
  <w:footnote w:id="74">
    <w:p w14:paraId="65A5F129"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Ley 1437 de 2011. “Artículo 9. </w:t>
      </w:r>
      <w:r w:rsidRPr="007F2045">
        <w:rPr>
          <w:rFonts w:ascii="Times New Roman" w:hAnsi="Times New Roman"/>
          <w:i/>
          <w:iCs/>
        </w:rPr>
        <w:t>Prohibiciones</w:t>
      </w:r>
      <w:r w:rsidRPr="007F2045">
        <w:rPr>
          <w:rFonts w:ascii="Times New Roman" w:hAnsi="Times New Roman"/>
        </w:rPr>
        <w:t xml:space="preserve">. A las autoridades les queda especialmente prohibido: (…) 13. No hacer lo que legalmente corresponda para que se incluyan dentro de los presupuestos públicos apropiaciones suficientes para el cumplimiento de las sentencias que condenen a la administración”. </w:t>
      </w:r>
    </w:p>
  </w:footnote>
  <w:footnote w:id="75">
    <w:p w14:paraId="2A219A32"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w:t>
      </w:r>
      <w:r w:rsidRPr="007F2045">
        <w:rPr>
          <w:rFonts w:ascii="Times New Roman" w:hAnsi="Times New Roman"/>
          <w:lang w:val="es-ES_tradnl"/>
        </w:rPr>
        <w:t xml:space="preserve">Artículos 89 y 99 de la Ley 142 de 1994 y 3 de la Ley 143 de 1994. </w:t>
      </w:r>
    </w:p>
  </w:footnote>
  <w:footnote w:id="76">
    <w:p w14:paraId="66254402"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w:t>
      </w:r>
      <w:r w:rsidRPr="007F2045">
        <w:rPr>
          <w:rFonts w:ascii="Times New Roman" w:hAnsi="Times New Roman"/>
          <w:lang w:val="es-ES_tradnl"/>
        </w:rPr>
        <w:t xml:space="preserve">Artículos 6 de la Ley 143 de 1994 y 87 de la Ley 142 de 1994. </w:t>
      </w:r>
    </w:p>
  </w:footnote>
  <w:footnote w:id="77">
    <w:p w14:paraId="3EAEE462"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w:t>
      </w:r>
      <w:r w:rsidRPr="007F2045">
        <w:rPr>
          <w:rFonts w:ascii="Times New Roman" w:hAnsi="Times New Roman"/>
          <w:lang w:val="es-ES_tradnl"/>
        </w:rPr>
        <w:t xml:space="preserve">Artículo 47 de la Ley 143 de 1994. </w:t>
      </w:r>
    </w:p>
  </w:footnote>
  <w:footnote w:id="78">
    <w:p w14:paraId="567C4D68" w14:textId="77777777" w:rsidR="007B11D8" w:rsidRPr="007F2045" w:rsidRDefault="007B11D8" w:rsidP="00DB7330">
      <w:pPr>
        <w:pStyle w:val="Subttulo2"/>
        <w:numPr>
          <w:ilvl w:val="0"/>
          <w:numId w:val="0"/>
        </w:numPr>
        <w:tabs>
          <w:tab w:val="left" w:pos="1134"/>
        </w:tabs>
        <w:rPr>
          <w:b w:val="0"/>
          <w:sz w:val="20"/>
          <w:szCs w:val="20"/>
        </w:rPr>
      </w:pPr>
      <w:r w:rsidRPr="007F2045">
        <w:rPr>
          <w:sz w:val="20"/>
          <w:szCs w:val="20"/>
          <w:vertAlign w:val="superscript"/>
        </w:rPr>
        <w:footnoteRef/>
      </w:r>
      <w:r w:rsidRPr="007F2045">
        <w:rPr>
          <w:sz w:val="20"/>
          <w:szCs w:val="20"/>
        </w:rPr>
        <w:t xml:space="preserve"> </w:t>
      </w:r>
      <w:r w:rsidRPr="007F2045">
        <w:rPr>
          <w:rFonts w:eastAsia="Times New Roman"/>
          <w:b w:val="0"/>
          <w:sz w:val="20"/>
          <w:szCs w:val="20"/>
        </w:rPr>
        <w:t>Asimismo, según lo señalado en el anexo analizado, desde el 13 de junio de 2025, la Subsección A de la Sección Primera del Tribunal Administrativo de Cundinamarca les ordenó al Ministerio de Minas y Energía y al Ministerio de Hacienda y Crédito Público emprender acciones para asegurar la disponibilidad de los recursos necesarios para costear los subsidios de gas y energía otorgados a los respectivos usuarios. Además, tanto la Procuraduría General de la Nación como la Contraloría General de la República ordenaron, en el marco de sus competencias de control preventivo, la creación de una mesa técnica permanente para diseñar un cronograma de pagos.  </w:t>
      </w:r>
    </w:p>
    <w:p w14:paraId="79B26565" w14:textId="77777777" w:rsidR="00A03B4C" w:rsidRDefault="00A03B4C" w:rsidP="00DB7330">
      <w:pPr>
        <w:pStyle w:val="Subttulo2"/>
        <w:numPr>
          <w:ilvl w:val="0"/>
          <w:numId w:val="0"/>
        </w:numPr>
        <w:tabs>
          <w:tab w:val="left" w:pos="1134"/>
        </w:tabs>
      </w:pPr>
    </w:p>
  </w:footnote>
  <w:footnote w:id="79">
    <w:p w14:paraId="4BE8D2FF"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Constitución Política, artículo 213. </w:t>
      </w:r>
    </w:p>
  </w:footnote>
  <w:footnote w:id="80">
    <w:p w14:paraId="3DF34B7E"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Así lo hizo recientemente cuando expidió el Decreto 62 de 2025, que fue declarado parcialmente exequible en la sentencia C-148 de 2025.</w:t>
      </w:r>
    </w:p>
  </w:footnote>
  <w:footnote w:id="81">
    <w:p w14:paraId="39A3E5DC"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En esa dirección la sentencia C-383 de 2023, apoyándose en la jurisprudencia previa de la Corte, indicó: “De allí que se pretende que la legislación de emergencia sea cada vez más excepcional (…) y, por lo tanto, no tienda a convertirse en la regla general, ya que ello truncaría principios axiales de la Constitución como la democracia, el pluralismo y la prevalencia del interés general. La decisión que orienta al Constituyente de 1991 está dada en “privilegiar hasta donde ello sea posible el método democrático como vía para debatir los hechos graves que conciernen al país y, a través del mismo conducto, buscar solidariamente su mejor solución. […] Un umbral bajo para franquear el estado de anormalidad, […] a la vez alejaría las posibilidades de una mayor cohesión social y de un compromiso más firme para respaldar y soportar los esfuerzos del Estado en un determinado ámbito de su acción” (…)”.</w:t>
      </w:r>
    </w:p>
  </w:footnote>
  <w:footnote w:id="82">
    <w:p w14:paraId="5FB5EE87" w14:textId="77777777" w:rsidR="00A03B4C" w:rsidRDefault="007B11D8" w:rsidP="00DB7330">
      <w:pPr>
        <w:pStyle w:val="Textonotapie"/>
      </w:pPr>
      <w:r w:rsidRPr="007F2045">
        <w:rPr>
          <w:rFonts w:ascii="Times New Roman" w:hAnsi="Times New Roman"/>
          <w:vertAlign w:val="superscript"/>
        </w:rPr>
        <w:footnoteRef/>
      </w:r>
      <w:r w:rsidRPr="00D924B6">
        <w:rPr>
          <w:rFonts w:ascii="Times New Roman" w:hAnsi="Times New Roman"/>
          <w:lang w:val="pt-PT"/>
        </w:rPr>
        <w:t xml:space="preserve"> Corte Constitucional, sentencia C-122 de 1997.</w:t>
      </w:r>
    </w:p>
  </w:footnote>
  <w:footnote w:id="83">
    <w:p w14:paraId="618CA76E"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El artículo 113 de la Constitución identifica a las ramas del poder público y la existencia de entidades autónomas e independientes. También dispone que: “</w:t>
      </w:r>
      <w:r w:rsidRPr="007F2045">
        <w:rPr>
          <w:rFonts w:ascii="Times New Roman" w:hAnsi="Times New Roman"/>
          <w:i/>
          <w:iCs/>
        </w:rPr>
        <w:t xml:space="preserve">los diferentes órganos del Estado tienen funciones </w:t>
      </w:r>
      <w:proofErr w:type="gramStart"/>
      <w:r w:rsidRPr="007F2045">
        <w:rPr>
          <w:rFonts w:ascii="Times New Roman" w:hAnsi="Times New Roman"/>
          <w:i/>
          <w:iCs/>
        </w:rPr>
        <w:t>separadas</w:t>
      </w:r>
      <w:proofErr w:type="gramEnd"/>
      <w:r w:rsidRPr="007F2045">
        <w:rPr>
          <w:rFonts w:ascii="Times New Roman" w:hAnsi="Times New Roman"/>
          <w:i/>
          <w:iCs/>
        </w:rPr>
        <w:t xml:space="preserve"> pero colaboran armónicamente para la realización de sus fines”</w:t>
      </w:r>
      <w:r w:rsidRPr="007F2045">
        <w:rPr>
          <w:rFonts w:ascii="Times New Roman" w:hAnsi="Times New Roman"/>
        </w:rPr>
        <w:t>. </w:t>
      </w:r>
    </w:p>
  </w:footnote>
  <w:footnote w:id="84">
    <w:p w14:paraId="6C00007F" w14:textId="77777777" w:rsidR="00A03B4C" w:rsidRDefault="007B11D8" w:rsidP="00DB7330">
      <w:pPr>
        <w:pStyle w:val="Textonotapie"/>
      </w:pPr>
      <w:r w:rsidRPr="007F2045">
        <w:rPr>
          <w:rFonts w:ascii="Times New Roman" w:hAnsi="Times New Roman"/>
          <w:vertAlign w:val="superscript"/>
        </w:rPr>
        <w:footnoteRef/>
      </w:r>
      <w:r w:rsidRPr="00D924B6">
        <w:rPr>
          <w:rFonts w:ascii="Times New Roman" w:hAnsi="Times New Roman"/>
          <w:lang w:val="pt-PT"/>
        </w:rPr>
        <w:t xml:space="preserve"> Corte Constitucional, sentencias C-1040 de 2005, C-141 de 2010, C-170 de 2012, C-285 de 2016, C-253 de 2017.</w:t>
      </w:r>
    </w:p>
  </w:footnote>
  <w:footnote w:id="85">
    <w:p w14:paraId="57200AA9" w14:textId="77777777" w:rsidR="00A03B4C" w:rsidRDefault="007B11D8" w:rsidP="00DB7330">
      <w:pPr>
        <w:pStyle w:val="Textonotapie"/>
      </w:pPr>
      <w:r w:rsidRPr="007F2045">
        <w:rPr>
          <w:rFonts w:ascii="Times New Roman" w:hAnsi="Times New Roman"/>
          <w:vertAlign w:val="superscript"/>
        </w:rPr>
        <w:footnoteRef/>
      </w:r>
      <w:r w:rsidRPr="00D924B6">
        <w:rPr>
          <w:rFonts w:ascii="Times New Roman" w:hAnsi="Times New Roman"/>
          <w:lang w:val="pt-PT"/>
        </w:rPr>
        <w:t xml:space="preserve"> Corte Constitucional, sentencia C-253 de 2017.</w:t>
      </w:r>
    </w:p>
  </w:footnote>
  <w:footnote w:id="86">
    <w:p w14:paraId="0345DF6C" w14:textId="77777777" w:rsidR="00A03B4C" w:rsidRDefault="007B11D8" w:rsidP="00DB7330">
      <w:pPr>
        <w:pStyle w:val="Textonotapie"/>
      </w:pPr>
      <w:r w:rsidRPr="007F2045">
        <w:rPr>
          <w:rFonts w:ascii="Times New Roman" w:hAnsi="Times New Roman"/>
          <w:vertAlign w:val="superscript"/>
        </w:rPr>
        <w:footnoteRef/>
      </w:r>
      <w:r w:rsidRPr="00D924B6">
        <w:rPr>
          <w:rFonts w:ascii="Times New Roman" w:hAnsi="Times New Roman"/>
          <w:lang w:val="pt-PT"/>
        </w:rPr>
        <w:t xml:space="preserve"> Corte Constitucional, sentencia C-253 de 2017.</w:t>
      </w:r>
    </w:p>
  </w:footnote>
  <w:footnote w:id="87">
    <w:p w14:paraId="2A98E689" w14:textId="77777777" w:rsidR="00A03B4C" w:rsidRDefault="007B11D8" w:rsidP="00DB7330">
      <w:pPr>
        <w:pStyle w:val="Textonotapie"/>
      </w:pPr>
      <w:r w:rsidRPr="007F2045">
        <w:rPr>
          <w:rFonts w:ascii="Times New Roman" w:hAnsi="Times New Roman"/>
          <w:vertAlign w:val="superscript"/>
        </w:rPr>
        <w:footnoteRef/>
      </w:r>
      <w:r w:rsidRPr="00D924B6">
        <w:rPr>
          <w:rFonts w:ascii="Times New Roman" w:hAnsi="Times New Roman"/>
          <w:lang w:val="pt-PT"/>
        </w:rPr>
        <w:t xml:space="preserve"> Corte Constitucional, sentencia C-254 de 2010.</w:t>
      </w:r>
    </w:p>
  </w:footnote>
  <w:footnote w:id="88">
    <w:p w14:paraId="46D0E75E" w14:textId="77777777" w:rsidR="00A03B4C" w:rsidRDefault="007B11D8" w:rsidP="00DB7330">
      <w:pPr>
        <w:pStyle w:val="Textonotapie"/>
      </w:pPr>
      <w:r w:rsidRPr="007F2045">
        <w:rPr>
          <w:rFonts w:ascii="Times New Roman" w:hAnsi="Times New Roman"/>
          <w:vertAlign w:val="superscript"/>
        </w:rPr>
        <w:footnoteRef/>
      </w:r>
      <w:r w:rsidRPr="00D924B6">
        <w:rPr>
          <w:rFonts w:ascii="Times New Roman" w:hAnsi="Times New Roman"/>
          <w:lang w:val="pt-PT"/>
        </w:rPr>
        <w:t xml:space="preserve"> Corte Constitucional, sentencia C-253 de 2017.</w:t>
      </w:r>
    </w:p>
  </w:footnote>
  <w:footnote w:id="89">
    <w:p w14:paraId="5748EA92"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w:t>
      </w:r>
      <w:r w:rsidRPr="007F2045">
        <w:rPr>
          <w:rFonts w:ascii="Times New Roman" w:hAnsi="Times New Roman"/>
          <w:i/>
          <w:iCs/>
        </w:rPr>
        <w:t xml:space="preserve">La atribución de este haz de competencias al Congreso no es casual, puesto que se trata de una condición insustituible del principio democrático, por una doble vía: por un lado, </w:t>
      </w:r>
      <w:proofErr w:type="gramStart"/>
      <w:r w:rsidRPr="007F2045">
        <w:rPr>
          <w:rFonts w:ascii="Times New Roman" w:hAnsi="Times New Roman"/>
          <w:i/>
          <w:iCs/>
        </w:rPr>
        <w:t>en razón del</w:t>
      </w:r>
      <w:proofErr w:type="gramEnd"/>
      <w:r w:rsidRPr="007F2045">
        <w:rPr>
          <w:rFonts w:ascii="Times New Roman" w:hAnsi="Times New Roman"/>
          <w:i/>
          <w:iCs/>
        </w:rPr>
        <w:t xml:space="preserve"> carácter de órgano colegiado de representación popular que tiene el Congreso; y por el otro, en atención al carácter abierto, público y deliberativo del proceso a través del cual el Congreso cumple sus competencias. De este modo, la responsabilidad de la legislación y la competencia para reformar la Constitución se confían a un órgano esencialmente representativo, que obra en un escenario deliberativo, con garantía de participación de los distintos sectores sociales, y con capacidad decisoria a través de procesos democráticos. En general, se pretende a través de este conjunto de competencias garantizar la presencia del órgano de representación popular en la configuración política del Estado, sea en el nivel legal, o, de mayor calado, en el escenario de las normas constitucionales</w:t>
      </w:r>
      <w:r w:rsidRPr="007F2045">
        <w:rPr>
          <w:rFonts w:ascii="Times New Roman" w:hAnsi="Times New Roman"/>
        </w:rPr>
        <w:t xml:space="preserve">” (Corte Constitucional, sentencia C-332 de 2017). </w:t>
      </w:r>
    </w:p>
  </w:footnote>
  <w:footnote w:id="90">
    <w:p w14:paraId="235BD2AF" w14:textId="77777777" w:rsidR="00A03B4C" w:rsidRDefault="007B11D8" w:rsidP="00DB7330">
      <w:pPr>
        <w:pStyle w:val="Textonotapie"/>
      </w:pPr>
      <w:r w:rsidRPr="007F2045">
        <w:rPr>
          <w:rFonts w:ascii="Times New Roman" w:hAnsi="Times New Roman"/>
          <w:vertAlign w:val="superscript"/>
        </w:rPr>
        <w:footnoteRef/>
      </w:r>
      <w:r w:rsidRPr="00D924B6">
        <w:rPr>
          <w:rFonts w:ascii="Times New Roman" w:hAnsi="Times New Roman"/>
          <w:lang w:val="pt-PT"/>
        </w:rPr>
        <w:t xml:space="preserve"> Corte Constitucional, sentencia C-141 de 2010.</w:t>
      </w:r>
    </w:p>
  </w:footnote>
  <w:footnote w:id="91">
    <w:p w14:paraId="14AE4FC7" w14:textId="77777777" w:rsidR="00A03B4C" w:rsidRDefault="007B11D8" w:rsidP="00DB7330">
      <w:pPr>
        <w:pStyle w:val="Textonotapie"/>
      </w:pPr>
      <w:r w:rsidRPr="007F2045">
        <w:rPr>
          <w:rFonts w:ascii="Times New Roman" w:hAnsi="Times New Roman"/>
          <w:vertAlign w:val="superscript"/>
        </w:rPr>
        <w:footnoteRef/>
      </w:r>
      <w:r w:rsidRPr="00D924B6">
        <w:rPr>
          <w:rFonts w:ascii="Times New Roman" w:hAnsi="Times New Roman"/>
          <w:lang w:val="pt-PT"/>
        </w:rPr>
        <w:t xml:space="preserve"> Corte Constitucional, sentencia C-141 de 2010.</w:t>
      </w:r>
    </w:p>
  </w:footnote>
  <w:footnote w:id="92">
    <w:p w14:paraId="7E3754B7"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Esta corporación ha manifestado que “</w:t>
      </w:r>
      <w:r w:rsidRPr="007F2045">
        <w:rPr>
          <w:rFonts w:ascii="Times New Roman" w:hAnsi="Times New Roman"/>
          <w:i/>
          <w:iCs/>
        </w:rPr>
        <w:t xml:space="preserve">la concesión de este amplio margen de configuración es consecuencia de la proclamación del principio democrático, pues, en un régimen constitucional, el Legislador, en su condición de órgano representativo, deliberativo y pluralista, [es] el encargado de definir los fines de la política tributaria y los medios adecuados para alcanzarlos con el fin de lograr un orden económico y social justo. </w:t>
      </w:r>
      <w:proofErr w:type="gramStart"/>
      <w:r w:rsidRPr="007F2045">
        <w:rPr>
          <w:rFonts w:ascii="Times New Roman" w:hAnsi="Times New Roman"/>
          <w:i/>
          <w:iCs/>
        </w:rPr>
        <w:t>En razón de</w:t>
      </w:r>
      <w:proofErr w:type="gramEnd"/>
      <w:r w:rsidRPr="007F2045">
        <w:rPr>
          <w:rFonts w:ascii="Times New Roman" w:hAnsi="Times New Roman"/>
          <w:i/>
          <w:iCs/>
        </w:rPr>
        <w:t xml:space="preserve"> lo anterior, al ocuparse de estos asuntos, el Legislador </w:t>
      </w:r>
      <w:r w:rsidRPr="007F2045">
        <w:rPr>
          <w:rFonts w:ascii="Times New Roman" w:hAnsi="Times New Roman"/>
          <w:i/>
          <w:iCs/>
          <w:lang w:val="es-ES_tradnl"/>
        </w:rPr>
        <w:t>habrá de guiarse por sus propios criterios y orientaciones, atendiendo la realidad social y evaluando razones de conveniencia, necesidad, justicia, equidad e igualdad</w:t>
      </w:r>
      <w:r w:rsidRPr="007F2045">
        <w:rPr>
          <w:rFonts w:ascii="Times New Roman" w:hAnsi="Times New Roman"/>
          <w:lang w:val="es-ES_tradnl"/>
        </w:rPr>
        <w:t>”. Corte Constitucional, sentencia C-488 de 2024. También reiterado en la sentencia C-431 de 2025.</w:t>
      </w:r>
    </w:p>
  </w:footnote>
  <w:footnote w:id="93">
    <w:p w14:paraId="2BB9DF00" w14:textId="77777777" w:rsidR="00A03B4C" w:rsidRDefault="007B11D8" w:rsidP="00DB7330">
      <w:pPr>
        <w:pStyle w:val="Textonotapie"/>
      </w:pPr>
      <w:r w:rsidRPr="007F2045">
        <w:rPr>
          <w:rFonts w:ascii="Times New Roman" w:hAnsi="Times New Roman"/>
          <w:vertAlign w:val="superscript"/>
        </w:rPr>
        <w:footnoteRef/>
      </w:r>
      <w:r w:rsidRPr="00D924B6">
        <w:rPr>
          <w:rFonts w:ascii="Times New Roman" w:hAnsi="Times New Roman"/>
          <w:lang w:val="pt-PT"/>
        </w:rPr>
        <w:t xml:space="preserve"> Corte Constitucional, sentencia C-802 de 2002.</w:t>
      </w:r>
    </w:p>
  </w:footnote>
  <w:footnote w:id="94">
    <w:p w14:paraId="14ACD9D8" w14:textId="77777777" w:rsidR="00A03B4C" w:rsidRDefault="007B11D8" w:rsidP="001C2064">
      <w:pPr>
        <w:pStyle w:val="Textonotapie"/>
      </w:pPr>
      <w:r w:rsidRPr="007F2045">
        <w:rPr>
          <w:rFonts w:ascii="Times New Roman" w:hAnsi="Times New Roman"/>
          <w:vertAlign w:val="superscript"/>
        </w:rPr>
        <w:footnoteRef/>
      </w:r>
      <w:r w:rsidRPr="007F2045">
        <w:rPr>
          <w:rFonts w:ascii="Times New Roman" w:hAnsi="Times New Roman"/>
        </w:rPr>
        <w:t xml:space="preserve"> “</w:t>
      </w:r>
      <w:r w:rsidRPr="007F2045">
        <w:rPr>
          <w:rFonts w:ascii="Times New Roman" w:hAnsi="Times New Roman"/>
          <w:b/>
          <w:bCs/>
          <w:lang w:val="es-CO"/>
        </w:rPr>
        <w:t>ARTÍCULO 1°.</w:t>
      </w:r>
      <w:r w:rsidRPr="007F2045">
        <w:rPr>
          <w:rFonts w:ascii="Times New Roman" w:hAnsi="Times New Roman"/>
          <w:lang w:val="es-CO"/>
        </w:rPr>
        <w:t> </w:t>
      </w:r>
      <w:r w:rsidRPr="007F2045">
        <w:rPr>
          <w:rFonts w:ascii="Times New Roman" w:hAnsi="Times New Roman"/>
          <w:lang w:val="es-CO"/>
        </w:rPr>
        <w:t>El artículo 20. del Decreto número 546 de 1971, quedará así: Para todos los efectos legales, los días de vacancia judicial son los siguientes: (…) b) Los días comprendidos entre el 20 de diciembre de cada año y el 10 de enero siguiente”. (Ley 31 de 1971).</w:t>
      </w:r>
    </w:p>
  </w:footnote>
  <w:footnote w:id="95">
    <w:p w14:paraId="462DFAF3" w14:textId="77777777" w:rsidR="00A03B4C" w:rsidRDefault="007B11D8">
      <w:pPr>
        <w:pStyle w:val="Textonotapie"/>
      </w:pPr>
      <w:r w:rsidRPr="007F2045">
        <w:rPr>
          <w:rFonts w:ascii="Times New Roman" w:hAnsi="Times New Roman"/>
          <w:vertAlign w:val="superscript"/>
        </w:rPr>
        <w:footnoteRef/>
      </w:r>
      <w:r w:rsidRPr="007F2045">
        <w:rPr>
          <w:rFonts w:ascii="Times New Roman" w:hAnsi="Times New Roman"/>
        </w:rPr>
        <w:t xml:space="preserve"> El proyecto de ley de financiamiento fue archivado por las Comisiones Económicas Conjuntas Terceras y Cuartas del Senado de la República y de la Cámara de Representantes en sesión del 11 de diciembre de 2025 (Gaceta del Congreso 267 del 12 de marzo de 2025).</w:t>
      </w:r>
    </w:p>
  </w:footnote>
  <w:footnote w:id="96">
    <w:p w14:paraId="6D01210E" w14:textId="77777777" w:rsidR="00A03B4C" w:rsidRDefault="007B11D8" w:rsidP="00DB7330">
      <w:pPr>
        <w:pStyle w:val="Textonotapie"/>
      </w:pPr>
      <w:r w:rsidRPr="007F2045">
        <w:rPr>
          <w:rFonts w:ascii="Times New Roman" w:hAnsi="Times New Roman"/>
          <w:vertAlign w:val="superscript"/>
        </w:rPr>
        <w:footnoteRef/>
      </w:r>
      <w:r w:rsidRPr="007F2045">
        <w:rPr>
          <w:rFonts w:ascii="Times New Roman" w:hAnsi="Times New Roman"/>
        </w:rPr>
        <w:t xml:space="preserve"> </w:t>
      </w:r>
      <w:r w:rsidRPr="007F2045">
        <w:rPr>
          <w:rFonts w:ascii="Times New Roman" w:hAnsi="Times New Roman"/>
          <w:lang w:val="es-ES_tradnl"/>
        </w:rPr>
        <w:t xml:space="preserve">La Corte Constitucional ha usado la jurisprudencia anunciada en sede de tutela como en control de constitucionalidad. En ese último escenario, entre otras, se pueden consultar las sentencias C-244 de 2025, sobre el principio de unidad de materia en la ley del plan nacional de desarrollo y C-340 de 2025, sobre la regla de la pluralidad en la representación de los partidos políticos en la conformación de la comisión de conciliación. Igualmente, la sentencia C-170 de 2021 respecto de la aplicación del artículo 7 de la Ley 819 de 2003 en el curso de adopción de leyes aprobatorias de tratados internacionales. </w:t>
      </w:r>
    </w:p>
  </w:footnote>
  <w:footnote w:id="97">
    <w:p w14:paraId="5F5DFBB0" w14:textId="77777777" w:rsidR="00A03B4C" w:rsidRDefault="007B11D8" w:rsidP="00DB7330">
      <w:pPr>
        <w:pStyle w:val="Textonotapie"/>
      </w:pPr>
      <w:r w:rsidRPr="007F2045">
        <w:rPr>
          <w:rFonts w:ascii="Times New Roman" w:hAnsi="Times New Roman"/>
          <w:vertAlign w:val="superscript"/>
        </w:rPr>
        <w:footnoteRef/>
      </w:r>
      <w:r w:rsidRPr="00D924B6">
        <w:rPr>
          <w:rFonts w:ascii="Times New Roman" w:hAnsi="Times New Roman"/>
          <w:lang w:val="pt-PT"/>
        </w:rPr>
        <w:t xml:space="preserve"> Corte constitucional, sentencia C-262 de 2023. </w:t>
      </w:r>
    </w:p>
  </w:footnote>
  <w:footnote w:id="98">
    <w:p w14:paraId="338D7477" w14:textId="77777777" w:rsidR="00A03B4C" w:rsidRDefault="007B11D8" w:rsidP="00613C83">
      <w:pPr>
        <w:pStyle w:val="Textonotapie"/>
      </w:pPr>
      <w:r w:rsidRPr="007F2045">
        <w:rPr>
          <w:rFonts w:ascii="Times New Roman" w:hAnsi="Times New Roman"/>
          <w:vertAlign w:val="superscript"/>
        </w:rPr>
        <w:footnoteRef/>
      </w:r>
      <w:r w:rsidRPr="007F2045">
        <w:rPr>
          <w:rFonts w:ascii="Times New Roman" w:hAnsi="Times New Roman"/>
        </w:rPr>
        <w:t xml:space="preserve"> </w:t>
      </w:r>
      <w:r w:rsidRPr="007F2045">
        <w:rPr>
          <w:rFonts w:ascii="Times New Roman" w:hAnsi="Times New Roman"/>
          <w:lang w:val="es-ES_tradnl"/>
        </w:rPr>
        <w:t>Esta técnica de ponderación proviene de la jurisprudencia del Tribunal Constitucional Federal de Alemania sobre medidas cautelares en el marco del proceso de control de constitucionalidad (</w:t>
      </w:r>
      <w:proofErr w:type="spellStart"/>
      <w:r w:rsidRPr="007F2045">
        <w:rPr>
          <w:rFonts w:ascii="Times New Roman" w:hAnsi="Times New Roman"/>
        </w:rPr>
        <w:t>Schöndorf-Haubold</w:t>
      </w:r>
      <w:proofErr w:type="spellEnd"/>
      <w:r w:rsidRPr="007F2045">
        <w:rPr>
          <w:rFonts w:ascii="Times New Roman" w:hAnsi="Times New Roman"/>
        </w:rPr>
        <w:t xml:space="preserve">, Bettina, </w:t>
      </w:r>
      <w:r w:rsidRPr="007F2045">
        <w:rPr>
          <w:rStyle w:val="nfasis"/>
          <w:rFonts w:ascii="Times New Roman" w:hAnsi="Times New Roman"/>
        </w:rPr>
        <w:t>El papel de los Tribunales Constitucionales en la gobernanza multinivel. Alemania: El Tribunal Constitucional Federal</w:t>
      </w:r>
      <w:r w:rsidRPr="007F2045">
        <w:rPr>
          <w:rFonts w:ascii="Times New Roman" w:hAnsi="Times New Roman"/>
        </w:rPr>
        <w:t xml:space="preserve">, Servicio de Estudios del Parlamento Europeo (EPRS), </w:t>
      </w:r>
      <w:r w:rsidRPr="007F2045">
        <w:rPr>
          <w:rFonts w:ascii="Times New Roman" w:hAnsi="Times New Roman"/>
          <w:kern w:val="0"/>
          <w:lang w:val="es-ES_tradnl"/>
        </w:rPr>
        <w:t>Parlamento</w:t>
      </w:r>
      <w:r w:rsidRPr="007F2045">
        <w:rPr>
          <w:rFonts w:ascii="Times New Roman" w:hAnsi="Times New Roman"/>
        </w:rPr>
        <w:t xml:space="preserve"> Europeo, Bruselas, 2016, 66 pp.).</w:t>
      </w:r>
    </w:p>
  </w:footnote>
  <w:footnote w:id="99">
    <w:p w14:paraId="54B9D7CA" w14:textId="77777777" w:rsidR="00A03B4C" w:rsidRDefault="00B808B5" w:rsidP="00B808B5">
      <w:pPr>
        <w:pStyle w:val="Textonotapie"/>
      </w:pPr>
      <w:r w:rsidRPr="0037183F">
        <w:rPr>
          <w:rFonts w:ascii="Times New Roman" w:hAnsi="Times New Roman"/>
          <w:vertAlign w:val="superscript"/>
        </w:rPr>
        <w:footnoteRef/>
      </w:r>
      <w:r w:rsidRPr="0037183F">
        <w:rPr>
          <w:rFonts w:ascii="Times New Roman" w:hAnsi="Times New Roman"/>
        </w:rPr>
        <w:t xml:space="preserve"> Véase, Tomás de Rementeria Venegas, Desentrañando la excepción: análisis doctrinario y comparativo sobre los estados de excepción constitucional, Revista Justicia &amp; Derecho, Vol. 3, n.º 2, 2020.</w:t>
      </w:r>
    </w:p>
  </w:footnote>
  <w:footnote w:id="100">
    <w:p w14:paraId="7898430F" w14:textId="77777777" w:rsidR="00A03B4C" w:rsidRDefault="00B808B5" w:rsidP="00B808B5">
      <w:pPr>
        <w:pStyle w:val="Textonotapie"/>
      </w:pPr>
      <w:r w:rsidRPr="0037183F">
        <w:rPr>
          <w:rFonts w:ascii="Times New Roman" w:hAnsi="Times New Roman"/>
          <w:vertAlign w:val="superscript"/>
        </w:rPr>
        <w:footnoteRef/>
      </w:r>
      <w:r w:rsidRPr="00B808B5">
        <w:rPr>
          <w:rFonts w:ascii="Times New Roman" w:hAnsi="Times New Roman"/>
          <w:lang w:val="pt-PT"/>
        </w:rPr>
        <w:t xml:space="preserve"> Corte Constitucional, Sentencia C-179 de 1994.</w:t>
      </w:r>
    </w:p>
  </w:footnote>
  <w:footnote w:id="101">
    <w:p w14:paraId="04519F1F" w14:textId="77777777" w:rsidR="00A03B4C" w:rsidRDefault="00B808B5" w:rsidP="00B808B5">
      <w:pPr>
        <w:spacing w:after="0" w:line="240" w:lineRule="auto"/>
      </w:pPr>
      <w:r w:rsidRPr="0037183F">
        <w:rPr>
          <w:rFonts w:ascii="Times New Roman" w:hAnsi="Times New Roman"/>
          <w:sz w:val="20"/>
          <w:szCs w:val="20"/>
          <w:vertAlign w:val="superscript"/>
        </w:rPr>
        <w:footnoteRef/>
      </w:r>
      <w:r w:rsidRPr="0037183F">
        <w:rPr>
          <w:rFonts w:ascii="Times New Roman" w:hAnsi="Times New Roman"/>
          <w:sz w:val="20"/>
          <w:szCs w:val="20"/>
        </w:rPr>
        <w:t xml:space="preserve"> Lara Bonilla, </w:t>
      </w:r>
      <w:r w:rsidRPr="00035A01">
        <w:rPr>
          <w:rFonts w:ascii="Times New Roman" w:hAnsi="Times New Roman"/>
          <w:sz w:val="20"/>
          <w:szCs w:val="20"/>
        </w:rPr>
        <w:t>Rodrigo</w:t>
      </w:r>
      <w:r w:rsidRPr="00035A01">
        <w:rPr>
          <w:rFonts w:ascii="Times New Roman" w:hAnsi="Times New Roman"/>
          <w:i/>
          <w:iCs/>
          <w:sz w:val="20"/>
          <w:szCs w:val="20"/>
        </w:rPr>
        <w:t>. Evolución del estado de sitio en la constitución colombiana</w:t>
      </w:r>
      <w:r w:rsidRPr="00035A01">
        <w:rPr>
          <w:rFonts w:ascii="Times New Roman" w:hAnsi="Times New Roman"/>
          <w:sz w:val="20"/>
          <w:szCs w:val="20"/>
        </w:rPr>
        <w:t>. (Tesis</w:t>
      </w:r>
      <w:r w:rsidRPr="0037183F">
        <w:rPr>
          <w:rFonts w:ascii="Times New Roman" w:hAnsi="Times New Roman"/>
          <w:sz w:val="20"/>
          <w:szCs w:val="20"/>
        </w:rPr>
        <w:t xml:space="preserve"> para recibir el</w:t>
      </w:r>
      <w:r w:rsidRPr="0037183F">
        <w:rPr>
          <w:rFonts w:ascii="Times New Roman" w:eastAsia="Times New Roman" w:hAnsi="Times New Roman"/>
          <w:sz w:val="20"/>
          <w:szCs w:val="20"/>
        </w:rPr>
        <w:t xml:space="preserve"> </w:t>
      </w:r>
      <w:r w:rsidRPr="0037183F">
        <w:rPr>
          <w:rFonts w:ascii="Times New Roman" w:hAnsi="Times New Roman"/>
          <w:sz w:val="20"/>
          <w:szCs w:val="20"/>
        </w:rPr>
        <w:t>título de Doctor en Derecho). Universidad Externado de Colombia, 1970.</w:t>
      </w:r>
    </w:p>
  </w:footnote>
  <w:footnote w:id="102">
    <w:p w14:paraId="4A5227BA" w14:textId="77777777" w:rsidR="00A03B4C" w:rsidRDefault="00B808B5" w:rsidP="00B808B5">
      <w:pPr>
        <w:spacing w:after="0" w:line="240" w:lineRule="auto"/>
      </w:pPr>
      <w:r w:rsidRPr="0037183F">
        <w:rPr>
          <w:rFonts w:ascii="Times New Roman" w:hAnsi="Times New Roman"/>
          <w:sz w:val="20"/>
          <w:szCs w:val="20"/>
          <w:vertAlign w:val="superscript"/>
        </w:rPr>
        <w:footnoteRef/>
      </w:r>
      <w:r w:rsidRPr="0037183F">
        <w:rPr>
          <w:rFonts w:ascii="Times New Roman" w:hAnsi="Times New Roman"/>
          <w:sz w:val="20"/>
          <w:szCs w:val="20"/>
          <w:vertAlign w:val="superscript"/>
        </w:rPr>
        <w:t xml:space="preserve"> </w:t>
      </w:r>
      <w:r w:rsidRPr="0037183F">
        <w:rPr>
          <w:rFonts w:ascii="Times New Roman" w:hAnsi="Times New Roman"/>
          <w:sz w:val="20"/>
          <w:szCs w:val="20"/>
          <w:lang w:val="es"/>
        </w:rPr>
        <w:t>Ibidem.</w:t>
      </w:r>
    </w:p>
  </w:footnote>
  <w:footnote w:id="103">
    <w:p w14:paraId="4CCADEA4" w14:textId="77777777" w:rsidR="00A03B4C" w:rsidRDefault="00B808B5" w:rsidP="00B808B5">
      <w:pPr>
        <w:spacing w:after="0" w:line="240" w:lineRule="auto"/>
      </w:pPr>
      <w:r w:rsidRPr="0037183F">
        <w:rPr>
          <w:rFonts w:ascii="Times New Roman" w:hAnsi="Times New Roman"/>
          <w:sz w:val="20"/>
          <w:szCs w:val="20"/>
          <w:vertAlign w:val="superscript"/>
        </w:rPr>
        <w:footnoteRef/>
      </w:r>
      <w:r w:rsidRPr="0037183F">
        <w:rPr>
          <w:rFonts w:ascii="Times New Roman" w:hAnsi="Times New Roman"/>
          <w:sz w:val="20"/>
          <w:szCs w:val="20"/>
          <w:vertAlign w:val="superscript"/>
        </w:rPr>
        <w:t xml:space="preserve"> </w:t>
      </w:r>
      <w:r w:rsidRPr="0037183F">
        <w:rPr>
          <w:rFonts w:ascii="Times New Roman" w:hAnsi="Times New Roman"/>
          <w:sz w:val="20"/>
          <w:szCs w:val="20"/>
        </w:rPr>
        <w:t>Constitución Política de Colombia de 1832. Artículo 108.</w:t>
      </w:r>
    </w:p>
  </w:footnote>
  <w:footnote w:id="104">
    <w:p w14:paraId="1DCC0BC7" w14:textId="77777777" w:rsidR="00A03B4C" w:rsidRDefault="00B808B5" w:rsidP="00B808B5">
      <w:pPr>
        <w:pStyle w:val="Textonotapie"/>
      </w:pPr>
      <w:r w:rsidRPr="0037183F">
        <w:rPr>
          <w:rFonts w:ascii="Times New Roman" w:hAnsi="Times New Roman"/>
          <w:vertAlign w:val="superscript"/>
        </w:rPr>
        <w:footnoteRef/>
      </w:r>
      <w:r w:rsidRPr="0037183F">
        <w:rPr>
          <w:rFonts w:ascii="Times New Roman" w:hAnsi="Times New Roman"/>
        </w:rPr>
        <w:t xml:space="preserve"> El artículo 121 de la Constitución de 1886 permitía al </w:t>
      </w:r>
      <w:proofErr w:type="gramStart"/>
      <w:r w:rsidRPr="0037183F">
        <w:rPr>
          <w:rFonts w:ascii="Times New Roman" w:hAnsi="Times New Roman"/>
        </w:rPr>
        <w:t>Presidente</w:t>
      </w:r>
      <w:proofErr w:type="gramEnd"/>
      <w:r w:rsidRPr="0037183F">
        <w:rPr>
          <w:rFonts w:ascii="Times New Roman" w:hAnsi="Times New Roman"/>
        </w:rPr>
        <w:t xml:space="preserve"> declarar el estado de sitio en caso de guerra exterior o conmoción interior, con la firma de todos los ministros y previa audiencia del Consejo de Estado. Le otorgaba facultades extraordinarias para dictar decretos con fuerza de ley. El artículo 122 limitaba su responsabilidad a tres casos: coacción electoral, obstrucción del Congreso y traición. Sus actos requerían firma del ministro correspondiente para tener validez. La institución fue objeto de diversas reformas constitucionales, entre ellas, el Acto Legislativo 03 de 1910 introdujo límites a la suspensión solamente de leyes incompatibles; el Acto Legislativo 01 de 1914 restableció la intervención consultiva del Consejo de Estado; el Acto Legislativo 01 de 1960 fortaleció los controles político y judicial; y el Acto Legislativo 01 de 1968 profundizó dichos controles, prohibió el cierre del Congreso y contempló la figura del estado de emergencia económica o social.</w:t>
      </w:r>
    </w:p>
  </w:footnote>
  <w:footnote w:id="105">
    <w:p w14:paraId="37EC8EBC" w14:textId="77777777" w:rsidR="00A03B4C" w:rsidRDefault="00B808B5" w:rsidP="00B808B5">
      <w:pPr>
        <w:spacing w:after="0" w:line="240" w:lineRule="auto"/>
      </w:pPr>
      <w:r w:rsidRPr="0037183F">
        <w:rPr>
          <w:rFonts w:ascii="Times New Roman" w:hAnsi="Times New Roman"/>
          <w:sz w:val="20"/>
          <w:szCs w:val="20"/>
          <w:vertAlign w:val="superscript"/>
        </w:rPr>
        <w:footnoteRef/>
      </w:r>
      <w:r w:rsidRPr="0037183F">
        <w:rPr>
          <w:rFonts w:ascii="Times New Roman" w:hAnsi="Times New Roman"/>
          <w:sz w:val="20"/>
          <w:szCs w:val="20"/>
          <w:vertAlign w:val="superscript"/>
        </w:rPr>
        <w:t xml:space="preserve"> </w:t>
      </w:r>
      <w:r w:rsidRPr="0037183F">
        <w:rPr>
          <w:rFonts w:ascii="Times New Roman" w:hAnsi="Times New Roman"/>
          <w:sz w:val="20"/>
          <w:szCs w:val="20"/>
        </w:rPr>
        <w:t>Lara Bonilla, Rodrigo. Evolución del estado de sitio en la constitución colombiana. (Tesis para recibir el título de Doctor en Derecho). Universidad Externado de Colombia, 1970.</w:t>
      </w:r>
    </w:p>
  </w:footnote>
  <w:footnote w:id="106">
    <w:p w14:paraId="092C9A0B" w14:textId="77777777" w:rsidR="00A03B4C" w:rsidRDefault="00B808B5" w:rsidP="00B808B5">
      <w:pPr>
        <w:spacing w:after="0" w:line="240" w:lineRule="auto"/>
      </w:pPr>
      <w:r w:rsidRPr="0037183F">
        <w:rPr>
          <w:rFonts w:ascii="Times New Roman" w:hAnsi="Times New Roman"/>
          <w:sz w:val="20"/>
          <w:szCs w:val="20"/>
          <w:vertAlign w:val="superscript"/>
        </w:rPr>
        <w:footnoteRef/>
      </w:r>
      <w:r w:rsidRPr="0037183F">
        <w:rPr>
          <w:rFonts w:ascii="Times New Roman" w:hAnsi="Times New Roman"/>
          <w:sz w:val="20"/>
          <w:szCs w:val="20"/>
        </w:rPr>
        <w:t xml:space="preserve"> “Tal es el caso de la actitud asumida en abril de 1967 cuando declaró constitucional el Decreto 994 de 1966, decreto mediante el cual entre otras disposiciones autorizó al Gobierno para que periódicamente fijara los cupos de importación y de explotación que correspondía a la Marina Mercante Gran Colombiana (…)” Lara Bonilla, Rodrigo. Evolución del estado de sitio en la constitución colombiana. (Tesis para recibir el título de Doctor en Derecho). Universidad Externado de Colombia, 1970.</w:t>
      </w:r>
    </w:p>
  </w:footnote>
  <w:footnote w:id="107">
    <w:p w14:paraId="0F1E4003" w14:textId="77777777" w:rsidR="00A03B4C" w:rsidRDefault="00B808B5" w:rsidP="00B808B5">
      <w:pPr>
        <w:spacing w:after="0" w:line="240" w:lineRule="auto"/>
      </w:pPr>
      <w:r w:rsidRPr="0037183F">
        <w:rPr>
          <w:rFonts w:ascii="Times New Roman" w:hAnsi="Times New Roman"/>
          <w:sz w:val="20"/>
          <w:szCs w:val="20"/>
          <w:vertAlign w:val="superscript"/>
        </w:rPr>
        <w:footnoteRef/>
      </w:r>
      <w:r w:rsidRPr="0037183F">
        <w:rPr>
          <w:rFonts w:ascii="Times New Roman" w:hAnsi="Times New Roman"/>
          <w:sz w:val="20"/>
          <w:szCs w:val="20"/>
        </w:rPr>
        <w:t xml:space="preserve"> Véase, Eduardo Cifuentes Muñoz, Los estados de excepción constitucional en Colombia, Revista Ius et Praxis, Vol. 8, n.º 1, 2002.</w:t>
      </w:r>
    </w:p>
  </w:footnote>
  <w:footnote w:id="108">
    <w:p w14:paraId="168A666B" w14:textId="77777777" w:rsidR="00A03B4C" w:rsidRDefault="00B808B5" w:rsidP="00B808B5">
      <w:pPr>
        <w:spacing w:after="0" w:line="240" w:lineRule="auto"/>
      </w:pPr>
      <w:r w:rsidRPr="0037183F">
        <w:rPr>
          <w:rFonts w:ascii="Times New Roman" w:hAnsi="Times New Roman"/>
          <w:sz w:val="20"/>
          <w:szCs w:val="20"/>
          <w:vertAlign w:val="superscript"/>
        </w:rPr>
        <w:footnoteRef/>
      </w:r>
      <w:r w:rsidRPr="0037183F">
        <w:rPr>
          <w:rFonts w:ascii="Times New Roman" w:hAnsi="Times New Roman"/>
          <w:sz w:val="20"/>
          <w:szCs w:val="20"/>
          <w:vertAlign w:val="superscript"/>
        </w:rPr>
        <w:t xml:space="preserve"> </w:t>
      </w:r>
      <w:r w:rsidRPr="0037183F">
        <w:rPr>
          <w:rFonts w:ascii="Times New Roman" w:hAnsi="Times New Roman"/>
          <w:sz w:val="20"/>
          <w:szCs w:val="20"/>
        </w:rPr>
        <w:t>Lara Bonilla, Rodrigo. Evolución del estado de sitio en la constitución colombiana. (Tesis para recibir el título de Doctor en Derecho). Universidad Externado de Colombia, 1970.</w:t>
      </w:r>
    </w:p>
  </w:footnote>
  <w:footnote w:id="109">
    <w:p w14:paraId="5687DA9B" w14:textId="77777777" w:rsidR="00A03B4C" w:rsidRDefault="00B808B5" w:rsidP="00B808B5">
      <w:pPr>
        <w:spacing w:after="0" w:line="240" w:lineRule="auto"/>
      </w:pPr>
      <w:r w:rsidRPr="0037183F">
        <w:rPr>
          <w:rFonts w:ascii="Times New Roman" w:hAnsi="Times New Roman"/>
          <w:sz w:val="20"/>
          <w:szCs w:val="20"/>
          <w:vertAlign w:val="superscript"/>
        </w:rPr>
        <w:footnoteRef/>
      </w:r>
      <w:r w:rsidRPr="0037183F">
        <w:rPr>
          <w:rFonts w:ascii="Times New Roman" w:hAnsi="Times New Roman"/>
          <w:sz w:val="20"/>
          <w:szCs w:val="20"/>
        </w:rPr>
        <w:t xml:space="preserve"> Ibidem.</w:t>
      </w:r>
    </w:p>
  </w:footnote>
  <w:footnote w:id="110">
    <w:p w14:paraId="34DA4DF1" w14:textId="77777777" w:rsidR="00A03B4C" w:rsidRDefault="00B808B5" w:rsidP="00B808B5">
      <w:pPr>
        <w:spacing w:after="0" w:line="240" w:lineRule="auto"/>
      </w:pPr>
      <w:r w:rsidRPr="0037183F">
        <w:rPr>
          <w:rFonts w:ascii="Times New Roman" w:hAnsi="Times New Roman"/>
          <w:sz w:val="20"/>
          <w:szCs w:val="20"/>
          <w:vertAlign w:val="superscript"/>
        </w:rPr>
        <w:footnoteRef/>
      </w:r>
      <w:r w:rsidRPr="0037183F">
        <w:rPr>
          <w:rFonts w:ascii="Times New Roman" w:hAnsi="Times New Roman"/>
          <w:sz w:val="20"/>
          <w:szCs w:val="20"/>
        </w:rPr>
        <w:t xml:space="preserve"> Ibidem.</w:t>
      </w:r>
    </w:p>
  </w:footnote>
  <w:footnote w:id="111">
    <w:p w14:paraId="35ECE407" w14:textId="77777777" w:rsidR="00A03B4C" w:rsidRDefault="00B808B5" w:rsidP="00B808B5">
      <w:pPr>
        <w:pStyle w:val="Textonotapie"/>
      </w:pPr>
      <w:r w:rsidRPr="0037183F">
        <w:rPr>
          <w:rFonts w:ascii="Times New Roman" w:hAnsi="Times New Roman"/>
          <w:vertAlign w:val="superscript"/>
        </w:rPr>
        <w:footnoteRef/>
      </w:r>
      <w:r w:rsidRPr="0037183F">
        <w:rPr>
          <w:rFonts w:ascii="Times New Roman" w:hAnsi="Times New Roman"/>
        </w:rPr>
        <w:t xml:space="preserve"> Véase, Eduardo Cifuentes Muñoz, Los estados de excepción constitucional en Colombia, Revista Ius et Praxis, Vol. 8, n.º 1, 2002.</w:t>
      </w:r>
    </w:p>
  </w:footnote>
  <w:footnote w:id="112">
    <w:p w14:paraId="5BF4B356" w14:textId="77777777" w:rsidR="00A03B4C" w:rsidRDefault="00B808B5" w:rsidP="00B808B5">
      <w:pPr>
        <w:pStyle w:val="Textonotapie"/>
      </w:pPr>
      <w:r w:rsidRPr="0037183F">
        <w:rPr>
          <w:rFonts w:ascii="Times New Roman" w:hAnsi="Times New Roman"/>
          <w:vertAlign w:val="superscript"/>
        </w:rPr>
        <w:footnoteRef/>
      </w:r>
      <w:r w:rsidRPr="0037183F">
        <w:rPr>
          <w:rFonts w:ascii="Times New Roman" w:hAnsi="Times New Roman"/>
        </w:rPr>
        <w:t xml:space="preserve"> Véase las transcripciones de los informes de sesión plenaria del 20 y 21 de mayo de 1991 y Gaceta Asamblea Nacional Constituyente No. 76.</w:t>
      </w:r>
    </w:p>
  </w:footnote>
  <w:footnote w:id="113">
    <w:p w14:paraId="5590DF6E" w14:textId="77777777" w:rsidR="00A03B4C" w:rsidRDefault="00B808B5" w:rsidP="00B808B5">
      <w:pPr>
        <w:pStyle w:val="Textonotapie"/>
      </w:pPr>
      <w:r w:rsidRPr="0037183F">
        <w:rPr>
          <w:rFonts w:ascii="Times New Roman" w:hAnsi="Times New Roman"/>
          <w:vertAlign w:val="superscript"/>
        </w:rPr>
        <w:footnoteRef/>
      </w:r>
      <w:r w:rsidRPr="0037183F">
        <w:rPr>
          <w:rFonts w:ascii="Times New Roman" w:hAnsi="Times New Roman"/>
        </w:rPr>
        <w:t xml:space="preserve"> Así, por ejemplo, el proyecto presentado por el constituyente Carlos Lemos </w:t>
      </w:r>
      <w:proofErr w:type="spellStart"/>
      <w:r w:rsidRPr="0037183F">
        <w:rPr>
          <w:rFonts w:ascii="Times New Roman" w:hAnsi="Times New Roman"/>
        </w:rPr>
        <w:t>Simmonds</w:t>
      </w:r>
      <w:proofErr w:type="spellEnd"/>
      <w:r w:rsidRPr="0037183F">
        <w:rPr>
          <w:rFonts w:ascii="Times New Roman" w:hAnsi="Times New Roman"/>
        </w:rPr>
        <w:t xml:space="preserve"> proponía, además del control definitivo sobre la constitucionalidad de los decretos legislativos expedidos por el presidente en el marco de facultades de excepción a cargo de la Corte Suprema de justicia, un control jurídico previo de los mismos a cargo de la Corte Constitucional (Gaceta Asamblea Nacional Constituyente No. 22, p.1).</w:t>
      </w:r>
    </w:p>
  </w:footnote>
  <w:footnote w:id="114">
    <w:p w14:paraId="31D85C19" w14:textId="77777777" w:rsidR="00A03B4C" w:rsidRDefault="00B808B5" w:rsidP="00B808B5">
      <w:pPr>
        <w:pStyle w:val="Textonotapie"/>
      </w:pPr>
      <w:r w:rsidRPr="0037183F">
        <w:rPr>
          <w:rFonts w:ascii="Times New Roman" w:hAnsi="Times New Roman"/>
          <w:vertAlign w:val="superscript"/>
        </w:rPr>
        <w:footnoteRef/>
      </w:r>
      <w:r w:rsidRPr="0037183F">
        <w:rPr>
          <w:rFonts w:ascii="Times New Roman" w:hAnsi="Times New Roman"/>
        </w:rPr>
        <w:t xml:space="preserve"> De tal forma lo subrayaba el constituyente Álvaro Leyva dentro de su intervención ante la sesión plenaria que discutía los artículos referentes a los estados de excepción que pretendía “puntualizar algunos vacíos” del articulado explicado por el constituyente Navarro Wolff, entre lo que refería: “</w:t>
      </w:r>
      <w:r w:rsidRPr="0037183F">
        <w:rPr>
          <w:rFonts w:ascii="Times New Roman" w:hAnsi="Times New Roman"/>
          <w:lang w:val="es-MX"/>
        </w:rPr>
        <w:t xml:space="preserve">en caso de violación extensible de un precepto constitucional, la Corte deberá suspender provicionalmente </w:t>
      </w:r>
      <w:r w:rsidRPr="0037183F">
        <w:rPr>
          <w:rFonts w:ascii="Times New Roman" w:hAnsi="Times New Roman"/>
          <w:i/>
          <w:iCs/>
          <w:lang w:val="es-MX"/>
        </w:rPr>
        <w:t>(sic)</w:t>
      </w:r>
      <w:r w:rsidRPr="0037183F">
        <w:rPr>
          <w:rFonts w:ascii="Times New Roman" w:hAnsi="Times New Roman"/>
          <w:lang w:val="es-MX"/>
        </w:rPr>
        <w:t xml:space="preserve"> de inmediato la medida respectiva mientras se pronuncia definitivamente, es se introduce, no aparece en ninguno de los proyectos y es el traslado de la suspensión de la providencias administrativas que hace el Consejo de Esta (</w:t>
      </w:r>
      <w:r w:rsidRPr="0037183F">
        <w:rPr>
          <w:rFonts w:ascii="Times New Roman" w:hAnsi="Times New Roman"/>
          <w:i/>
          <w:iCs/>
          <w:lang w:val="es-MX"/>
        </w:rPr>
        <w:t>sic</w:t>
      </w:r>
      <w:r w:rsidRPr="0037183F">
        <w:rPr>
          <w:rFonts w:ascii="Times New Roman" w:hAnsi="Times New Roman"/>
          <w:lang w:val="es-MX"/>
        </w:rPr>
        <w:t xml:space="preserve">), a este caso cuando se trata naturalmente de una violación ostensible de un derecho y se me hace que es algo que enriquece la seguridad para el ciudadano” </w:t>
      </w:r>
      <w:r w:rsidRPr="0037183F">
        <w:rPr>
          <w:rFonts w:ascii="Times New Roman" w:hAnsi="Times New Roman"/>
        </w:rPr>
        <w:t>(Informe sesión plenaria del 20 de mayo de 1991, p.95).</w:t>
      </w:r>
    </w:p>
  </w:footnote>
  <w:footnote w:id="115">
    <w:p w14:paraId="5451FC74" w14:textId="77777777" w:rsidR="00A03B4C" w:rsidRDefault="00B808B5" w:rsidP="00B808B5">
      <w:pPr>
        <w:pStyle w:val="Textonotapie"/>
      </w:pPr>
      <w:r w:rsidRPr="0037183F">
        <w:rPr>
          <w:rFonts w:ascii="Times New Roman" w:hAnsi="Times New Roman"/>
          <w:vertAlign w:val="superscript"/>
        </w:rPr>
        <w:footnoteRef/>
      </w:r>
      <w:r w:rsidRPr="0037183F">
        <w:rPr>
          <w:rFonts w:ascii="Times New Roman" w:hAnsi="Times New Roman"/>
        </w:rPr>
        <w:t xml:space="preserve"> Gaceta Asamblea Nacional Constituyente No. 7.</w:t>
      </w:r>
    </w:p>
  </w:footnote>
  <w:footnote w:id="116">
    <w:p w14:paraId="684ED205" w14:textId="77777777" w:rsidR="00A03B4C" w:rsidRDefault="00B808B5" w:rsidP="00B808B5">
      <w:pPr>
        <w:pStyle w:val="Textonotapie"/>
      </w:pPr>
      <w:r w:rsidRPr="0037183F">
        <w:rPr>
          <w:rFonts w:ascii="Times New Roman" w:hAnsi="Times New Roman"/>
          <w:vertAlign w:val="superscript"/>
        </w:rPr>
        <w:footnoteRef/>
      </w:r>
      <w:r w:rsidRPr="0037183F">
        <w:rPr>
          <w:rFonts w:ascii="Times New Roman" w:hAnsi="Times New Roman"/>
        </w:rPr>
        <w:t xml:space="preserve"> Explicitando en sus debates el deseo de alejarse de la connotación negativa asociada al estado de sitio.</w:t>
      </w:r>
    </w:p>
  </w:footnote>
  <w:footnote w:id="117">
    <w:p w14:paraId="32DBE887" w14:textId="77777777" w:rsidR="00A03B4C" w:rsidRDefault="00B808B5" w:rsidP="00B808B5">
      <w:pPr>
        <w:pStyle w:val="Textonotapie"/>
      </w:pPr>
      <w:r w:rsidRPr="0037183F">
        <w:rPr>
          <w:rFonts w:ascii="Times New Roman" w:hAnsi="Times New Roman"/>
          <w:vertAlign w:val="superscript"/>
        </w:rPr>
        <w:footnoteRef/>
      </w:r>
      <w:r w:rsidRPr="0037183F">
        <w:rPr>
          <w:rFonts w:ascii="Times New Roman" w:hAnsi="Times New Roman"/>
        </w:rPr>
        <w:t xml:space="preserve"> El estado de guerra exterior permite responder a agresiones armadas o conflictos internacionales y exige autorización previa del Senado, salvo cuando se requiera repeler la agresión de forma inmediata. El de conmoción interior se declara ante graves alteraciones del orden público que amenacen la estabilidad institucional o la convivencia ciudadana, por períodos de hasta 90 días, prorrogables, y con control parlamentario en su segunda prórroga. El estado de emergencia se activa ante graves crisis económicas, sociales, ecológicas o calamidades públicas, por períodos hasta de 30 días, sin exceder 90 días en el año.</w:t>
      </w:r>
    </w:p>
  </w:footnote>
  <w:footnote w:id="118">
    <w:p w14:paraId="39744D4C" w14:textId="77777777" w:rsidR="00A03B4C" w:rsidRDefault="00B808B5" w:rsidP="00B808B5">
      <w:pPr>
        <w:pStyle w:val="Textonotapie"/>
      </w:pPr>
      <w:r w:rsidRPr="0037183F">
        <w:rPr>
          <w:rFonts w:ascii="Times New Roman" w:hAnsi="Times New Roman"/>
          <w:vertAlign w:val="superscript"/>
        </w:rPr>
        <w:footnoteRef/>
      </w:r>
      <w:r w:rsidRPr="0037183F">
        <w:rPr>
          <w:rFonts w:ascii="Times New Roman" w:hAnsi="Times New Roman"/>
        </w:rPr>
        <w:t xml:space="preserve"> El artículo 214 impone límites aplicables a toda clase de estado de excepción: se prohíbe la suspensión de los derechos humanos y las libertades fundamentales, se exige el respeto del Derecho Internacional Humanitario, no se interrumpe el normal funcionamiento de las ramas del poder público, y se excluye que los civiles sean juzgados por la jurisdicción penal militar. En todos los casos, los decretos legislativos deben ser remitidos de manera inmediata a la Corte Constitucional, que ejerce control jurisdiccional automático y definitivo sobre su constitucionalidad (arts. 214.6 y 241.7), dentro de los plazos previstos en el artículo 242. </w:t>
      </w:r>
    </w:p>
  </w:footnote>
  <w:footnote w:id="119">
    <w:p w14:paraId="3DC636AC" w14:textId="77777777" w:rsidR="00A03B4C" w:rsidRDefault="00B808B5" w:rsidP="00B808B5">
      <w:pPr>
        <w:pStyle w:val="Textonotapie"/>
      </w:pPr>
      <w:r w:rsidRPr="0037183F">
        <w:rPr>
          <w:rFonts w:ascii="Times New Roman" w:hAnsi="Times New Roman"/>
          <w:vertAlign w:val="superscript"/>
        </w:rPr>
        <w:footnoteRef/>
      </w:r>
      <w:r w:rsidRPr="0037183F">
        <w:rPr>
          <w:rFonts w:ascii="Times New Roman" w:hAnsi="Times New Roman"/>
        </w:rPr>
        <w:t xml:space="preserve"> Artículos 153 y 241.8 CP.</w:t>
      </w:r>
    </w:p>
  </w:footnote>
  <w:footnote w:id="120">
    <w:p w14:paraId="782C4B0F" w14:textId="77777777" w:rsidR="00A03B4C" w:rsidRDefault="00B808B5" w:rsidP="00B808B5">
      <w:pPr>
        <w:pStyle w:val="Textonotapie"/>
      </w:pPr>
      <w:r w:rsidRPr="0037183F">
        <w:rPr>
          <w:rFonts w:ascii="Times New Roman" w:hAnsi="Times New Roman"/>
          <w:vertAlign w:val="superscript"/>
        </w:rPr>
        <w:footnoteRef/>
      </w:r>
      <w:r w:rsidRPr="0037183F">
        <w:rPr>
          <w:rFonts w:ascii="Times New Roman" w:hAnsi="Times New Roman"/>
        </w:rPr>
        <w:t xml:space="preserve"> Sin embargo, esta facultad no aplica en el estado de conmoción interior, cuya normatividad es transitoria y excluye al Congreso de su modificación, según lo reiteró la Corte al declarar inexequible el artículo 43 de la ley.</w:t>
      </w:r>
    </w:p>
  </w:footnote>
  <w:footnote w:id="121">
    <w:p w14:paraId="564871D6" w14:textId="77777777" w:rsidR="00A03B4C" w:rsidRDefault="00B808B5" w:rsidP="00B808B5">
      <w:pPr>
        <w:pStyle w:val="Textonotapie"/>
      </w:pPr>
      <w:r w:rsidRPr="0037183F">
        <w:rPr>
          <w:rFonts w:ascii="Times New Roman" w:hAnsi="Times New Roman"/>
          <w:vertAlign w:val="superscript"/>
        </w:rPr>
        <w:footnoteRef/>
      </w:r>
      <w:r w:rsidRPr="0037183F">
        <w:rPr>
          <w:rFonts w:ascii="Times New Roman" w:hAnsi="Times New Roman"/>
        </w:rPr>
        <w:t xml:space="preserve"> La Corte Constitucional, en la sentencia C-179 de 1994, advirtió expresamente que la competencia establecida en el numeral 7 del artículo 241 de la Constitución –según la cual le corresponde “decidir definitivamente sobre la constitucionalidad de los decretos legislativos que dicte el Gobierno con fundamento en los artículos 212, 213 y 215”– debe entenderse en un sentido amplio que incluye tanto los decretos de desarrollo como el propio decreto declaratorio del estado de excepción. En esa providencia, la Corte fue clara al señalar que los decretos mediante los cuales el </w:t>
      </w:r>
      <w:proofErr w:type="gramStart"/>
      <w:r w:rsidRPr="0037183F">
        <w:rPr>
          <w:rFonts w:ascii="Times New Roman" w:hAnsi="Times New Roman"/>
        </w:rPr>
        <w:t>Presidente</w:t>
      </w:r>
      <w:proofErr w:type="gramEnd"/>
      <w:r w:rsidRPr="0037183F">
        <w:rPr>
          <w:rFonts w:ascii="Times New Roman" w:hAnsi="Times New Roman"/>
        </w:rPr>
        <w:t xml:space="preserve"> declara el estado de excepción están sujetos a control constitucional automático y definitivo, y que los fallos correspondientes hacen tránsito a cosa juzgada constitucional. El Auto 082 de 2026, aunque intenta restringir esa lectura, reconoce que la Corte ya había incluido dentro del alcance de dicha expresión constitucional (“decretos legislativos”) al decreto declaratorio.  </w:t>
      </w:r>
    </w:p>
  </w:footnote>
  <w:footnote w:id="122">
    <w:p w14:paraId="34441475" w14:textId="77777777" w:rsidR="00A03B4C" w:rsidRDefault="00B808B5" w:rsidP="00B808B5">
      <w:pPr>
        <w:pStyle w:val="Textonotapie"/>
      </w:pPr>
      <w:r w:rsidRPr="0037183F">
        <w:rPr>
          <w:rFonts w:ascii="Times New Roman" w:hAnsi="Times New Roman"/>
          <w:vertAlign w:val="superscript"/>
        </w:rPr>
        <w:footnoteRef/>
      </w:r>
      <w:r w:rsidRPr="00B808B5">
        <w:rPr>
          <w:rFonts w:ascii="Times New Roman" w:hAnsi="Times New Roman"/>
          <w:lang w:val="pt-PT"/>
        </w:rPr>
        <w:t xml:space="preserve"> Corte Constitucional, Sentencia C-179 de 1994.  </w:t>
      </w:r>
    </w:p>
  </w:footnote>
  <w:footnote w:id="123">
    <w:p w14:paraId="32D18DB1" w14:textId="77777777" w:rsidR="00A03B4C" w:rsidRDefault="00B808B5" w:rsidP="00B808B5">
      <w:pPr>
        <w:pStyle w:val="Textonotapie"/>
      </w:pPr>
      <w:r w:rsidRPr="0037183F">
        <w:rPr>
          <w:rFonts w:ascii="Times New Roman" w:hAnsi="Times New Roman"/>
          <w:vertAlign w:val="superscript"/>
        </w:rPr>
        <w:footnoteRef/>
      </w:r>
      <w:r w:rsidRPr="0037183F">
        <w:rPr>
          <w:rFonts w:ascii="Times New Roman" w:hAnsi="Times New Roman"/>
        </w:rPr>
        <w:t xml:space="preserve"> Si bien la Corte ha desarrollado recientemente distinciones conceptuales entre la inconstitucionalidad y la inexequibilidad, en esta providencia optó expresamente por declarar la inexequibilidad.  </w:t>
      </w:r>
    </w:p>
  </w:footnote>
  <w:footnote w:id="124">
    <w:p w14:paraId="2C359A31" w14:textId="77777777" w:rsidR="00A03B4C" w:rsidRDefault="00B808B5" w:rsidP="00B808B5">
      <w:pPr>
        <w:pStyle w:val="Textonotapie"/>
      </w:pPr>
      <w:r w:rsidRPr="0037183F">
        <w:rPr>
          <w:rFonts w:ascii="Times New Roman" w:hAnsi="Times New Roman"/>
          <w:vertAlign w:val="superscript"/>
        </w:rPr>
        <w:footnoteRef/>
      </w:r>
      <w:r w:rsidRPr="00B808B5">
        <w:rPr>
          <w:rFonts w:ascii="Times New Roman" w:hAnsi="Times New Roman"/>
          <w:lang w:val="pt-PT"/>
        </w:rPr>
        <w:t xml:space="preserve"> Corte Constitucional, Auto A161 de 2020. </w:t>
      </w:r>
      <w:proofErr w:type="spellStart"/>
      <w:r w:rsidRPr="00B808B5">
        <w:rPr>
          <w:rFonts w:ascii="Times New Roman" w:hAnsi="Times New Roman"/>
          <w:lang w:val="en-US"/>
        </w:rPr>
        <w:t>Cfr</w:t>
      </w:r>
      <w:proofErr w:type="spellEnd"/>
      <w:r w:rsidRPr="00B808B5">
        <w:rPr>
          <w:rFonts w:ascii="Times New Roman" w:hAnsi="Times New Roman"/>
          <w:lang w:val="en-US"/>
        </w:rPr>
        <w:t xml:space="preserve">. Art. 237, </w:t>
      </w:r>
      <w:proofErr w:type="spellStart"/>
      <w:r w:rsidRPr="00B808B5">
        <w:rPr>
          <w:rFonts w:ascii="Times New Roman" w:hAnsi="Times New Roman"/>
          <w:lang w:val="en-US"/>
        </w:rPr>
        <w:t>núm</w:t>
      </w:r>
      <w:proofErr w:type="spellEnd"/>
      <w:r w:rsidRPr="00B808B5">
        <w:rPr>
          <w:rFonts w:ascii="Times New Roman" w:hAnsi="Times New Roman"/>
          <w:lang w:val="en-US"/>
        </w:rPr>
        <w:t xml:space="preserve">. 1 C.P. </w:t>
      </w:r>
    </w:p>
  </w:footnote>
  <w:footnote w:id="125">
    <w:p w14:paraId="1F6909F1" w14:textId="77777777" w:rsidR="00A03B4C" w:rsidRDefault="00B808B5" w:rsidP="00B808B5">
      <w:pPr>
        <w:pStyle w:val="Textonotapie"/>
      </w:pPr>
      <w:r w:rsidRPr="0037183F">
        <w:rPr>
          <w:rFonts w:ascii="Times New Roman" w:hAnsi="Times New Roman"/>
          <w:vertAlign w:val="superscript"/>
        </w:rPr>
        <w:footnoteRef/>
      </w:r>
      <w:r w:rsidRPr="00B808B5">
        <w:rPr>
          <w:rFonts w:ascii="Times New Roman" w:hAnsi="Times New Roman"/>
          <w:lang w:val="pt-PT"/>
        </w:rPr>
        <w:t xml:space="preserve"> Corte Constitucional, Auto A161 de 2020.</w:t>
      </w:r>
    </w:p>
  </w:footnote>
  <w:footnote w:id="126">
    <w:p w14:paraId="1BAF289C" w14:textId="77777777" w:rsidR="00A03B4C" w:rsidRDefault="00B808B5" w:rsidP="00B808B5">
      <w:pPr>
        <w:pStyle w:val="Textonotapie"/>
      </w:pPr>
      <w:r w:rsidRPr="0037183F">
        <w:rPr>
          <w:rFonts w:ascii="Times New Roman" w:hAnsi="Times New Roman"/>
          <w:vertAlign w:val="superscript"/>
        </w:rPr>
        <w:footnoteRef/>
      </w:r>
      <w:r w:rsidRPr="0037183F">
        <w:rPr>
          <w:rFonts w:ascii="Times New Roman" w:hAnsi="Times New Roman"/>
        </w:rPr>
        <w:t xml:space="preserve"> “Por el cual se adoptan medidas para proteger los derechos fundamentales de los niños, las niñas y los adolescentes y se asignan a los procuradores judiciales de familia funciones para adelantar los procesos de adopción, como autoridades jurisdiccionales transitorias, en el marco del Estado de Emergencia Económica, Social y Ecológica”.</w:t>
      </w:r>
    </w:p>
  </w:footnote>
  <w:footnote w:id="127">
    <w:p w14:paraId="29B5BC25" w14:textId="77777777" w:rsidR="00A03B4C" w:rsidRDefault="00B808B5" w:rsidP="00B808B5">
      <w:pPr>
        <w:pStyle w:val="Textonotapie"/>
      </w:pPr>
      <w:r w:rsidRPr="0037183F">
        <w:rPr>
          <w:rFonts w:ascii="Times New Roman" w:hAnsi="Times New Roman"/>
          <w:vertAlign w:val="superscript"/>
        </w:rPr>
        <w:footnoteRef/>
      </w:r>
      <w:r w:rsidRPr="0037183F">
        <w:rPr>
          <w:rFonts w:ascii="Times New Roman" w:hAnsi="Times New Roman"/>
        </w:rPr>
        <w:t xml:space="preserve"> Mediante el cual se resolvió la solicitud de suspensión provisional de los incisos tercero y cuarto del numeral segundo del literal (c) del artículo 2º de la Ley 2272 de 2022.</w:t>
      </w:r>
    </w:p>
  </w:footnote>
  <w:footnote w:id="128">
    <w:p w14:paraId="3BFF9841" w14:textId="77777777" w:rsidR="00A03B4C" w:rsidRDefault="00B808B5" w:rsidP="00B808B5">
      <w:pPr>
        <w:pStyle w:val="Prrafodelista"/>
        <w:spacing w:after="0" w:line="240" w:lineRule="auto"/>
        <w:ind w:left="0"/>
      </w:pPr>
      <w:r w:rsidRPr="0037183F">
        <w:rPr>
          <w:rFonts w:ascii="Times New Roman" w:hAnsi="Times New Roman"/>
          <w:sz w:val="20"/>
          <w:szCs w:val="20"/>
          <w:vertAlign w:val="superscript"/>
        </w:rPr>
        <w:footnoteRef/>
      </w:r>
      <w:r w:rsidRPr="0037183F">
        <w:rPr>
          <w:rFonts w:ascii="Times New Roman" w:hAnsi="Times New Roman"/>
          <w:sz w:val="20"/>
          <w:szCs w:val="20"/>
        </w:rPr>
        <w:t xml:space="preserve"> “DECIMO TERCERO: Declarar exequible el artículo 56, salvo su título y el inciso segundo, que dice: ‘Así mismo, y mientras se adopta la decisión definitiva, podrá la Corte Constitucional en pleno y dentro de los diez días siguientes a la fecha en que avocó su conocimiento, suspender, aún de oficio, los efectos de un decreto expedido durante los estados de excepción, siempre que contenga una manifiesta violación de la Constitución’, los cuales son inexequibles”.</w:t>
      </w:r>
    </w:p>
  </w:footnote>
  <w:footnote w:id="129">
    <w:p w14:paraId="5780D406" w14:textId="77777777" w:rsidR="00A03B4C" w:rsidRDefault="00B808B5" w:rsidP="00B808B5">
      <w:pPr>
        <w:pStyle w:val="Textonotapie"/>
      </w:pPr>
      <w:r w:rsidRPr="0037183F">
        <w:rPr>
          <w:rFonts w:ascii="Times New Roman" w:hAnsi="Times New Roman"/>
          <w:vertAlign w:val="superscript"/>
        </w:rPr>
        <w:footnoteRef/>
      </w:r>
      <w:r w:rsidRPr="0037183F">
        <w:rPr>
          <w:rFonts w:ascii="Times New Roman" w:hAnsi="Times New Roman"/>
        </w:rPr>
        <w:t xml:space="preserve"> Esto implica que al momento de confrontar la norma revisada con la preceptiva constitucional, […] analiza todos y cada uno de los artículos del proyecto de ley estatutaria a la luz de todos y cada uno de los artículos del estatuto superior.</w:t>
      </w:r>
    </w:p>
  </w:footnote>
  <w:footnote w:id="130">
    <w:p w14:paraId="0452BEED" w14:textId="77777777" w:rsidR="00A03B4C" w:rsidRDefault="00B808B5" w:rsidP="00B808B5">
      <w:pPr>
        <w:pStyle w:val="Textonotapie"/>
      </w:pPr>
      <w:r w:rsidRPr="0037183F">
        <w:rPr>
          <w:rFonts w:ascii="Times New Roman" w:hAnsi="Times New Roman"/>
          <w:vertAlign w:val="superscript"/>
        </w:rPr>
        <w:footnoteRef/>
      </w:r>
      <w:r w:rsidRPr="0037183F">
        <w:rPr>
          <w:rFonts w:ascii="Times New Roman" w:hAnsi="Times New Roman"/>
        </w:rPr>
        <w:t xml:space="preserve"> Esa regla se sustenta en que la Corte confronta esa legislación frente a toda la Constitución. Sin embargo, esta Corporación tiene la competencia para volver a analizar una ley estatutaria, </w:t>
      </w:r>
      <w:r w:rsidRPr="0037183F">
        <w:rPr>
          <w:rFonts w:ascii="Times New Roman" w:hAnsi="Times New Roman"/>
          <w:b/>
          <w:bCs/>
        </w:rPr>
        <w:t>siempre y cuando:</w:t>
      </w:r>
      <w:r w:rsidRPr="0037183F">
        <w:rPr>
          <w:rFonts w:ascii="Times New Roman" w:hAnsi="Times New Roman"/>
        </w:rPr>
        <w:t xml:space="preserve"> (i) se demanden los vicios de trámite subsiguientes de la sentencia de constitucionalidad, yerros que se presentan en el procedimiento que debe recorrer el proyecto para convertirse en ley; o (</w:t>
      </w:r>
      <w:proofErr w:type="spellStart"/>
      <w:r w:rsidRPr="0037183F">
        <w:rPr>
          <w:rFonts w:ascii="Times New Roman" w:hAnsi="Times New Roman"/>
        </w:rPr>
        <w:t>ii</w:t>
      </w:r>
      <w:proofErr w:type="spellEnd"/>
      <w:r w:rsidRPr="0037183F">
        <w:rPr>
          <w:rFonts w:ascii="Times New Roman" w:hAnsi="Times New Roman"/>
        </w:rPr>
        <w:t>) ocurra un cambio en las normas de la Carta Política o en los enunciados prescriptivos internacionales que conforman el bloque de constitucionalidad. Para evaluar la configuración o no de la cosa juzgada, la Corte debe constatar la presencia de algunas de las hipótesis señaladas.</w:t>
      </w:r>
    </w:p>
  </w:footnote>
  <w:footnote w:id="131">
    <w:p w14:paraId="75734E48" w14:textId="77777777" w:rsidR="00A03B4C" w:rsidRDefault="00B808B5" w:rsidP="00B808B5">
      <w:pPr>
        <w:pStyle w:val="Textonotapie"/>
      </w:pPr>
      <w:r w:rsidRPr="0037183F">
        <w:rPr>
          <w:rFonts w:ascii="Times New Roman" w:hAnsi="Times New Roman"/>
          <w:vertAlign w:val="superscript"/>
        </w:rPr>
        <w:footnoteRef/>
      </w:r>
      <w:r w:rsidRPr="0037183F">
        <w:rPr>
          <w:rFonts w:ascii="Times New Roman" w:hAnsi="Times New Roman"/>
        </w:rPr>
        <w:t xml:space="preserve"> Solo en los casos en que se invoque, por demanda ciudadana, la configuración de vicios de inconstitucionalidad sobrevinientes por el trámite dado al proyecto con posterioridad a la sentencia de control constitucional o cuando se modifica el parámetro de control vigente al momento en que la Corte realizó el análisis del proyecto de ley estatutaria.</w:t>
      </w:r>
    </w:p>
  </w:footnote>
  <w:footnote w:id="132">
    <w:p w14:paraId="638F053C" w14:textId="77777777" w:rsidR="00A03B4C" w:rsidRDefault="00B808B5" w:rsidP="00B808B5">
      <w:pPr>
        <w:spacing w:after="0" w:line="240" w:lineRule="auto"/>
      </w:pPr>
      <w:r w:rsidRPr="0037183F">
        <w:rPr>
          <w:rFonts w:ascii="Times New Roman" w:hAnsi="Times New Roman"/>
          <w:sz w:val="20"/>
          <w:szCs w:val="20"/>
          <w:vertAlign w:val="superscript"/>
        </w:rPr>
        <w:footnoteRef/>
      </w:r>
      <w:r w:rsidRPr="0037183F">
        <w:rPr>
          <w:rFonts w:ascii="Times New Roman" w:hAnsi="Times New Roman"/>
          <w:sz w:val="20"/>
          <w:szCs w:val="20"/>
          <w:vertAlign w:val="superscript"/>
        </w:rPr>
        <w:t xml:space="preserve"> </w:t>
      </w:r>
      <w:r w:rsidRPr="0037183F">
        <w:rPr>
          <w:rFonts w:ascii="Times New Roman" w:hAnsi="Times New Roman"/>
          <w:sz w:val="20"/>
          <w:szCs w:val="20"/>
        </w:rPr>
        <w:t>Ver, entre otras, Corte Constitucional Sentencias C-601 de 2019 y C-543 de 1992 y Autos A-076 de 2007 y A-044 de 2010.</w:t>
      </w:r>
    </w:p>
  </w:footnote>
  <w:footnote w:id="133">
    <w:p w14:paraId="00C8A9FD" w14:textId="77777777" w:rsidR="00A03B4C" w:rsidRDefault="00B808B5" w:rsidP="00B808B5">
      <w:pPr>
        <w:spacing w:after="0" w:line="240" w:lineRule="auto"/>
      </w:pPr>
      <w:r w:rsidRPr="0037183F">
        <w:rPr>
          <w:rFonts w:ascii="Times New Roman" w:hAnsi="Times New Roman"/>
          <w:sz w:val="20"/>
          <w:szCs w:val="20"/>
          <w:vertAlign w:val="superscript"/>
        </w:rPr>
        <w:footnoteRef/>
      </w:r>
      <w:r w:rsidRPr="0037183F">
        <w:rPr>
          <w:rFonts w:ascii="Times New Roman" w:hAnsi="Times New Roman"/>
          <w:sz w:val="20"/>
          <w:szCs w:val="20"/>
        </w:rPr>
        <w:t xml:space="preserve"> Por ejemplo, Corte Constitucional Sentencia C-100 de 2019. </w:t>
      </w:r>
    </w:p>
  </w:footnote>
  <w:footnote w:id="134">
    <w:p w14:paraId="2D2E048F" w14:textId="77777777" w:rsidR="00A03B4C" w:rsidRDefault="00B808B5" w:rsidP="00B808B5">
      <w:pPr>
        <w:spacing w:after="0" w:line="240" w:lineRule="auto"/>
      </w:pPr>
      <w:r w:rsidRPr="0037183F">
        <w:rPr>
          <w:rFonts w:ascii="Times New Roman" w:hAnsi="Times New Roman"/>
          <w:sz w:val="20"/>
          <w:szCs w:val="20"/>
          <w:vertAlign w:val="superscript"/>
        </w:rPr>
        <w:footnoteRef/>
      </w:r>
      <w:r w:rsidRPr="0037183F">
        <w:rPr>
          <w:rFonts w:ascii="Times New Roman" w:hAnsi="Times New Roman"/>
          <w:sz w:val="20"/>
          <w:szCs w:val="20"/>
        </w:rPr>
        <w:t xml:space="preserve"> Corte Constitucional, Auto 078 de 2013. </w:t>
      </w:r>
    </w:p>
  </w:footnote>
  <w:footnote w:id="135">
    <w:p w14:paraId="5971BDE3" w14:textId="77777777" w:rsidR="00A03B4C" w:rsidRDefault="00B808B5" w:rsidP="00B808B5">
      <w:pPr>
        <w:spacing w:after="0" w:line="240" w:lineRule="auto"/>
      </w:pPr>
      <w:r w:rsidRPr="0037183F">
        <w:rPr>
          <w:rFonts w:ascii="Times New Roman" w:hAnsi="Times New Roman"/>
          <w:sz w:val="20"/>
          <w:szCs w:val="20"/>
          <w:vertAlign w:val="superscript"/>
        </w:rPr>
        <w:footnoteRef/>
      </w:r>
      <w:r w:rsidRPr="0037183F">
        <w:rPr>
          <w:rFonts w:ascii="Times New Roman" w:hAnsi="Times New Roman"/>
          <w:sz w:val="20"/>
          <w:szCs w:val="20"/>
        </w:rPr>
        <w:t xml:space="preserve"> Corte Constitucional, Sentencia C-543 de 1992. </w:t>
      </w:r>
    </w:p>
  </w:footnote>
  <w:footnote w:id="136">
    <w:p w14:paraId="7B8E8DEF" w14:textId="77777777" w:rsidR="00A03B4C" w:rsidRDefault="00B808B5" w:rsidP="00B808B5">
      <w:pPr>
        <w:spacing w:after="0" w:line="240" w:lineRule="auto"/>
      </w:pPr>
      <w:r w:rsidRPr="0037183F">
        <w:rPr>
          <w:rFonts w:ascii="Times New Roman" w:hAnsi="Times New Roman"/>
          <w:sz w:val="20"/>
          <w:szCs w:val="20"/>
          <w:vertAlign w:val="superscript"/>
        </w:rPr>
        <w:footnoteRef/>
      </w:r>
      <w:r w:rsidRPr="0037183F">
        <w:rPr>
          <w:rFonts w:ascii="Times New Roman" w:hAnsi="Times New Roman"/>
          <w:sz w:val="20"/>
          <w:szCs w:val="20"/>
        </w:rPr>
        <w:t xml:space="preserve">  Constitucional, Sentencia C-310 de 2002. Cfr. Sentencia C-301 de 1993.</w:t>
      </w:r>
    </w:p>
  </w:footnote>
  <w:footnote w:id="137">
    <w:p w14:paraId="26E7F187" w14:textId="77777777" w:rsidR="00A03B4C" w:rsidRDefault="00B808B5" w:rsidP="00B808B5">
      <w:pPr>
        <w:spacing w:after="0" w:line="240" w:lineRule="auto"/>
      </w:pPr>
      <w:r w:rsidRPr="0037183F">
        <w:rPr>
          <w:rFonts w:ascii="Times New Roman" w:hAnsi="Times New Roman"/>
          <w:sz w:val="20"/>
          <w:szCs w:val="20"/>
          <w:vertAlign w:val="superscript"/>
        </w:rPr>
        <w:footnoteRef/>
      </w:r>
      <w:r w:rsidRPr="0037183F">
        <w:rPr>
          <w:rFonts w:ascii="Times New Roman" w:hAnsi="Times New Roman"/>
          <w:sz w:val="20"/>
          <w:szCs w:val="20"/>
          <w:vertAlign w:val="superscript"/>
        </w:rPr>
        <w:t xml:space="preserve"> </w:t>
      </w:r>
      <w:r w:rsidRPr="0037183F">
        <w:rPr>
          <w:rFonts w:ascii="Times New Roman" w:hAnsi="Times New Roman"/>
          <w:sz w:val="20"/>
          <w:szCs w:val="20"/>
        </w:rPr>
        <w:t>Sobre la cosa juzgada absoluta la Corte ha precisado que se trata de aquella “que abordó todos los posibles vicios de inconstitucionalidad de la norma y, por lo tanto, cierra la posibilidad de la formulación de otros cargos que permitan un nuevo juicio” (Sentencia C-096 de 2017) y “agotó cualquier debate sobre la constitucionalidad de la norma acusada” (Sentencia C-007 de 2016). Será absoluta cuando la decisión agota cualquier debate sobre la constitucionalidad de la norma acusada.</w:t>
      </w:r>
      <w:r w:rsidRPr="0037183F">
        <w:rPr>
          <w:rFonts w:ascii="Times New Roman" w:hAnsi="Times New Roman"/>
          <w:sz w:val="20"/>
          <w:szCs w:val="20"/>
          <w:lang w:val="es"/>
        </w:rPr>
        <w:t xml:space="preserve"> </w:t>
      </w:r>
      <w:r w:rsidRPr="0037183F">
        <w:rPr>
          <w:rFonts w:ascii="Times New Roman" w:hAnsi="Times New Roman"/>
          <w:sz w:val="20"/>
          <w:szCs w:val="20"/>
        </w:rPr>
        <w:t xml:space="preserve"> </w:t>
      </w:r>
    </w:p>
  </w:footnote>
  <w:footnote w:id="138">
    <w:p w14:paraId="2B298A82" w14:textId="77777777" w:rsidR="00A03B4C" w:rsidRDefault="00B808B5" w:rsidP="00B808B5">
      <w:pPr>
        <w:spacing w:after="0" w:line="240" w:lineRule="auto"/>
      </w:pPr>
      <w:r w:rsidRPr="0037183F">
        <w:rPr>
          <w:rFonts w:ascii="Times New Roman" w:hAnsi="Times New Roman"/>
          <w:sz w:val="20"/>
          <w:szCs w:val="20"/>
          <w:vertAlign w:val="superscript"/>
        </w:rPr>
        <w:footnoteRef/>
      </w:r>
      <w:r w:rsidRPr="0037183F">
        <w:rPr>
          <w:rFonts w:ascii="Times New Roman" w:hAnsi="Times New Roman"/>
          <w:sz w:val="20"/>
          <w:szCs w:val="20"/>
        </w:rPr>
        <w:t xml:space="preserve">  En principio, la cosa juzgada en una decisión de </w:t>
      </w:r>
      <w:proofErr w:type="spellStart"/>
      <w:r w:rsidRPr="0037183F">
        <w:rPr>
          <w:rFonts w:ascii="Times New Roman" w:hAnsi="Times New Roman"/>
          <w:sz w:val="20"/>
          <w:szCs w:val="20"/>
        </w:rPr>
        <w:t>exequibilidad</w:t>
      </w:r>
      <w:proofErr w:type="spellEnd"/>
      <w:r w:rsidRPr="0037183F">
        <w:rPr>
          <w:rFonts w:ascii="Times New Roman" w:hAnsi="Times New Roman"/>
          <w:sz w:val="20"/>
          <w:szCs w:val="20"/>
        </w:rPr>
        <w:t xml:space="preserve"> es absoluta. Sin embargo, se advierte que el Tribunal Constitucional puede pronunciarse de fondo sobre una norma que había sido objeto de decisión de </w:t>
      </w:r>
      <w:proofErr w:type="spellStart"/>
      <w:r w:rsidRPr="0037183F">
        <w:rPr>
          <w:rFonts w:ascii="Times New Roman" w:hAnsi="Times New Roman"/>
          <w:sz w:val="20"/>
          <w:szCs w:val="20"/>
        </w:rPr>
        <w:t>exequibilidad</w:t>
      </w:r>
      <w:proofErr w:type="spellEnd"/>
      <w:r w:rsidRPr="0037183F">
        <w:rPr>
          <w:rFonts w:ascii="Times New Roman" w:hAnsi="Times New Roman"/>
          <w:sz w:val="20"/>
          <w:szCs w:val="20"/>
        </w:rPr>
        <w:t xml:space="preserve"> en el pasado. Esa nueva valoración ocurre en las siguientes circunstancias: (i) la modificación del parámetro de control; (</w:t>
      </w:r>
      <w:proofErr w:type="spellStart"/>
      <w:r w:rsidRPr="0037183F">
        <w:rPr>
          <w:rFonts w:ascii="Times New Roman" w:hAnsi="Times New Roman"/>
          <w:sz w:val="20"/>
          <w:szCs w:val="20"/>
        </w:rPr>
        <w:t>ii</w:t>
      </w:r>
      <w:proofErr w:type="spellEnd"/>
      <w:r w:rsidRPr="0037183F">
        <w:rPr>
          <w:rFonts w:ascii="Times New Roman" w:hAnsi="Times New Roman"/>
          <w:sz w:val="20"/>
          <w:szCs w:val="20"/>
        </w:rPr>
        <w:t>) el cambio en el significado material de la Constitución; y (</w:t>
      </w:r>
      <w:proofErr w:type="spellStart"/>
      <w:r w:rsidRPr="0037183F">
        <w:rPr>
          <w:rFonts w:ascii="Times New Roman" w:hAnsi="Times New Roman"/>
          <w:sz w:val="20"/>
          <w:szCs w:val="20"/>
        </w:rPr>
        <w:t>iii</w:t>
      </w:r>
      <w:proofErr w:type="spellEnd"/>
      <w:r w:rsidRPr="0037183F">
        <w:rPr>
          <w:rFonts w:ascii="Times New Roman" w:hAnsi="Times New Roman"/>
          <w:sz w:val="20"/>
          <w:szCs w:val="20"/>
        </w:rPr>
        <w:t>) la variación del contexto normativo del objeto de control. Lo propio sucede en el evento en que esta Corporación advierte que la censura formulada por un ciudadano es diferente al cargo que estudió en el pasado en un juicio de validez efectuado sobre una misma norma.</w:t>
      </w:r>
    </w:p>
  </w:footnote>
  <w:footnote w:id="139">
    <w:p w14:paraId="73B3551F" w14:textId="77777777" w:rsidR="00A03B4C" w:rsidRDefault="00B808B5" w:rsidP="00B808B5">
      <w:pPr>
        <w:spacing w:after="0" w:line="240" w:lineRule="auto"/>
      </w:pPr>
      <w:r w:rsidRPr="0037183F">
        <w:rPr>
          <w:rFonts w:ascii="Times New Roman" w:hAnsi="Times New Roman"/>
          <w:sz w:val="20"/>
          <w:szCs w:val="20"/>
          <w:vertAlign w:val="superscript"/>
        </w:rPr>
        <w:footnoteRef/>
      </w:r>
      <w:r w:rsidRPr="0037183F">
        <w:rPr>
          <w:rFonts w:ascii="Times New Roman" w:hAnsi="Times New Roman"/>
          <w:sz w:val="20"/>
          <w:szCs w:val="20"/>
        </w:rPr>
        <w:t xml:space="preserve"> Si la norma es declarada inexequible, ella desaparece del mundo jurídico, con fuerza de cosa juzgada constitucional, como lo señala el artículo 243 superior, y con efecto </w:t>
      </w:r>
      <w:r w:rsidRPr="0037183F">
        <w:rPr>
          <w:rFonts w:ascii="Times New Roman" w:hAnsi="Times New Roman"/>
          <w:i/>
          <w:iCs/>
          <w:sz w:val="20"/>
          <w:szCs w:val="20"/>
        </w:rPr>
        <w:t xml:space="preserve">erga </w:t>
      </w:r>
      <w:proofErr w:type="spellStart"/>
      <w:r w:rsidRPr="0037183F">
        <w:rPr>
          <w:rFonts w:ascii="Times New Roman" w:hAnsi="Times New Roman"/>
          <w:i/>
          <w:iCs/>
          <w:sz w:val="20"/>
          <w:szCs w:val="20"/>
        </w:rPr>
        <w:t>onmes</w:t>
      </w:r>
      <w:proofErr w:type="spellEnd"/>
      <w:r w:rsidRPr="0037183F">
        <w:rPr>
          <w:rFonts w:ascii="Times New Roman" w:hAnsi="Times New Roman"/>
          <w:sz w:val="20"/>
          <w:szCs w:val="20"/>
        </w:rPr>
        <w:t xml:space="preserve">, sin importar si los textos que sirvieron de base para tal declaratoria fueron rogados o invocados de oficio por la Corporación, porque en ambos casos el resultado es el mismo y con el mismo valor. </w:t>
      </w:r>
    </w:p>
  </w:footnote>
  <w:footnote w:id="140">
    <w:p w14:paraId="41D5736F" w14:textId="77777777" w:rsidR="00A03B4C" w:rsidRDefault="00B808B5" w:rsidP="00B808B5">
      <w:pPr>
        <w:spacing w:after="0" w:line="240" w:lineRule="auto"/>
      </w:pPr>
      <w:r w:rsidRPr="0037183F">
        <w:rPr>
          <w:rFonts w:ascii="Times New Roman" w:hAnsi="Times New Roman"/>
          <w:sz w:val="20"/>
          <w:szCs w:val="20"/>
          <w:vertAlign w:val="superscript"/>
        </w:rPr>
        <w:footnoteRef/>
      </w:r>
      <w:r w:rsidRPr="0037183F">
        <w:rPr>
          <w:rFonts w:ascii="Times New Roman" w:hAnsi="Times New Roman"/>
          <w:sz w:val="20"/>
          <w:szCs w:val="20"/>
        </w:rPr>
        <w:t xml:space="preserve"> La Corte sostuvo que “una vez la Corte Constitucional declara inexequible una disposición legal, ningún servidor público puede emitir resolución, dictamen o concepto fundado en aquélla, por cuanto de esta manera se estaría desconociendo directamente la Constitución</w:t>
      </w:r>
      <w:r w:rsidRPr="00D009FE">
        <w:rPr>
          <w:rFonts w:ascii="Times New Roman" w:hAnsi="Times New Roman"/>
          <w:sz w:val="20"/>
          <w:szCs w:val="20"/>
        </w:rPr>
        <w:t>” (Sentencia C-355 de 2008).</w:t>
      </w:r>
    </w:p>
  </w:footnote>
  <w:footnote w:id="141">
    <w:p w14:paraId="34BA35D4" w14:textId="77777777" w:rsidR="00A03B4C" w:rsidRDefault="00B808B5" w:rsidP="00B808B5">
      <w:pPr>
        <w:spacing w:after="0" w:line="240" w:lineRule="auto"/>
      </w:pPr>
      <w:r w:rsidRPr="0037183F">
        <w:rPr>
          <w:rFonts w:ascii="Times New Roman" w:hAnsi="Times New Roman"/>
          <w:sz w:val="20"/>
          <w:szCs w:val="20"/>
          <w:vertAlign w:val="superscript"/>
        </w:rPr>
        <w:footnoteRef/>
      </w:r>
      <w:r w:rsidRPr="00B808B5">
        <w:rPr>
          <w:rFonts w:ascii="Times New Roman" w:hAnsi="Times New Roman"/>
          <w:sz w:val="20"/>
          <w:szCs w:val="20"/>
          <w:lang w:val="pt-PT"/>
        </w:rPr>
        <w:t xml:space="preserve"> Corte Constitucional, Sentencia C-131 de 1993.</w:t>
      </w:r>
    </w:p>
  </w:footnote>
  <w:footnote w:id="142">
    <w:p w14:paraId="66AFCAF3" w14:textId="77777777" w:rsidR="00A03B4C" w:rsidRDefault="00B808B5" w:rsidP="00B808B5">
      <w:pPr>
        <w:spacing w:after="0" w:line="240" w:lineRule="auto"/>
      </w:pPr>
      <w:r w:rsidRPr="0037183F">
        <w:rPr>
          <w:rFonts w:ascii="Times New Roman" w:hAnsi="Times New Roman"/>
          <w:sz w:val="20"/>
          <w:szCs w:val="20"/>
          <w:vertAlign w:val="superscript"/>
        </w:rPr>
        <w:footnoteRef/>
      </w:r>
      <w:r w:rsidRPr="0037183F">
        <w:rPr>
          <w:rFonts w:ascii="Times New Roman" w:hAnsi="Times New Roman"/>
          <w:sz w:val="20"/>
          <w:szCs w:val="20"/>
        </w:rPr>
        <w:t xml:space="preserve"> En efecto, la Sentencia C-179 de 1994 no restringió su pronunciamiento a algún tipo de decreto legislativo específico (v.gr. decretos de desarrollo). </w:t>
      </w:r>
      <w:r w:rsidRPr="0037183F">
        <w:rPr>
          <w:rFonts w:ascii="Times New Roman" w:hAnsi="Times New Roman"/>
          <w:sz w:val="20"/>
          <w:szCs w:val="20"/>
          <w:lang w:val="es"/>
        </w:rPr>
        <w:t xml:space="preserve"> </w:t>
      </w:r>
    </w:p>
  </w:footnote>
  <w:footnote w:id="143">
    <w:p w14:paraId="0109AA51" w14:textId="77777777" w:rsidR="00A03B4C" w:rsidRDefault="00B808B5" w:rsidP="00B808B5">
      <w:pPr>
        <w:spacing w:after="0" w:line="240" w:lineRule="auto"/>
      </w:pPr>
      <w:r w:rsidRPr="0037183F">
        <w:rPr>
          <w:rFonts w:ascii="Times New Roman" w:hAnsi="Times New Roman"/>
          <w:sz w:val="20"/>
          <w:szCs w:val="20"/>
          <w:vertAlign w:val="superscript"/>
        </w:rPr>
        <w:footnoteRef/>
      </w:r>
      <w:r w:rsidRPr="0037183F">
        <w:rPr>
          <w:rFonts w:ascii="Times New Roman" w:hAnsi="Times New Roman"/>
          <w:sz w:val="20"/>
          <w:szCs w:val="20"/>
        </w:rPr>
        <w:t xml:space="preserve"> Para este tipo de control (el político o de conveniencia) </w:t>
      </w:r>
      <w:r w:rsidRPr="0037183F">
        <w:rPr>
          <w:rFonts w:ascii="Times New Roman" w:hAnsi="Times New Roman"/>
          <w:sz w:val="20"/>
          <w:szCs w:val="20"/>
          <w:lang w:val="es"/>
        </w:rPr>
        <w:t>“[l]a Constitución dispuso un complejo sistema de controles para los estados de excepción, dentro de los cuales se destacan los políticos específicos, tales como (i) la autorización del Senado para la declaratoria del estado de guerra exterior; (</w:t>
      </w:r>
      <w:proofErr w:type="spellStart"/>
      <w:r w:rsidRPr="0037183F">
        <w:rPr>
          <w:rFonts w:ascii="Times New Roman" w:hAnsi="Times New Roman"/>
          <w:sz w:val="20"/>
          <w:szCs w:val="20"/>
          <w:lang w:val="es"/>
        </w:rPr>
        <w:t>ii</w:t>
      </w:r>
      <w:proofErr w:type="spellEnd"/>
      <w:r w:rsidRPr="0037183F">
        <w:rPr>
          <w:rFonts w:ascii="Times New Roman" w:hAnsi="Times New Roman"/>
          <w:sz w:val="20"/>
          <w:szCs w:val="20"/>
          <w:lang w:val="es"/>
        </w:rPr>
        <w:t>) el concepto favorable del Senado para la segunda prórroga del estado de conmoción interior; (</w:t>
      </w:r>
      <w:proofErr w:type="spellStart"/>
      <w:r w:rsidRPr="0037183F">
        <w:rPr>
          <w:rFonts w:ascii="Times New Roman" w:hAnsi="Times New Roman"/>
          <w:sz w:val="20"/>
          <w:szCs w:val="20"/>
          <w:lang w:val="es"/>
        </w:rPr>
        <w:t>iii</w:t>
      </w:r>
      <w:proofErr w:type="spellEnd"/>
      <w:r w:rsidRPr="0037183F">
        <w:rPr>
          <w:rFonts w:ascii="Times New Roman" w:hAnsi="Times New Roman"/>
          <w:sz w:val="20"/>
          <w:szCs w:val="20"/>
          <w:lang w:val="es"/>
        </w:rPr>
        <w:t>) las reuniones del Congreso por derecho propio; (</w:t>
      </w:r>
      <w:proofErr w:type="spellStart"/>
      <w:r w:rsidRPr="0037183F">
        <w:rPr>
          <w:rFonts w:ascii="Times New Roman" w:hAnsi="Times New Roman"/>
          <w:sz w:val="20"/>
          <w:szCs w:val="20"/>
          <w:lang w:val="es"/>
        </w:rPr>
        <w:t>iv</w:t>
      </w:r>
      <w:proofErr w:type="spellEnd"/>
      <w:r w:rsidRPr="0037183F">
        <w:rPr>
          <w:rFonts w:ascii="Times New Roman" w:hAnsi="Times New Roman"/>
          <w:sz w:val="20"/>
          <w:szCs w:val="20"/>
          <w:lang w:val="es"/>
        </w:rPr>
        <w:t xml:space="preserve">) los informes que debe presentar el Gobierno Nacional al Congreso de la República sobre su declaratoria y evolución; y, </w:t>
      </w:r>
      <w:r w:rsidRPr="00C217A2">
        <w:rPr>
          <w:rFonts w:ascii="Times New Roman" w:hAnsi="Times New Roman"/>
          <w:sz w:val="20"/>
          <w:szCs w:val="20"/>
          <w:lang w:val="es"/>
        </w:rPr>
        <w:t>finalmente, (v) la competencia del Congreso para establecer la responsabilidad política del Presidente y de los ministros por la declaratoria del estado de emergencia económica, social y ecológica, o que constituya grave calamidad</w:t>
      </w:r>
      <w:r w:rsidRPr="0037183F">
        <w:rPr>
          <w:rFonts w:ascii="Times New Roman" w:hAnsi="Times New Roman"/>
          <w:sz w:val="20"/>
          <w:szCs w:val="20"/>
          <w:lang w:val="es"/>
        </w:rPr>
        <w:t xml:space="preserve"> pública, sin la ocurrencia de los supuestos contemplados en los preceptos constitucionales, o por el abuso en el ejercicio </w:t>
      </w:r>
      <w:r w:rsidRPr="00D009FE">
        <w:rPr>
          <w:rFonts w:ascii="Times New Roman" w:hAnsi="Times New Roman"/>
          <w:sz w:val="20"/>
          <w:szCs w:val="20"/>
          <w:lang w:val="es"/>
        </w:rPr>
        <w:t>de las facultades excepcionales” (Corte Constitucional, Sentencia C-152 de 2020).</w:t>
      </w:r>
    </w:p>
  </w:footnote>
  <w:footnote w:id="144">
    <w:p w14:paraId="6AD79753" w14:textId="77777777" w:rsidR="00A03B4C" w:rsidRDefault="00B808B5" w:rsidP="00B808B5">
      <w:pPr>
        <w:spacing w:after="0" w:line="240" w:lineRule="auto"/>
      </w:pPr>
      <w:r w:rsidRPr="0037183F">
        <w:rPr>
          <w:rFonts w:ascii="Times New Roman" w:hAnsi="Times New Roman"/>
          <w:sz w:val="20"/>
          <w:szCs w:val="20"/>
          <w:vertAlign w:val="superscript"/>
        </w:rPr>
        <w:footnoteRef/>
      </w:r>
      <w:r w:rsidRPr="0037183F">
        <w:rPr>
          <w:rFonts w:ascii="Times New Roman" w:hAnsi="Times New Roman"/>
          <w:sz w:val="20"/>
          <w:szCs w:val="20"/>
        </w:rPr>
        <w:t xml:space="preserve"> Ver, Corte Constitucional, Sentencias T-022 de 2019 y T-450 de 2024, entre otras. </w:t>
      </w:r>
    </w:p>
  </w:footnote>
  <w:footnote w:id="145">
    <w:p w14:paraId="6BD54A4E" w14:textId="77777777" w:rsidR="00A03B4C" w:rsidRDefault="00B808B5" w:rsidP="00B808B5">
      <w:pPr>
        <w:spacing w:after="0" w:line="240" w:lineRule="auto"/>
      </w:pPr>
      <w:r w:rsidRPr="0037183F">
        <w:rPr>
          <w:rFonts w:ascii="Times New Roman" w:hAnsi="Times New Roman"/>
          <w:sz w:val="20"/>
          <w:szCs w:val="20"/>
          <w:vertAlign w:val="superscript"/>
        </w:rPr>
        <w:footnoteRef/>
      </w:r>
      <w:r w:rsidRPr="0037183F">
        <w:rPr>
          <w:rFonts w:ascii="Times New Roman" w:hAnsi="Times New Roman"/>
          <w:sz w:val="20"/>
          <w:szCs w:val="20"/>
        </w:rPr>
        <w:t xml:space="preserve"> En todo caso, este Tribunal ha reiterado que se prioriza el deber de seguir el precedente, pues ello responde a la necesidad de salvaguardar los principios constitucionales de seguridad jurídica, igualdad, buena fe y confianza legítima.</w:t>
      </w:r>
      <w:r w:rsidRPr="0037183F">
        <w:rPr>
          <w:rFonts w:ascii="Times New Roman" w:hAnsi="Times New Roman"/>
          <w:sz w:val="20"/>
          <w:szCs w:val="20"/>
          <w:lang w:val="es"/>
        </w:rPr>
        <w:t xml:space="preserve"> </w:t>
      </w:r>
      <w:r w:rsidRPr="0037183F">
        <w:rPr>
          <w:rFonts w:ascii="Times New Roman" w:hAnsi="Times New Roman"/>
          <w:sz w:val="20"/>
          <w:szCs w:val="20"/>
        </w:rPr>
        <w:t xml:space="preserve"> </w:t>
      </w:r>
    </w:p>
  </w:footnote>
  <w:footnote w:id="146">
    <w:p w14:paraId="70908127" w14:textId="77777777" w:rsidR="00A03B4C" w:rsidRDefault="00B808B5" w:rsidP="00B808B5">
      <w:pPr>
        <w:spacing w:after="0" w:line="240" w:lineRule="auto"/>
      </w:pPr>
      <w:r w:rsidRPr="0037183F">
        <w:rPr>
          <w:rFonts w:ascii="Times New Roman" w:hAnsi="Times New Roman"/>
          <w:sz w:val="20"/>
          <w:szCs w:val="20"/>
          <w:vertAlign w:val="superscript"/>
        </w:rPr>
        <w:footnoteRef/>
      </w:r>
      <w:r w:rsidRPr="0037183F">
        <w:rPr>
          <w:rFonts w:ascii="Times New Roman" w:hAnsi="Times New Roman"/>
          <w:sz w:val="20"/>
          <w:szCs w:val="20"/>
        </w:rPr>
        <w:t xml:space="preserve"> Para este tipo de control (el político o de conveniencia) </w:t>
      </w:r>
      <w:r w:rsidRPr="0037183F">
        <w:rPr>
          <w:rFonts w:ascii="Times New Roman" w:hAnsi="Times New Roman"/>
          <w:sz w:val="20"/>
          <w:szCs w:val="20"/>
          <w:lang w:val="es"/>
        </w:rPr>
        <w:t>“[l]a Constitución dispuso un complejo sistema de controles para los estados de excepción, dentro de los cuales se destacan los políticos específicos, tales como (i) la autorización del Senado para la declaratoria del estado de guerra exterior; (</w:t>
      </w:r>
      <w:proofErr w:type="spellStart"/>
      <w:r w:rsidRPr="0037183F">
        <w:rPr>
          <w:rFonts w:ascii="Times New Roman" w:hAnsi="Times New Roman"/>
          <w:sz w:val="20"/>
          <w:szCs w:val="20"/>
          <w:lang w:val="es"/>
        </w:rPr>
        <w:t>ii</w:t>
      </w:r>
      <w:proofErr w:type="spellEnd"/>
      <w:r w:rsidRPr="0037183F">
        <w:rPr>
          <w:rFonts w:ascii="Times New Roman" w:hAnsi="Times New Roman"/>
          <w:sz w:val="20"/>
          <w:szCs w:val="20"/>
          <w:lang w:val="es"/>
        </w:rPr>
        <w:t>) el concepto favorable del Senado para la segunda prórroga del estado de conmoción interior; (</w:t>
      </w:r>
      <w:proofErr w:type="spellStart"/>
      <w:r w:rsidRPr="0037183F">
        <w:rPr>
          <w:rFonts w:ascii="Times New Roman" w:hAnsi="Times New Roman"/>
          <w:sz w:val="20"/>
          <w:szCs w:val="20"/>
          <w:lang w:val="es"/>
        </w:rPr>
        <w:t>iii</w:t>
      </w:r>
      <w:proofErr w:type="spellEnd"/>
      <w:r w:rsidRPr="0037183F">
        <w:rPr>
          <w:rFonts w:ascii="Times New Roman" w:hAnsi="Times New Roman"/>
          <w:sz w:val="20"/>
          <w:szCs w:val="20"/>
          <w:lang w:val="es"/>
        </w:rPr>
        <w:t>) las reuniones del Congreso por derecho propio; (</w:t>
      </w:r>
      <w:proofErr w:type="spellStart"/>
      <w:r w:rsidRPr="0037183F">
        <w:rPr>
          <w:rFonts w:ascii="Times New Roman" w:hAnsi="Times New Roman"/>
          <w:sz w:val="20"/>
          <w:szCs w:val="20"/>
          <w:lang w:val="es"/>
        </w:rPr>
        <w:t>iv</w:t>
      </w:r>
      <w:proofErr w:type="spellEnd"/>
      <w:r w:rsidRPr="0037183F">
        <w:rPr>
          <w:rFonts w:ascii="Times New Roman" w:hAnsi="Times New Roman"/>
          <w:sz w:val="20"/>
          <w:szCs w:val="20"/>
          <w:lang w:val="es"/>
        </w:rPr>
        <w:t>) los informes que debe presentar el Gobierno Nacional al Congreso de la República sobre su declaratoria y evolución; y, finalmente, (</w:t>
      </w:r>
      <w:r w:rsidRPr="00C217A2">
        <w:rPr>
          <w:rFonts w:ascii="Times New Roman" w:hAnsi="Times New Roman"/>
          <w:sz w:val="20"/>
          <w:szCs w:val="20"/>
          <w:lang w:val="es"/>
        </w:rPr>
        <w:t>v) la competencia del Congreso para establecer la responsabilidad política del Presidente y de los ministros por la declaratoria del estado de emergencia económica, social y ecológica, o que constituya grave calamidad</w:t>
      </w:r>
      <w:r w:rsidRPr="0037183F">
        <w:rPr>
          <w:rFonts w:ascii="Times New Roman" w:hAnsi="Times New Roman"/>
          <w:sz w:val="20"/>
          <w:szCs w:val="20"/>
          <w:lang w:val="es"/>
        </w:rPr>
        <w:t xml:space="preserve"> pública, sin la ocurrencia de los supuestos contemplados en los preceptos constitucionales, o por el abuso en el ejercicio de las facultades excepcionales”.</w:t>
      </w:r>
    </w:p>
  </w:footnote>
  <w:footnote w:id="147">
    <w:p w14:paraId="72B7A7E1" w14:textId="77777777" w:rsidR="00A03B4C" w:rsidRDefault="00B808B5" w:rsidP="00B808B5">
      <w:pPr>
        <w:pStyle w:val="Textonotapie"/>
      </w:pPr>
      <w:r w:rsidRPr="0037183F">
        <w:rPr>
          <w:rFonts w:ascii="Times New Roman" w:hAnsi="Times New Roman"/>
          <w:vertAlign w:val="superscript"/>
        </w:rPr>
        <w:footnoteRef/>
      </w:r>
      <w:r w:rsidRPr="0037183F">
        <w:rPr>
          <w:rFonts w:ascii="Times New Roman" w:hAnsi="Times New Roman"/>
        </w:rPr>
        <w:t xml:space="preserve"> </w:t>
      </w:r>
      <w:r w:rsidRPr="0037183F">
        <w:rPr>
          <w:rFonts w:ascii="Times New Roman" w:hAnsi="Times New Roman"/>
          <w:lang w:val="es"/>
        </w:rPr>
        <w:t xml:space="preserve">Como se expuso anteriormente, incluso durante los debates de la Asamblea Nacional Constituyente uno de los constituyentes criticó la ausencia de figura de suspensión provisional en cabeza de la Corte Constitucional. Sin embargo, esta alternativa no fue incluida, lo que evidencia una decisión consciente del Constituyente de excluirla del diseño institucional (Informe sesión plenaria del 20 de mayo de 1991, p.95).  </w:t>
      </w:r>
    </w:p>
  </w:footnote>
  <w:footnote w:id="148">
    <w:p w14:paraId="0AB0668A" w14:textId="77777777" w:rsidR="00A03B4C" w:rsidRDefault="00B808B5" w:rsidP="00B808B5">
      <w:pPr>
        <w:pStyle w:val="Textonotapie"/>
      </w:pPr>
      <w:r w:rsidRPr="0037183F">
        <w:rPr>
          <w:rFonts w:ascii="Times New Roman" w:hAnsi="Times New Roman"/>
          <w:vertAlign w:val="superscript"/>
        </w:rPr>
        <w:footnoteRef/>
      </w:r>
      <w:r w:rsidRPr="0037183F">
        <w:rPr>
          <w:rFonts w:ascii="Times New Roman" w:hAnsi="Times New Roman"/>
        </w:rPr>
        <w:t xml:space="preserve"> Como se subrayó en el primer acápite, aunque algunos proyectos contemplaban incluso el control jurídico previo por parte de la Corte Constitucional sobre los decretos legislativos expedidos por el presidente en ejercicio de facultades excepcionales, tales propuestas no fueron acogidas en el diseño finalmente aprobado por la Asamblea Nacional Constituyente (Gaceta Asamblea Nacional Constituyente No. 22, p.1).  </w:t>
      </w:r>
    </w:p>
  </w:footnote>
  <w:footnote w:id="149">
    <w:p w14:paraId="2C5A8317" w14:textId="77777777" w:rsidR="00A03B4C" w:rsidRDefault="00B808B5" w:rsidP="00B808B5">
      <w:pPr>
        <w:pStyle w:val="Textonotapie"/>
      </w:pPr>
      <w:r w:rsidRPr="0037183F">
        <w:rPr>
          <w:rFonts w:ascii="Times New Roman" w:hAnsi="Times New Roman"/>
          <w:vertAlign w:val="superscript"/>
        </w:rPr>
        <w:footnoteRef/>
      </w:r>
      <w:r w:rsidRPr="0037183F">
        <w:rPr>
          <w:rFonts w:ascii="Times New Roman" w:hAnsi="Times New Roman"/>
        </w:rPr>
        <w:t xml:space="preserve"> Véase párrafos 71 y siguientes del Auto 082 de 2026.  </w:t>
      </w:r>
    </w:p>
  </w:footnote>
  <w:footnote w:id="150">
    <w:p w14:paraId="2763E3B9" w14:textId="77777777" w:rsidR="00A03B4C" w:rsidRDefault="00B808B5" w:rsidP="00B808B5">
      <w:pPr>
        <w:pStyle w:val="Textonotapie"/>
      </w:pPr>
      <w:r w:rsidRPr="0037183F">
        <w:rPr>
          <w:rFonts w:ascii="Times New Roman" w:hAnsi="Times New Roman"/>
          <w:vertAlign w:val="superscript"/>
        </w:rPr>
        <w:footnoteRef/>
      </w:r>
      <w:r w:rsidRPr="00B808B5">
        <w:rPr>
          <w:rFonts w:ascii="Times New Roman" w:hAnsi="Times New Roman"/>
          <w:lang w:val="pt-PT"/>
        </w:rPr>
        <w:t xml:space="preserve"> Corte Constitucional, Sentencia C-179 de 1994.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13FE8"/>
    <w:multiLevelType w:val="multilevel"/>
    <w:tmpl w:val="FFFFFFFF"/>
    <w:lvl w:ilvl="0">
      <w:start w:val="4"/>
      <w:numFmt w:val="decimal"/>
      <w:lvlText w:val="%1."/>
      <w:lvlJc w:val="left"/>
      <w:pPr>
        <w:ind w:left="420" w:hanging="420"/>
      </w:pPr>
      <w:rPr>
        <w:rFonts w:cs="Times New Roman" w:hint="default"/>
      </w:rPr>
    </w:lvl>
    <w:lvl w:ilvl="1">
      <w:start w:val="2"/>
      <w:numFmt w:val="decimal"/>
      <w:lvlText w:val="%1.%2."/>
      <w:lvlJc w:val="left"/>
      <w:pPr>
        <w:ind w:left="1077" w:hanging="720"/>
      </w:pPr>
      <w:rPr>
        <w:rFonts w:cs="Times New Roman" w:hint="default"/>
      </w:rPr>
    </w:lvl>
    <w:lvl w:ilvl="2">
      <w:start w:val="1"/>
      <w:numFmt w:val="decimal"/>
      <w:lvlText w:val="%1.%2.%3."/>
      <w:lvlJc w:val="left"/>
      <w:pPr>
        <w:ind w:left="1434" w:hanging="720"/>
      </w:pPr>
      <w:rPr>
        <w:rFonts w:cs="Times New Roman" w:hint="default"/>
      </w:rPr>
    </w:lvl>
    <w:lvl w:ilvl="3">
      <w:start w:val="1"/>
      <w:numFmt w:val="decimal"/>
      <w:lvlText w:val="%1.%2.%3.%4."/>
      <w:lvlJc w:val="left"/>
      <w:pPr>
        <w:ind w:left="2151" w:hanging="1080"/>
      </w:pPr>
      <w:rPr>
        <w:rFonts w:cs="Times New Roman" w:hint="default"/>
      </w:rPr>
    </w:lvl>
    <w:lvl w:ilvl="4">
      <w:start w:val="1"/>
      <w:numFmt w:val="decimal"/>
      <w:lvlText w:val="%1.%2.%3.%4.%5."/>
      <w:lvlJc w:val="left"/>
      <w:pPr>
        <w:ind w:left="2508" w:hanging="1080"/>
      </w:pPr>
      <w:rPr>
        <w:rFonts w:cs="Times New Roman" w:hint="default"/>
      </w:rPr>
    </w:lvl>
    <w:lvl w:ilvl="5">
      <w:start w:val="1"/>
      <w:numFmt w:val="decimal"/>
      <w:lvlText w:val="%1.%2.%3.%4.%5.%6."/>
      <w:lvlJc w:val="left"/>
      <w:pPr>
        <w:ind w:left="3225" w:hanging="1440"/>
      </w:pPr>
      <w:rPr>
        <w:rFonts w:cs="Times New Roman" w:hint="default"/>
      </w:rPr>
    </w:lvl>
    <w:lvl w:ilvl="6">
      <w:start w:val="1"/>
      <w:numFmt w:val="decimal"/>
      <w:lvlText w:val="%1.%2.%3.%4.%5.%6.%7."/>
      <w:lvlJc w:val="left"/>
      <w:pPr>
        <w:ind w:left="3942" w:hanging="1800"/>
      </w:pPr>
      <w:rPr>
        <w:rFonts w:cs="Times New Roman" w:hint="default"/>
      </w:rPr>
    </w:lvl>
    <w:lvl w:ilvl="7">
      <w:start w:val="1"/>
      <w:numFmt w:val="decimal"/>
      <w:lvlText w:val="%1.%2.%3.%4.%5.%6.%7.%8."/>
      <w:lvlJc w:val="left"/>
      <w:pPr>
        <w:ind w:left="4299" w:hanging="1800"/>
      </w:pPr>
      <w:rPr>
        <w:rFonts w:cs="Times New Roman" w:hint="default"/>
      </w:rPr>
    </w:lvl>
    <w:lvl w:ilvl="8">
      <w:start w:val="1"/>
      <w:numFmt w:val="decimal"/>
      <w:lvlText w:val="%1.%2.%3.%4.%5.%6.%7.%8.%9."/>
      <w:lvlJc w:val="left"/>
      <w:pPr>
        <w:ind w:left="5016" w:hanging="2160"/>
      </w:pPr>
      <w:rPr>
        <w:rFonts w:cs="Times New Roman" w:hint="default"/>
      </w:rPr>
    </w:lvl>
  </w:abstractNum>
  <w:abstractNum w:abstractNumId="1" w15:restartNumberingAfterBreak="0">
    <w:nsid w:val="028A203B"/>
    <w:multiLevelType w:val="hybridMultilevel"/>
    <w:tmpl w:val="FFFFFFFF"/>
    <w:lvl w:ilvl="0" w:tplc="240A000F">
      <w:start w:val="1"/>
      <w:numFmt w:val="decimal"/>
      <w:lvlText w:val="%1."/>
      <w:lvlJc w:val="left"/>
      <w:pPr>
        <w:ind w:left="720" w:hanging="360"/>
      </w:pPr>
      <w:rPr>
        <w:rFonts w:cs="Times New Roman" w:hint="default"/>
      </w:rPr>
    </w:lvl>
    <w:lvl w:ilvl="1" w:tplc="240A0019" w:tentative="1">
      <w:start w:val="1"/>
      <w:numFmt w:val="lowerLetter"/>
      <w:lvlText w:val="%2."/>
      <w:lvlJc w:val="left"/>
      <w:pPr>
        <w:ind w:left="1440" w:hanging="360"/>
      </w:pPr>
      <w:rPr>
        <w:rFonts w:cs="Times New Roman"/>
      </w:rPr>
    </w:lvl>
    <w:lvl w:ilvl="2" w:tplc="240A001B" w:tentative="1">
      <w:start w:val="1"/>
      <w:numFmt w:val="lowerRoman"/>
      <w:lvlText w:val="%3."/>
      <w:lvlJc w:val="right"/>
      <w:pPr>
        <w:ind w:left="2160" w:hanging="180"/>
      </w:pPr>
      <w:rPr>
        <w:rFonts w:cs="Times New Roman"/>
      </w:rPr>
    </w:lvl>
    <w:lvl w:ilvl="3" w:tplc="240A000F" w:tentative="1">
      <w:start w:val="1"/>
      <w:numFmt w:val="decimal"/>
      <w:lvlText w:val="%4."/>
      <w:lvlJc w:val="left"/>
      <w:pPr>
        <w:ind w:left="2880" w:hanging="360"/>
      </w:pPr>
      <w:rPr>
        <w:rFonts w:cs="Times New Roman"/>
      </w:rPr>
    </w:lvl>
    <w:lvl w:ilvl="4" w:tplc="240A0019" w:tentative="1">
      <w:start w:val="1"/>
      <w:numFmt w:val="lowerLetter"/>
      <w:lvlText w:val="%5."/>
      <w:lvlJc w:val="left"/>
      <w:pPr>
        <w:ind w:left="3600" w:hanging="360"/>
      </w:pPr>
      <w:rPr>
        <w:rFonts w:cs="Times New Roman"/>
      </w:rPr>
    </w:lvl>
    <w:lvl w:ilvl="5" w:tplc="240A001B" w:tentative="1">
      <w:start w:val="1"/>
      <w:numFmt w:val="lowerRoman"/>
      <w:lvlText w:val="%6."/>
      <w:lvlJc w:val="right"/>
      <w:pPr>
        <w:ind w:left="4320" w:hanging="180"/>
      </w:pPr>
      <w:rPr>
        <w:rFonts w:cs="Times New Roman"/>
      </w:rPr>
    </w:lvl>
    <w:lvl w:ilvl="6" w:tplc="240A000F" w:tentative="1">
      <w:start w:val="1"/>
      <w:numFmt w:val="decimal"/>
      <w:lvlText w:val="%7."/>
      <w:lvlJc w:val="left"/>
      <w:pPr>
        <w:ind w:left="5040" w:hanging="360"/>
      </w:pPr>
      <w:rPr>
        <w:rFonts w:cs="Times New Roman"/>
      </w:rPr>
    </w:lvl>
    <w:lvl w:ilvl="7" w:tplc="240A0019" w:tentative="1">
      <w:start w:val="1"/>
      <w:numFmt w:val="lowerLetter"/>
      <w:lvlText w:val="%8."/>
      <w:lvlJc w:val="left"/>
      <w:pPr>
        <w:ind w:left="5760" w:hanging="360"/>
      </w:pPr>
      <w:rPr>
        <w:rFonts w:cs="Times New Roman"/>
      </w:rPr>
    </w:lvl>
    <w:lvl w:ilvl="8" w:tplc="240A001B" w:tentative="1">
      <w:start w:val="1"/>
      <w:numFmt w:val="lowerRoman"/>
      <w:lvlText w:val="%9."/>
      <w:lvlJc w:val="right"/>
      <w:pPr>
        <w:ind w:left="6480" w:hanging="180"/>
      </w:pPr>
      <w:rPr>
        <w:rFonts w:cs="Times New Roman"/>
      </w:rPr>
    </w:lvl>
  </w:abstractNum>
  <w:abstractNum w:abstractNumId="2" w15:restartNumberingAfterBreak="0">
    <w:nsid w:val="04FFC208"/>
    <w:multiLevelType w:val="hybridMultilevel"/>
    <w:tmpl w:val="FFFFFFFF"/>
    <w:lvl w:ilvl="0" w:tplc="69B6F9D4">
      <w:start w:val="1"/>
      <w:numFmt w:val="decimal"/>
      <w:lvlText w:val="%1."/>
      <w:lvlJc w:val="left"/>
      <w:pPr>
        <w:ind w:left="720" w:hanging="360"/>
      </w:pPr>
      <w:rPr>
        <w:rFonts w:cs="Times New Roman"/>
      </w:rPr>
    </w:lvl>
    <w:lvl w:ilvl="1" w:tplc="CC60FBD2">
      <w:start w:val="1"/>
      <w:numFmt w:val="lowerLetter"/>
      <w:lvlText w:val="%2."/>
      <w:lvlJc w:val="left"/>
      <w:pPr>
        <w:ind w:left="1440" w:hanging="360"/>
      </w:pPr>
      <w:rPr>
        <w:rFonts w:cs="Times New Roman"/>
      </w:rPr>
    </w:lvl>
    <w:lvl w:ilvl="2" w:tplc="4FC0F8DA">
      <w:start w:val="1"/>
      <w:numFmt w:val="lowerRoman"/>
      <w:lvlText w:val="%3."/>
      <w:lvlJc w:val="right"/>
      <w:pPr>
        <w:ind w:left="2160" w:hanging="180"/>
      </w:pPr>
      <w:rPr>
        <w:rFonts w:cs="Times New Roman"/>
      </w:rPr>
    </w:lvl>
    <w:lvl w:ilvl="3" w:tplc="7BFE458C">
      <w:start w:val="1"/>
      <w:numFmt w:val="decimal"/>
      <w:lvlText w:val="%4."/>
      <w:lvlJc w:val="left"/>
      <w:pPr>
        <w:ind w:left="2880" w:hanging="360"/>
      </w:pPr>
      <w:rPr>
        <w:rFonts w:cs="Times New Roman"/>
      </w:rPr>
    </w:lvl>
    <w:lvl w:ilvl="4" w:tplc="A290DFEC">
      <w:start w:val="1"/>
      <w:numFmt w:val="lowerLetter"/>
      <w:lvlText w:val="%5."/>
      <w:lvlJc w:val="left"/>
      <w:pPr>
        <w:ind w:left="3600" w:hanging="360"/>
      </w:pPr>
      <w:rPr>
        <w:rFonts w:cs="Times New Roman"/>
      </w:rPr>
    </w:lvl>
    <w:lvl w:ilvl="5" w:tplc="07629148">
      <w:start w:val="1"/>
      <w:numFmt w:val="lowerRoman"/>
      <w:lvlText w:val="%6."/>
      <w:lvlJc w:val="right"/>
      <w:pPr>
        <w:ind w:left="4320" w:hanging="180"/>
      </w:pPr>
      <w:rPr>
        <w:rFonts w:cs="Times New Roman"/>
      </w:rPr>
    </w:lvl>
    <w:lvl w:ilvl="6" w:tplc="FF10A82C">
      <w:start w:val="1"/>
      <w:numFmt w:val="decimal"/>
      <w:lvlText w:val="%7."/>
      <w:lvlJc w:val="left"/>
      <w:pPr>
        <w:ind w:left="5040" w:hanging="360"/>
      </w:pPr>
      <w:rPr>
        <w:rFonts w:cs="Times New Roman"/>
      </w:rPr>
    </w:lvl>
    <w:lvl w:ilvl="7" w:tplc="20BC1D2C">
      <w:start w:val="1"/>
      <w:numFmt w:val="lowerLetter"/>
      <w:lvlText w:val="%8."/>
      <w:lvlJc w:val="left"/>
      <w:pPr>
        <w:ind w:left="5760" w:hanging="360"/>
      </w:pPr>
      <w:rPr>
        <w:rFonts w:cs="Times New Roman"/>
      </w:rPr>
    </w:lvl>
    <w:lvl w:ilvl="8" w:tplc="73E0D002">
      <w:start w:val="1"/>
      <w:numFmt w:val="lowerRoman"/>
      <w:lvlText w:val="%9."/>
      <w:lvlJc w:val="right"/>
      <w:pPr>
        <w:ind w:left="6480" w:hanging="180"/>
      </w:pPr>
      <w:rPr>
        <w:rFonts w:cs="Times New Roman"/>
      </w:rPr>
    </w:lvl>
  </w:abstractNum>
  <w:abstractNum w:abstractNumId="3" w15:restartNumberingAfterBreak="0">
    <w:nsid w:val="057808E7"/>
    <w:multiLevelType w:val="hybridMultilevel"/>
    <w:tmpl w:val="FFFFFFFF"/>
    <w:lvl w:ilvl="0" w:tplc="F1F84700">
      <w:start w:val="1"/>
      <w:numFmt w:val="decimal"/>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4" w15:restartNumberingAfterBreak="0">
    <w:nsid w:val="06046E8E"/>
    <w:multiLevelType w:val="multilevel"/>
    <w:tmpl w:val="FFFFFFFF"/>
    <w:lvl w:ilvl="0">
      <w:start w:val="5"/>
      <w:numFmt w:val="decimal"/>
      <w:lvlText w:val="%1."/>
      <w:lvlJc w:val="left"/>
      <w:pPr>
        <w:ind w:left="675" w:hanging="675"/>
      </w:pPr>
      <w:rPr>
        <w:rFonts w:cs="Times New Roman" w:hint="default"/>
      </w:rPr>
    </w:lvl>
    <w:lvl w:ilvl="1">
      <w:start w:val="1"/>
      <w:numFmt w:val="decimal"/>
      <w:lvlText w:val="%1.%2."/>
      <w:lvlJc w:val="left"/>
      <w:pPr>
        <w:ind w:left="1080" w:hanging="72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960" w:hanging="180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5040" w:hanging="2160"/>
      </w:pPr>
      <w:rPr>
        <w:rFonts w:cs="Times New Roman" w:hint="default"/>
      </w:rPr>
    </w:lvl>
  </w:abstractNum>
  <w:abstractNum w:abstractNumId="5" w15:restartNumberingAfterBreak="0">
    <w:nsid w:val="08D461C2"/>
    <w:multiLevelType w:val="multilevel"/>
    <w:tmpl w:val="FFFFFFFF"/>
    <w:lvl w:ilvl="0">
      <w:start w:val="3"/>
      <w:numFmt w:val="decimal"/>
      <w:lvlText w:val="%1."/>
      <w:lvlJc w:val="left"/>
      <w:pPr>
        <w:ind w:left="420" w:hanging="420"/>
      </w:pPr>
      <w:rPr>
        <w:rFonts w:cs="Times New Roman" w:hint="default"/>
      </w:rPr>
    </w:lvl>
    <w:lvl w:ilvl="1">
      <w:start w:val="2"/>
      <w:numFmt w:val="decimal"/>
      <w:lvlText w:val="%1.%2."/>
      <w:lvlJc w:val="left"/>
      <w:pPr>
        <w:ind w:left="1077" w:hanging="720"/>
      </w:pPr>
      <w:rPr>
        <w:rFonts w:cs="Times New Roman" w:hint="default"/>
      </w:rPr>
    </w:lvl>
    <w:lvl w:ilvl="2">
      <w:start w:val="1"/>
      <w:numFmt w:val="decimal"/>
      <w:lvlText w:val="%1.%2.%3."/>
      <w:lvlJc w:val="left"/>
      <w:pPr>
        <w:ind w:left="1434" w:hanging="720"/>
      </w:pPr>
      <w:rPr>
        <w:rFonts w:cs="Times New Roman" w:hint="default"/>
      </w:rPr>
    </w:lvl>
    <w:lvl w:ilvl="3">
      <w:start w:val="1"/>
      <w:numFmt w:val="decimal"/>
      <w:lvlText w:val="%1.%2.%3.%4."/>
      <w:lvlJc w:val="left"/>
      <w:pPr>
        <w:ind w:left="2151" w:hanging="1080"/>
      </w:pPr>
      <w:rPr>
        <w:rFonts w:cs="Times New Roman" w:hint="default"/>
      </w:rPr>
    </w:lvl>
    <w:lvl w:ilvl="4">
      <w:start w:val="1"/>
      <w:numFmt w:val="decimal"/>
      <w:lvlText w:val="%1.%2.%3.%4.%5."/>
      <w:lvlJc w:val="left"/>
      <w:pPr>
        <w:ind w:left="2508" w:hanging="1080"/>
      </w:pPr>
      <w:rPr>
        <w:rFonts w:cs="Times New Roman" w:hint="default"/>
      </w:rPr>
    </w:lvl>
    <w:lvl w:ilvl="5">
      <w:start w:val="1"/>
      <w:numFmt w:val="decimal"/>
      <w:lvlText w:val="%1.%2.%3.%4.%5.%6."/>
      <w:lvlJc w:val="left"/>
      <w:pPr>
        <w:ind w:left="3225" w:hanging="1440"/>
      </w:pPr>
      <w:rPr>
        <w:rFonts w:cs="Times New Roman" w:hint="default"/>
      </w:rPr>
    </w:lvl>
    <w:lvl w:ilvl="6">
      <w:start w:val="1"/>
      <w:numFmt w:val="decimal"/>
      <w:lvlText w:val="%1.%2.%3.%4.%5.%6.%7."/>
      <w:lvlJc w:val="left"/>
      <w:pPr>
        <w:ind w:left="3942" w:hanging="1800"/>
      </w:pPr>
      <w:rPr>
        <w:rFonts w:cs="Times New Roman" w:hint="default"/>
      </w:rPr>
    </w:lvl>
    <w:lvl w:ilvl="7">
      <w:start w:val="1"/>
      <w:numFmt w:val="decimal"/>
      <w:lvlText w:val="%1.%2.%3.%4.%5.%6.%7.%8."/>
      <w:lvlJc w:val="left"/>
      <w:pPr>
        <w:ind w:left="4299" w:hanging="1800"/>
      </w:pPr>
      <w:rPr>
        <w:rFonts w:cs="Times New Roman" w:hint="default"/>
      </w:rPr>
    </w:lvl>
    <w:lvl w:ilvl="8">
      <w:start w:val="1"/>
      <w:numFmt w:val="decimal"/>
      <w:lvlText w:val="%1.%2.%3.%4.%5.%6.%7.%8.%9."/>
      <w:lvlJc w:val="left"/>
      <w:pPr>
        <w:ind w:left="5016" w:hanging="2160"/>
      </w:pPr>
      <w:rPr>
        <w:rFonts w:cs="Times New Roman" w:hint="default"/>
      </w:rPr>
    </w:lvl>
  </w:abstractNum>
  <w:abstractNum w:abstractNumId="6" w15:restartNumberingAfterBreak="0">
    <w:nsid w:val="0CF6593E"/>
    <w:multiLevelType w:val="hybridMultilevel"/>
    <w:tmpl w:val="FFFFFFFF"/>
    <w:lvl w:ilvl="0" w:tplc="FFFFFFFF">
      <w:start w:val="1"/>
      <w:numFmt w:val="lowerLetter"/>
      <w:lvlText w:val="%1)"/>
      <w:lvlJc w:val="left"/>
      <w:pPr>
        <w:ind w:left="644" w:hanging="360"/>
      </w:pPr>
      <w:rPr>
        <w:rFonts w:cs="Times New Roman" w:hint="default"/>
        <w:b/>
      </w:rPr>
    </w:lvl>
    <w:lvl w:ilvl="1" w:tplc="FFFFFFFF" w:tentative="1">
      <w:start w:val="1"/>
      <w:numFmt w:val="lowerLetter"/>
      <w:lvlText w:val="%2."/>
      <w:lvlJc w:val="left"/>
      <w:pPr>
        <w:ind w:left="1364" w:hanging="360"/>
      </w:pPr>
      <w:rPr>
        <w:rFonts w:cs="Times New Roman"/>
      </w:rPr>
    </w:lvl>
    <w:lvl w:ilvl="2" w:tplc="FFFFFFFF" w:tentative="1">
      <w:start w:val="1"/>
      <w:numFmt w:val="lowerRoman"/>
      <w:lvlText w:val="%3."/>
      <w:lvlJc w:val="right"/>
      <w:pPr>
        <w:ind w:left="2084" w:hanging="180"/>
      </w:pPr>
      <w:rPr>
        <w:rFonts w:cs="Times New Roman"/>
      </w:rPr>
    </w:lvl>
    <w:lvl w:ilvl="3" w:tplc="FFFFFFFF" w:tentative="1">
      <w:start w:val="1"/>
      <w:numFmt w:val="decimal"/>
      <w:lvlText w:val="%4."/>
      <w:lvlJc w:val="left"/>
      <w:pPr>
        <w:ind w:left="2804" w:hanging="360"/>
      </w:pPr>
      <w:rPr>
        <w:rFonts w:cs="Times New Roman"/>
      </w:rPr>
    </w:lvl>
    <w:lvl w:ilvl="4" w:tplc="FFFFFFFF" w:tentative="1">
      <w:start w:val="1"/>
      <w:numFmt w:val="lowerLetter"/>
      <w:lvlText w:val="%5."/>
      <w:lvlJc w:val="left"/>
      <w:pPr>
        <w:ind w:left="3524" w:hanging="360"/>
      </w:pPr>
      <w:rPr>
        <w:rFonts w:cs="Times New Roman"/>
      </w:rPr>
    </w:lvl>
    <w:lvl w:ilvl="5" w:tplc="FFFFFFFF" w:tentative="1">
      <w:start w:val="1"/>
      <w:numFmt w:val="lowerRoman"/>
      <w:lvlText w:val="%6."/>
      <w:lvlJc w:val="right"/>
      <w:pPr>
        <w:ind w:left="4244" w:hanging="180"/>
      </w:pPr>
      <w:rPr>
        <w:rFonts w:cs="Times New Roman"/>
      </w:rPr>
    </w:lvl>
    <w:lvl w:ilvl="6" w:tplc="FFFFFFFF" w:tentative="1">
      <w:start w:val="1"/>
      <w:numFmt w:val="decimal"/>
      <w:lvlText w:val="%7."/>
      <w:lvlJc w:val="left"/>
      <w:pPr>
        <w:ind w:left="4964" w:hanging="360"/>
      </w:pPr>
      <w:rPr>
        <w:rFonts w:cs="Times New Roman"/>
      </w:rPr>
    </w:lvl>
    <w:lvl w:ilvl="7" w:tplc="FFFFFFFF" w:tentative="1">
      <w:start w:val="1"/>
      <w:numFmt w:val="lowerLetter"/>
      <w:lvlText w:val="%8."/>
      <w:lvlJc w:val="left"/>
      <w:pPr>
        <w:ind w:left="5684" w:hanging="360"/>
      </w:pPr>
      <w:rPr>
        <w:rFonts w:cs="Times New Roman"/>
      </w:rPr>
    </w:lvl>
    <w:lvl w:ilvl="8" w:tplc="FFFFFFFF" w:tentative="1">
      <w:start w:val="1"/>
      <w:numFmt w:val="lowerRoman"/>
      <w:lvlText w:val="%9."/>
      <w:lvlJc w:val="right"/>
      <w:pPr>
        <w:ind w:left="6404" w:hanging="180"/>
      </w:pPr>
      <w:rPr>
        <w:rFonts w:cs="Times New Roman"/>
      </w:rPr>
    </w:lvl>
  </w:abstractNum>
  <w:abstractNum w:abstractNumId="7" w15:restartNumberingAfterBreak="0">
    <w:nsid w:val="0DFC227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F1A986"/>
    <w:multiLevelType w:val="hybridMultilevel"/>
    <w:tmpl w:val="FFFFFFFF"/>
    <w:lvl w:ilvl="0" w:tplc="C4068D5E">
      <w:start w:val="1"/>
      <w:numFmt w:val="decimal"/>
      <w:lvlText w:val="%1."/>
      <w:lvlJc w:val="left"/>
      <w:pPr>
        <w:ind w:left="720" w:hanging="360"/>
      </w:pPr>
      <w:rPr>
        <w:rFonts w:cs="Times New Roman"/>
      </w:rPr>
    </w:lvl>
    <w:lvl w:ilvl="1" w:tplc="FC18C4D6">
      <w:start w:val="1"/>
      <w:numFmt w:val="lowerLetter"/>
      <w:lvlText w:val="%2."/>
      <w:lvlJc w:val="left"/>
      <w:pPr>
        <w:ind w:left="1440" w:hanging="360"/>
      </w:pPr>
      <w:rPr>
        <w:rFonts w:cs="Times New Roman"/>
      </w:rPr>
    </w:lvl>
    <w:lvl w:ilvl="2" w:tplc="C97E5ED8">
      <w:start w:val="1"/>
      <w:numFmt w:val="lowerRoman"/>
      <w:lvlText w:val="%3."/>
      <w:lvlJc w:val="right"/>
      <w:pPr>
        <w:ind w:left="2160" w:hanging="180"/>
      </w:pPr>
      <w:rPr>
        <w:rFonts w:cs="Times New Roman"/>
      </w:rPr>
    </w:lvl>
    <w:lvl w:ilvl="3" w:tplc="F1247180">
      <w:start w:val="1"/>
      <w:numFmt w:val="decimal"/>
      <w:lvlText w:val="%4."/>
      <w:lvlJc w:val="left"/>
      <w:pPr>
        <w:ind w:left="2880" w:hanging="360"/>
      </w:pPr>
      <w:rPr>
        <w:rFonts w:cs="Times New Roman"/>
      </w:rPr>
    </w:lvl>
    <w:lvl w:ilvl="4" w:tplc="B594843C">
      <w:start w:val="1"/>
      <w:numFmt w:val="lowerLetter"/>
      <w:lvlText w:val="%5."/>
      <w:lvlJc w:val="left"/>
      <w:pPr>
        <w:ind w:left="3600" w:hanging="360"/>
      </w:pPr>
      <w:rPr>
        <w:rFonts w:cs="Times New Roman"/>
      </w:rPr>
    </w:lvl>
    <w:lvl w:ilvl="5" w:tplc="7AEC1758">
      <w:start w:val="1"/>
      <w:numFmt w:val="lowerRoman"/>
      <w:lvlText w:val="%6."/>
      <w:lvlJc w:val="right"/>
      <w:pPr>
        <w:ind w:left="4320" w:hanging="180"/>
      </w:pPr>
      <w:rPr>
        <w:rFonts w:cs="Times New Roman"/>
      </w:rPr>
    </w:lvl>
    <w:lvl w:ilvl="6" w:tplc="EEDAE358">
      <w:start w:val="1"/>
      <w:numFmt w:val="decimal"/>
      <w:lvlText w:val="%7."/>
      <w:lvlJc w:val="left"/>
      <w:pPr>
        <w:ind w:left="5040" w:hanging="360"/>
      </w:pPr>
      <w:rPr>
        <w:rFonts w:cs="Times New Roman"/>
      </w:rPr>
    </w:lvl>
    <w:lvl w:ilvl="7" w:tplc="33BE8A40">
      <w:start w:val="1"/>
      <w:numFmt w:val="lowerLetter"/>
      <w:lvlText w:val="%8."/>
      <w:lvlJc w:val="left"/>
      <w:pPr>
        <w:ind w:left="5760" w:hanging="360"/>
      </w:pPr>
      <w:rPr>
        <w:rFonts w:cs="Times New Roman"/>
      </w:rPr>
    </w:lvl>
    <w:lvl w:ilvl="8" w:tplc="3E44055C">
      <w:start w:val="1"/>
      <w:numFmt w:val="lowerRoman"/>
      <w:lvlText w:val="%9."/>
      <w:lvlJc w:val="right"/>
      <w:pPr>
        <w:ind w:left="6480" w:hanging="180"/>
      </w:pPr>
      <w:rPr>
        <w:rFonts w:cs="Times New Roman"/>
      </w:rPr>
    </w:lvl>
  </w:abstractNum>
  <w:abstractNum w:abstractNumId="9" w15:restartNumberingAfterBreak="0">
    <w:nsid w:val="113C4DF8"/>
    <w:multiLevelType w:val="hybridMultilevel"/>
    <w:tmpl w:val="FFFFFFFF"/>
    <w:lvl w:ilvl="0" w:tplc="080A000F">
      <w:start w:val="1"/>
      <w:numFmt w:val="decimal"/>
      <w:lvlText w:val="%1."/>
      <w:lvlJc w:val="left"/>
      <w:pPr>
        <w:ind w:left="360" w:hanging="360"/>
      </w:pPr>
      <w:rPr>
        <w:rFonts w:cs="Times New Roman"/>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0" w15:restartNumberingAfterBreak="0">
    <w:nsid w:val="1227FDE6"/>
    <w:multiLevelType w:val="hybridMultilevel"/>
    <w:tmpl w:val="FFFFFFFF"/>
    <w:lvl w:ilvl="0" w:tplc="A24268F8">
      <w:start w:val="1"/>
      <w:numFmt w:val="decimal"/>
      <w:lvlText w:val="%1."/>
      <w:lvlJc w:val="left"/>
      <w:pPr>
        <w:ind w:left="720" w:hanging="360"/>
      </w:pPr>
      <w:rPr>
        <w:rFonts w:cs="Times New Roman"/>
      </w:rPr>
    </w:lvl>
    <w:lvl w:ilvl="1" w:tplc="4DFE693C">
      <w:start w:val="1"/>
      <w:numFmt w:val="lowerLetter"/>
      <w:lvlText w:val="%2."/>
      <w:lvlJc w:val="left"/>
      <w:pPr>
        <w:ind w:left="1440" w:hanging="360"/>
      </w:pPr>
      <w:rPr>
        <w:rFonts w:cs="Times New Roman"/>
      </w:rPr>
    </w:lvl>
    <w:lvl w:ilvl="2" w:tplc="838AACC4">
      <w:start w:val="1"/>
      <w:numFmt w:val="lowerRoman"/>
      <w:lvlText w:val="%3."/>
      <w:lvlJc w:val="right"/>
      <w:pPr>
        <w:ind w:left="2160" w:hanging="180"/>
      </w:pPr>
      <w:rPr>
        <w:rFonts w:cs="Times New Roman"/>
      </w:rPr>
    </w:lvl>
    <w:lvl w:ilvl="3" w:tplc="5F42D0C6">
      <w:start w:val="1"/>
      <w:numFmt w:val="decimal"/>
      <w:lvlText w:val="%4."/>
      <w:lvlJc w:val="left"/>
      <w:pPr>
        <w:ind w:left="2880" w:hanging="360"/>
      </w:pPr>
      <w:rPr>
        <w:rFonts w:cs="Times New Roman"/>
      </w:rPr>
    </w:lvl>
    <w:lvl w:ilvl="4" w:tplc="CF847BC2">
      <w:start w:val="1"/>
      <w:numFmt w:val="lowerLetter"/>
      <w:lvlText w:val="%5."/>
      <w:lvlJc w:val="left"/>
      <w:pPr>
        <w:ind w:left="3600" w:hanging="360"/>
      </w:pPr>
      <w:rPr>
        <w:rFonts w:cs="Times New Roman"/>
      </w:rPr>
    </w:lvl>
    <w:lvl w:ilvl="5" w:tplc="5184A464">
      <w:start w:val="1"/>
      <w:numFmt w:val="lowerRoman"/>
      <w:lvlText w:val="%6."/>
      <w:lvlJc w:val="right"/>
      <w:pPr>
        <w:ind w:left="4320" w:hanging="180"/>
      </w:pPr>
      <w:rPr>
        <w:rFonts w:cs="Times New Roman"/>
      </w:rPr>
    </w:lvl>
    <w:lvl w:ilvl="6" w:tplc="0C9E7F1E">
      <w:start w:val="1"/>
      <w:numFmt w:val="decimal"/>
      <w:lvlText w:val="%7."/>
      <w:lvlJc w:val="left"/>
      <w:pPr>
        <w:ind w:left="5040" w:hanging="360"/>
      </w:pPr>
      <w:rPr>
        <w:rFonts w:cs="Times New Roman"/>
      </w:rPr>
    </w:lvl>
    <w:lvl w:ilvl="7" w:tplc="186C6AB8">
      <w:start w:val="1"/>
      <w:numFmt w:val="lowerLetter"/>
      <w:lvlText w:val="%8."/>
      <w:lvlJc w:val="left"/>
      <w:pPr>
        <w:ind w:left="5760" w:hanging="360"/>
      </w:pPr>
      <w:rPr>
        <w:rFonts w:cs="Times New Roman"/>
      </w:rPr>
    </w:lvl>
    <w:lvl w:ilvl="8" w:tplc="9C9EE904">
      <w:start w:val="1"/>
      <w:numFmt w:val="lowerRoman"/>
      <w:lvlText w:val="%9."/>
      <w:lvlJc w:val="right"/>
      <w:pPr>
        <w:ind w:left="6480" w:hanging="180"/>
      </w:pPr>
      <w:rPr>
        <w:rFonts w:cs="Times New Roman"/>
      </w:rPr>
    </w:lvl>
  </w:abstractNum>
  <w:abstractNum w:abstractNumId="11" w15:restartNumberingAfterBreak="0">
    <w:nsid w:val="13C068DF"/>
    <w:multiLevelType w:val="hybridMultilevel"/>
    <w:tmpl w:val="FFFFFFFF"/>
    <w:lvl w:ilvl="0" w:tplc="9FC25322">
      <w:start w:val="1"/>
      <w:numFmt w:val="lowerLetter"/>
      <w:lvlText w:val="%1)"/>
      <w:lvlJc w:val="left"/>
      <w:pPr>
        <w:ind w:left="644" w:hanging="360"/>
      </w:pPr>
      <w:rPr>
        <w:rFonts w:cs="Times New Roman" w:hint="default"/>
        <w:b/>
      </w:rPr>
    </w:lvl>
    <w:lvl w:ilvl="1" w:tplc="240A0019" w:tentative="1">
      <w:start w:val="1"/>
      <w:numFmt w:val="lowerLetter"/>
      <w:lvlText w:val="%2."/>
      <w:lvlJc w:val="left"/>
      <w:pPr>
        <w:ind w:left="1364" w:hanging="360"/>
      </w:pPr>
      <w:rPr>
        <w:rFonts w:cs="Times New Roman"/>
      </w:rPr>
    </w:lvl>
    <w:lvl w:ilvl="2" w:tplc="240A001B" w:tentative="1">
      <w:start w:val="1"/>
      <w:numFmt w:val="lowerRoman"/>
      <w:lvlText w:val="%3."/>
      <w:lvlJc w:val="right"/>
      <w:pPr>
        <w:ind w:left="2084" w:hanging="180"/>
      </w:pPr>
      <w:rPr>
        <w:rFonts w:cs="Times New Roman"/>
      </w:rPr>
    </w:lvl>
    <w:lvl w:ilvl="3" w:tplc="240A000F" w:tentative="1">
      <w:start w:val="1"/>
      <w:numFmt w:val="decimal"/>
      <w:lvlText w:val="%4."/>
      <w:lvlJc w:val="left"/>
      <w:pPr>
        <w:ind w:left="2804" w:hanging="360"/>
      </w:pPr>
      <w:rPr>
        <w:rFonts w:cs="Times New Roman"/>
      </w:rPr>
    </w:lvl>
    <w:lvl w:ilvl="4" w:tplc="240A0019" w:tentative="1">
      <w:start w:val="1"/>
      <w:numFmt w:val="lowerLetter"/>
      <w:lvlText w:val="%5."/>
      <w:lvlJc w:val="left"/>
      <w:pPr>
        <w:ind w:left="3524" w:hanging="360"/>
      </w:pPr>
      <w:rPr>
        <w:rFonts w:cs="Times New Roman"/>
      </w:rPr>
    </w:lvl>
    <w:lvl w:ilvl="5" w:tplc="240A001B" w:tentative="1">
      <w:start w:val="1"/>
      <w:numFmt w:val="lowerRoman"/>
      <w:lvlText w:val="%6."/>
      <w:lvlJc w:val="right"/>
      <w:pPr>
        <w:ind w:left="4244" w:hanging="180"/>
      </w:pPr>
      <w:rPr>
        <w:rFonts w:cs="Times New Roman"/>
      </w:rPr>
    </w:lvl>
    <w:lvl w:ilvl="6" w:tplc="240A000F" w:tentative="1">
      <w:start w:val="1"/>
      <w:numFmt w:val="decimal"/>
      <w:lvlText w:val="%7."/>
      <w:lvlJc w:val="left"/>
      <w:pPr>
        <w:ind w:left="4964" w:hanging="360"/>
      </w:pPr>
      <w:rPr>
        <w:rFonts w:cs="Times New Roman"/>
      </w:rPr>
    </w:lvl>
    <w:lvl w:ilvl="7" w:tplc="240A0019" w:tentative="1">
      <w:start w:val="1"/>
      <w:numFmt w:val="lowerLetter"/>
      <w:lvlText w:val="%8."/>
      <w:lvlJc w:val="left"/>
      <w:pPr>
        <w:ind w:left="5684" w:hanging="360"/>
      </w:pPr>
      <w:rPr>
        <w:rFonts w:cs="Times New Roman"/>
      </w:rPr>
    </w:lvl>
    <w:lvl w:ilvl="8" w:tplc="240A001B" w:tentative="1">
      <w:start w:val="1"/>
      <w:numFmt w:val="lowerRoman"/>
      <w:lvlText w:val="%9."/>
      <w:lvlJc w:val="right"/>
      <w:pPr>
        <w:ind w:left="6404" w:hanging="180"/>
      </w:pPr>
      <w:rPr>
        <w:rFonts w:cs="Times New Roman"/>
      </w:rPr>
    </w:lvl>
  </w:abstractNum>
  <w:abstractNum w:abstractNumId="12" w15:restartNumberingAfterBreak="0">
    <w:nsid w:val="13C932AE"/>
    <w:multiLevelType w:val="hybridMultilevel"/>
    <w:tmpl w:val="FFFFFFFF"/>
    <w:lvl w:ilvl="0" w:tplc="F9E0B3D4">
      <w:start w:val="1"/>
      <w:numFmt w:val="lowerLetter"/>
      <w:pStyle w:val="Subttulo2"/>
      <w:lvlText w:val="%1)"/>
      <w:lvlJc w:val="left"/>
      <w:pPr>
        <w:ind w:left="720" w:hanging="360"/>
      </w:pPr>
      <w:rPr>
        <w:rFonts w:cs="Times New Roman"/>
      </w:rPr>
    </w:lvl>
    <w:lvl w:ilvl="1" w:tplc="240A0019" w:tentative="1">
      <w:start w:val="1"/>
      <w:numFmt w:val="lowerLetter"/>
      <w:lvlText w:val="%2."/>
      <w:lvlJc w:val="left"/>
      <w:pPr>
        <w:ind w:left="1440" w:hanging="360"/>
      </w:pPr>
      <w:rPr>
        <w:rFonts w:cs="Times New Roman"/>
      </w:rPr>
    </w:lvl>
    <w:lvl w:ilvl="2" w:tplc="240A001B" w:tentative="1">
      <w:start w:val="1"/>
      <w:numFmt w:val="lowerRoman"/>
      <w:lvlText w:val="%3."/>
      <w:lvlJc w:val="right"/>
      <w:pPr>
        <w:ind w:left="2160" w:hanging="180"/>
      </w:pPr>
      <w:rPr>
        <w:rFonts w:cs="Times New Roman"/>
      </w:rPr>
    </w:lvl>
    <w:lvl w:ilvl="3" w:tplc="240A000F" w:tentative="1">
      <w:start w:val="1"/>
      <w:numFmt w:val="decimal"/>
      <w:lvlText w:val="%4."/>
      <w:lvlJc w:val="left"/>
      <w:pPr>
        <w:ind w:left="2880" w:hanging="360"/>
      </w:pPr>
      <w:rPr>
        <w:rFonts w:cs="Times New Roman"/>
      </w:rPr>
    </w:lvl>
    <w:lvl w:ilvl="4" w:tplc="240A0019" w:tentative="1">
      <w:start w:val="1"/>
      <w:numFmt w:val="lowerLetter"/>
      <w:lvlText w:val="%5."/>
      <w:lvlJc w:val="left"/>
      <w:pPr>
        <w:ind w:left="3600" w:hanging="360"/>
      </w:pPr>
      <w:rPr>
        <w:rFonts w:cs="Times New Roman"/>
      </w:rPr>
    </w:lvl>
    <w:lvl w:ilvl="5" w:tplc="240A001B" w:tentative="1">
      <w:start w:val="1"/>
      <w:numFmt w:val="lowerRoman"/>
      <w:lvlText w:val="%6."/>
      <w:lvlJc w:val="right"/>
      <w:pPr>
        <w:ind w:left="4320" w:hanging="180"/>
      </w:pPr>
      <w:rPr>
        <w:rFonts w:cs="Times New Roman"/>
      </w:rPr>
    </w:lvl>
    <w:lvl w:ilvl="6" w:tplc="240A000F" w:tentative="1">
      <w:start w:val="1"/>
      <w:numFmt w:val="decimal"/>
      <w:lvlText w:val="%7."/>
      <w:lvlJc w:val="left"/>
      <w:pPr>
        <w:ind w:left="5040" w:hanging="360"/>
      </w:pPr>
      <w:rPr>
        <w:rFonts w:cs="Times New Roman"/>
      </w:rPr>
    </w:lvl>
    <w:lvl w:ilvl="7" w:tplc="240A0019" w:tentative="1">
      <w:start w:val="1"/>
      <w:numFmt w:val="lowerLetter"/>
      <w:lvlText w:val="%8."/>
      <w:lvlJc w:val="left"/>
      <w:pPr>
        <w:ind w:left="5760" w:hanging="360"/>
      </w:pPr>
      <w:rPr>
        <w:rFonts w:cs="Times New Roman"/>
      </w:rPr>
    </w:lvl>
    <w:lvl w:ilvl="8" w:tplc="240A001B" w:tentative="1">
      <w:start w:val="1"/>
      <w:numFmt w:val="lowerRoman"/>
      <w:lvlText w:val="%9."/>
      <w:lvlJc w:val="right"/>
      <w:pPr>
        <w:ind w:left="6480" w:hanging="180"/>
      </w:pPr>
      <w:rPr>
        <w:rFonts w:cs="Times New Roman"/>
      </w:rPr>
    </w:lvl>
  </w:abstractNum>
  <w:abstractNum w:abstractNumId="13" w15:restartNumberingAfterBreak="0">
    <w:nsid w:val="1498374C"/>
    <w:multiLevelType w:val="hybridMultilevel"/>
    <w:tmpl w:val="FFFFFFFF"/>
    <w:lvl w:ilvl="0" w:tplc="040A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rPr>
        <w:rFonts w:cs="Times New Roman"/>
      </w:rPr>
    </w:lvl>
    <w:lvl w:ilvl="2" w:tplc="FFFFFFFF">
      <w:start w:val="1"/>
      <w:numFmt w:val="lowerRoman"/>
      <w:lvlText w:val="%3."/>
      <w:lvlJc w:val="right"/>
      <w:pPr>
        <w:ind w:left="2160" w:hanging="180"/>
      </w:pPr>
      <w:rPr>
        <w:rFonts w:cs="Times New Roman"/>
      </w:rPr>
    </w:lvl>
    <w:lvl w:ilvl="3" w:tplc="FFFFFFFF">
      <w:start w:val="1"/>
      <w:numFmt w:val="decimal"/>
      <w:lvlText w:val="%4."/>
      <w:lvlJc w:val="left"/>
      <w:pPr>
        <w:ind w:left="2880" w:hanging="360"/>
      </w:pPr>
      <w:rPr>
        <w:rFonts w:cs="Times New Roman"/>
      </w:rPr>
    </w:lvl>
    <w:lvl w:ilvl="4" w:tplc="FFFFFFFF">
      <w:start w:val="1"/>
      <w:numFmt w:val="lowerLetter"/>
      <w:lvlText w:val="%5."/>
      <w:lvlJc w:val="left"/>
      <w:pPr>
        <w:ind w:left="3600" w:hanging="360"/>
      </w:pPr>
      <w:rPr>
        <w:rFonts w:cs="Times New Roman"/>
      </w:rPr>
    </w:lvl>
    <w:lvl w:ilvl="5" w:tplc="FFFFFFFF">
      <w:start w:val="1"/>
      <w:numFmt w:val="lowerRoman"/>
      <w:lvlText w:val="%6."/>
      <w:lvlJc w:val="right"/>
      <w:pPr>
        <w:ind w:left="4320" w:hanging="180"/>
      </w:pPr>
      <w:rPr>
        <w:rFonts w:cs="Times New Roman"/>
      </w:rPr>
    </w:lvl>
    <w:lvl w:ilvl="6" w:tplc="FFFFFFFF">
      <w:start w:val="1"/>
      <w:numFmt w:val="decimal"/>
      <w:lvlText w:val="%7."/>
      <w:lvlJc w:val="left"/>
      <w:pPr>
        <w:ind w:left="5040" w:hanging="360"/>
      </w:pPr>
      <w:rPr>
        <w:rFonts w:cs="Times New Roman"/>
      </w:rPr>
    </w:lvl>
    <w:lvl w:ilvl="7" w:tplc="FFFFFFFF">
      <w:start w:val="1"/>
      <w:numFmt w:val="lowerLetter"/>
      <w:lvlText w:val="%8."/>
      <w:lvlJc w:val="left"/>
      <w:pPr>
        <w:ind w:left="5760" w:hanging="360"/>
      </w:pPr>
      <w:rPr>
        <w:rFonts w:cs="Times New Roman"/>
      </w:rPr>
    </w:lvl>
    <w:lvl w:ilvl="8" w:tplc="FFFFFFFF">
      <w:start w:val="1"/>
      <w:numFmt w:val="lowerRoman"/>
      <w:lvlText w:val="%9."/>
      <w:lvlJc w:val="right"/>
      <w:pPr>
        <w:ind w:left="6480" w:hanging="180"/>
      </w:pPr>
      <w:rPr>
        <w:rFonts w:cs="Times New Roman"/>
      </w:rPr>
    </w:lvl>
  </w:abstractNum>
  <w:abstractNum w:abstractNumId="14" w15:restartNumberingAfterBreak="0">
    <w:nsid w:val="16A3EF6E"/>
    <w:multiLevelType w:val="hybridMultilevel"/>
    <w:tmpl w:val="FFFFFFFF"/>
    <w:lvl w:ilvl="0" w:tplc="44E0A3A6">
      <w:start w:val="1"/>
      <w:numFmt w:val="decimal"/>
      <w:lvlText w:val="%1."/>
      <w:lvlJc w:val="left"/>
      <w:pPr>
        <w:ind w:left="720" w:hanging="360"/>
      </w:pPr>
      <w:rPr>
        <w:rFonts w:cs="Times New Roman"/>
      </w:rPr>
    </w:lvl>
    <w:lvl w:ilvl="1" w:tplc="8D9E70EA">
      <w:start w:val="1"/>
      <w:numFmt w:val="lowerLetter"/>
      <w:lvlText w:val="%2."/>
      <w:lvlJc w:val="left"/>
      <w:pPr>
        <w:ind w:left="1440" w:hanging="360"/>
      </w:pPr>
      <w:rPr>
        <w:rFonts w:cs="Times New Roman"/>
      </w:rPr>
    </w:lvl>
    <w:lvl w:ilvl="2" w:tplc="613C9EA0">
      <w:start w:val="1"/>
      <w:numFmt w:val="lowerRoman"/>
      <w:lvlText w:val="%3."/>
      <w:lvlJc w:val="right"/>
      <w:pPr>
        <w:ind w:left="2160" w:hanging="180"/>
      </w:pPr>
      <w:rPr>
        <w:rFonts w:cs="Times New Roman"/>
      </w:rPr>
    </w:lvl>
    <w:lvl w:ilvl="3" w:tplc="E5EACA28">
      <w:start w:val="1"/>
      <w:numFmt w:val="decimal"/>
      <w:lvlText w:val="%4."/>
      <w:lvlJc w:val="left"/>
      <w:pPr>
        <w:ind w:left="2880" w:hanging="360"/>
      </w:pPr>
      <w:rPr>
        <w:rFonts w:cs="Times New Roman"/>
      </w:rPr>
    </w:lvl>
    <w:lvl w:ilvl="4" w:tplc="1C1CB762">
      <w:start w:val="1"/>
      <w:numFmt w:val="lowerLetter"/>
      <w:lvlText w:val="%5."/>
      <w:lvlJc w:val="left"/>
      <w:pPr>
        <w:ind w:left="3600" w:hanging="360"/>
      </w:pPr>
      <w:rPr>
        <w:rFonts w:cs="Times New Roman"/>
      </w:rPr>
    </w:lvl>
    <w:lvl w:ilvl="5" w:tplc="A90CA008">
      <w:start w:val="1"/>
      <w:numFmt w:val="lowerRoman"/>
      <w:lvlText w:val="%6."/>
      <w:lvlJc w:val="right"/>
      <w:pPr>
        <w:ind w:left="4320" w:hanging="180"/>
      </w:pPr>
      <w:rPr>
        <w:rFonts w:cs="Times New Roman"/>
      </w:rPr>
    </w:lvl>
    <w:lvl w:ilvl="6" w:tplc="DF32467C">
      <w:start w:val="1"/>
      <w:numFmt w:val="decimal"/>
      <w:lvlText w:val="%7."/>
      <w:lvlJc w:val="left"/>
      <w:pPr>
        <w:ind w:left="5040" w:hanging="360"/>
      </w:pPr>
      <w:rPr>
        <w:rFonts w:cs="Times New Roman"/>
      </w:rPr>
    </w:lvl>
    <w:lvl w:ilvl="7" w:tplc="5C7EBD26">
      <w:start w:val="1"/>
      <w:numFmt w:val="lowerLetter"/>
      <w:lvlText w:val="%8."/>
      <w:lvlJc w:val="left"/>
      <w:pPr>
        <w:ind w:left="5760" w:hanging="360"/>
      </w:pPr>
      <w:rPr>
        <w:rFonts w:cs="Times New Roman"/>
      </w:rPr>
    </w:lvl>
    <w:lvl w:ilvl="8" w:tplc="D79ACE96">
      <w:start w:val="1"/>
      <w:numFmt w:val="lowerRoman"/>
      <w:lvlText w:val="%9."/>
      <w:lvlJc w:val="right"/>
      <w:pPr>
        <w:ind w:left="6480" w:hanging="180"/>
      </w:pPr>
      <w:rPr>
        <w:rFonts w:cs="Times New Roman"/>
      </w:rPr>
    </w:lvl>
  </w:abstractNum>
  <w:abstractNum w:abstractNumId="15" w15:restartNumberingAfterBreak="0">
    <w:nsid w:val="16AF49A3"/>
    <w:multiLevelType w:val="hybridMultilevel"/>
    <w:tmpl w:val="FFFFFFFF"/>
    <w:lvl w:ilvl="0" w:tplc="7BCEF726">
      <w:start w:val="1"/>
      <w:numFmt w:val="decimal"/>
      <w:lvlText w:val="%1."/>
      <w:lvlJc w:val="left"/>
      <w:pPr>
        <w:ind w:left="720" w:hanging="360"/>
      </w:pPr>
      <w:rPr>
        <w:rFonts w:cs="Times New Roman"/>
      </w:rPr>
    </w:lvl>
    <w:lvl w:ilvl="1" w:tplc="F9FE2534">
      <w:start w:val="1"/>
      <w:numFmt w:val="lowerLetter"/>
      <w:lvlText w:val="%2."/>
      <w:lvlJc w:val="left"/>
      <w:pPr>
        <w:ind w:left="1440" w:hanging="360"/>
      </w:pPr>
      <w:rPr>
        <w:rFonts w:cs="Times New Roman"/>
      </w:rPr>
    </w:lvl>
    <w:lvl w:ilvl="2" w:tplc="89FABDF2">
      <w:start w:val="1"/>
      <w:numFmt w:val="lowerRoman"/>
      <w:lvlText w:val="%3."/>
      <w:lvlJc w:val="right"/>
      <w:pPr>
        <w:ind w:left="2160" w:hanging="180"/>
      </w:pPr>
      <w:rPr>
        <w:rFonts w:cs="Times New Roman"/>
      </w:rPr>
    </w:lvl>
    <w:lvl w:ilvl="3" w:tplc="63FE7FCA">
      <w:start w:val="1"/>
      <w:numFmt w:val="decimal"/>
      <w:lvlText w:val="%4."/>
      <w:lvlJc w:val="left"/>
      <w:pPr>
        <w:ind w:left="2880" w:hanging="360"/>
      </w:pPr>
      <w:rPr>
        <w:rFonts w:cs="Times New Roman"/>
      </w:rPr>
    </w:lvl>
    <w:lvl w:ilvl="4" w:tplc="C60C4994">
      <w:start w:val="1"/>
      <w:numFmt w:val="lowerLetter"/>
      <w:lvlText w:val="%5."/>
      <w:lvlJc w:val="left"/>
      <w:pPr>
        <w:ind w:left="3600" w:hanging="360"/>
      </w:pPr>
      <w:rPr>
        <w:rFonts w:cs="Times New Roman"/>
      </w:rPr>
    </w:lvl>
    <w:lvl w:ilvl="5" w:tplc="08EC95C6">
      <w:start w:val="1"/>
      <w:numFmt w:val="lowerRoman"/>
      <w:lvlText w:val="%6."/>
      <w:lvlJc w:val="right"/>
      <w:pPr>
        <w:ind w:left="4320" w:hanging="180"/>
      </w:pPr>
      <w:rPr>
        <w:rFonts w:cs="Times New Roman"/>
      </w:rPr>
    </w:lvl>
    <w:lvl w:ilvl="6" w:tplc="6480F16C">
      <w:start w:val="1"/>
      <w:numFmt w:val="decimal"/>
      <w:lvlText w:val="%7."/>
      <w:lvlJc w:val="left"/>
      <w:pPr>
        <w:ind w:left="5040" w:hanging="360"/>
      </w:pPr>
      <w:rPr>
        <w:rFonts w:cs="Times New Roman"/>
      </w:rPr>
    </w:lvl>
    <w:lvl w:ilvl="7" w:tplc="6A8C08DC">
      <w:start w:val="1"/>
      <w:numFmt w:val="lowerLetter"/>
      <w:lvlText w:val="%8."/>
      <w:lvlJc w:val="left"/>
      <w:pPr>
        <w:ind w:left="5760" w:hanging="360"/>
      </w:pPr>
      <w:rPr>
        <w:rFonts w:cs="Times New Roman"/>
      </w:rPr>
    </w:lvl>
    <w:lvl w:ilvl="8" w:tplc="2C565222">
      <w:start w:val="1"/>
      <w:numFmt w:val="lowerRoman"/>
      <w:lvlText w:val="%9."/>
      <w:lvlJc w:val="right"/>
      <w:pPr>
        <w:ind w:left="6480" w:hanging="180"/>
      </w:pPr>
      <w:rPr>
        <w:rFonts w:cs="Times New Roman"/>
      </w:rPr>
    </w:lvl>
  </w:abstractNum>
  <w:abstractNum w:abstractNumId="16" w15:restartNumberingAfterBreak="0">
    <w:nsid w:val="17AA0C11"/>
    <w:multiLevelType w:val="hybridMultilevel"/>
    <w:tmpl w:val="FFFFFFFF"/>
    <w:lvl w:ilvl="0" w:tplc="CB72669A">
      <w:start w:val="1"/>
      <w:numFmt w:val="lowerRoman"/>
      <w:lvlText w:val="(%1)"/>
      <w:lvlJc w:val="left"/>
      <w:pPr>
        <w:ind w:left="1287" w:hanging="720"/>
      </w:pPr>
      <w:rPr>
        <w:rFonts w:cs="Times New Roman" w:hint="default"/>
      </w:rPr>
    </w:lvl>
    <w:lvl w:ilvl="1" w:tplc="080A0019" w:tentative="1">
      <w:start w:val="1"/>
      <w:numFmt w:val="lowerLetter"/>
      <w:lvlText w:val="%2."/>
      <w:lvlJc w:val="left"/>
      <w:pPr>
        <w:ind w:left="1647" w:hanging="360"/>
      </w:pPr>
      <w:rPr>
        <w:rFonts w:cs="Times New Roman"/>
      </w:rPr>
    </w:lvl>
    <w:lvl w:ilvl="2" w:tplc="080A001B" w:tentative="1">
      <w:start w:val="1"/>
      <w:numFmt w:val="lowerRoman"/>
      <w:lvlText w:val="%3."/>
      <w:lvlJc w:val="right"/>
      <w:pPr>
        <w:ind w:left="2367" w:hanging="180"/>
      </w:pPr>
      <w:rPr>
        <w:rFonts w:cs="Times New Roman"/>
      </w:rPr>
    </w:lvl>
    <w:lvl w:ilvl="3" w:tplc="080A000F" w:tentative="1">
      <w:start w:val="1"/>
      <w:numFmt w:val="decimal"/>
      <w:lvlText w:val="%4."/>
      <w:lvlJc w:val="left"/>
      <w:pPr>
        <w:ind w:left="3087" w:hanging="360"/>
      </w:pPr>
      <w:rPr>
        <w:rFonts w:cs="Times New Roman"/>
      </w:rPr>
    </w:lvl>
    <w:lvl w:ilvl="4" w:tplc="080A0019" w:tentative="1">
      <w:start w:val="1"/>
      <w:numFmt w:val="lowerLetter"/>
      <w:lvlText w:val="%5."/>
      <w:lvlJc w:val="left"/>
      <w:pPr>
        <w:ind w:left="3807" w:hanging="360"/>
      </w:pPr>
      <w:rPr>
        <w:rFonts w:cs="Times New Roman"/>
      </w:rPr>
    </w:lvl>
    <w:lvl w:ilvl="5" w:tplc="080A001B" w:tentative="1">
      <w:start w:val="1"/>
      <w:numFmt w:val="lowerRoman"/>
      <w:lvlText w:val="%6."/>
      <w:lvlJc w:val="right"/>
      <w:pPr>
        <w:ind w:left="4527" w:hanging="180"/>
      </w:pPr>
      <w:rPr>
        <w:rFonts w:cs="Times New Roman"/>
      </w:rPr>
    </w:lvl>
    <w:lvl w:ilvl="6" w:tplc="080A000F" w:tentative="1">
      <w:start w:val="1"/>
      <w:numFmt w:val="decimal"/>
      <w:lvlText w:val="%7."/>
      <w:lvlJc w:val="left"/>
      <w:pPr>
        <w:ind w:left="5247" w:hanging="360"/>
      </w:pPr>
      <w:rPr>
        <w:rFonts w:cs="Times New Roman"/>
      </w:rPr>
    </w:lvl>
    <w:lvl w:ilvl="7" w:tplc="080A0019" w:tentative="1">
      <w:start w:val="1"/>
      <w:numFmt w:val="lowerLetter"/>
      <w:lvlText w:val="%8."/>
      <w:lvlJc w:val="left"/>
      <w:pPr>
        <w:ind w:left="5967" w:hanging="360"/>
      </w:pPr>
      <w:rPr>
        <w:rFonts w:cs="Times New Roman"/>
      </w:rPr>
    </w:lvl>
    <w:lvl w:ilvl="8" w:tplc="080A001B" w:tentative="1">
      <w:start w:val="1"/>
      <w:numFmt w:val="lowerRoman"/>
      <w:lvlText w:val="%9."/>
      <w:lvlJc w:val="right"/>
      <w:pPr>
        <w:ind w:left="6687" w:hanging="180"/>
      </w:pPr>
      <w:rPr>
        <w:rFonts w:cs="Times New Roman"/>
      </w:rPr>
    </w:lvl>
  </w:abstractNum>
  <w:abstractNum w:abstractNumId="17" w15:restartNumberingAfterBreak="0">
    <w:nsid w:val="19BD9E55"/>
    <w:multiLevelType w:val="hybridMultilevel"/>
    <w:tmpl w:val="FFFFFFFF"/>
    <w:lvl w:ilvl="0" w:tplc="F6363486">
      <w:start w:val="1"/>
      <w:numFmt w:val="decimal"/>
      <w:lvlText w:val="%1."/>
      <w:lvlJc w:val="left"/>
      <w:pPr>
        <w:ind w:left="720" w:hanging="360"/>
      </w:pPr>
      <w:rPr>
        <w:rFonts w:cs="Times New Roman"/>
      </w:rPr>
    </w:lvl>
    <w:lvl w:ilvl="1" w:tplc="786EADF8">
      <w:start w:val="1"/>
      <w:numFmt w:val="lowerLetter"/>
      <w:lvlText w:val="%2."/>
      <w:lvlJc w:val="left"/>
      <w:pPr>
        <w:ind w:left="1440" w:hanging="360"/>
      </w:pPr>
      <w:rPr>
        <w:rFonts w:cs="Times New Roman"/>
      </w:rPr>
    </w:lvl>
    <w:lvl w:ilvl="2" w:tplc="91FE3D30">
      <w:start w:val="1"/>
      <w:numFmt w:val="lowerRoman"/>
      <w:lvlText w:val="%3."/>
      <w:lvlJc w:val="right"/>
      <w:pPr>
        <w:ind w:left="2160" w:hanging="180"/>
      </w:pPr>
      <w:rPr>
        <w:rFonts w:cs="Times New Roman"/>
      </w:rPr>
    </w:lvl>
    <w:lvl w:ilvl="3" w:tplc="CD1C3B24">
      <w:start w:val="1"/>
      <w:numFmt w:val="decimal"/>
      <w:lvlText w:val="%4."/>
      <w:lvlJc w:val="left"/>
      <w:pPr>
        <w:ind w:left="2880" w:hanging="360"/>
      </w:pPr>
      <w:rPr>
        <w:rFonts w:cs="Times New Roman"/>
      </w:rPr>
    </w:lvl>
    <w:lvl w:ilvl="4" w:tplc="66322584">
      <w:start w:val="1"/>
      <w:numFmt w:val="lowerLetter"/>
      <w:lvlText w:val="%5."/>
      <w:lvlJc w:val="left"/>
      <w:pPr>
        <w:ind w:left="3600" w:hanging="360"/>
      </w:pPr>
      <w:rPr>
        <w:rFonts w:cs="Times New Roman"/>
      </w:rPr>
    </w:lvl>
    <w:lvl w:ilvl="5" w:tplc="9DA42A8C">
      <w:start w:val="1"/>
      <w:numFmt w:val="lowerRoman"/>
      <w:lvlText w:val="%6."/>
      <w:lvlJc w:val="right"/>
      <w:pPr>
        <w:ind w:left="4320" w:hanging="180"/>
      </w:pPr>
      <w:rPr>
        <w:rFonts w:cs="Times New Roman"/>
      </w:rPr>
    </w:lvl>
    <w:lvl w:ilvl="6" w:tplc="88246276">
      <w:start w:val="1"/>
      <w:numFmt w:val="decimal"/>
      <w:lvlText w:val="%7."/>
      <w:lvlJc w:val="left"/>
      <w:pPr>
        <w:ind w:left="5040" w:hanging="360"/>
      </w:pPr>
      <w:rPr>
        <w:rFonts w:cs="Times New Roman"/>
      </w:rPr>
    </w:lvl>
    <w:lvl w:ilvl="7" w:tplc="BC0A580C">
      <w:start w:val="1"/>
      <w:numFmt w:val="lowerLetter"/>
      <w:lvlText w:val="%8."/>
      <w:lvlJc w:val="left"/>
      <w:pPr>
        <w:ind w:left="5760" w:hanging="360"/>
      </w:pPr>
      <w:rPr>
        <w:rFonts w:cs="Times New Roman"/>
      </w:rPr>
    </w:lvl>
    <w:lvl w:ilvl="8" w:tplc="390CCD38">
      <w:start w:val="1"/>
      <w:numFmt w:val="lowerRoman"/>
      <w:lvlText w:val="%9."/>
      <w:lvlJc w:val="right"/>
      <w:pPr>
        <w:ind w:left="6480" w:hanging="180"/>
      </w:pPr>
      <w:rPr>
        <w:rFonts w:cs="Times New Roman"/>
      </w:rPr>
    </w:lvl>
  </w:abstractNum>
  <w:abstractNum w:abstractNumId="18" w15:restartNumberingAfterBreak="0">
    <w:nsid w:val="19DF3DAD"/>
    <w:multiLevelType w:val="multilevel"/>
    <w:tmpl w:val="FFFFFFFF"/>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9" w15:restartNumberingAfterBreak="0">
    <w:nsid w:val="2104A515"/>
    <w:multiLevelType w:val="hybridMultilevel"/>
    <w:tmpl w:val="FFFFFFFF"/>
    <w:lvl w:ilvl="0" w:tplc="8C3EC03A">
      <w:start w:val="1"/>
      <w:numFmt w:val="decimal"/>
      <w:lvlText w:val="%1."/>
      <w:lvlJc w:val="left"/>
      <w:pPr>
        <w:ind w:left="720" w:hanging="360"/>
      </w:pPr>
      <w:rPr>
        <w:rFonts w:cs="Times New Roman"/>
      </w:rPr>
    </w:lvl>
    <w:lvl w:ilvl="1" w:tplc="1270D464">
      <w:start w:val="1"/>
      <w:numFmt w:val="lowerLetter"/>
      <w:lvlText w:val="%2."/>
      <w:lvlJc w:val="left"/>
      <w:pPr>
        <w:ind w:left="1440" w:hanging="360"/>
      </w:pPr>
      <w:rPr>
        <w:rFonts w:cs="Times New Roman"/>
      </w:rPr>
    </w:lvl>
    <w:lvl w:ilvl="2" w:tplc="8C74E516">
      <w:start w:val="1"/>
      <w:numFmt w:val="lowerRoman"/>
      <w:lvlText w:val="%3."/>
      <w:lvlJc w:val="right"/>
      <w:pPr>
        <w:ind w:left="2160" w:hanging="180"/>
      </w:pPr>
      <w:rPr>
        <w:rFonts w:cs="Times New Roman"/>
      </w:rPr>
    </w:lvl>
    <w:lvl w:ilvl="3" w:tplc="00F4F39E">
      <w:start w:val="1"/>
      <w:numFmt w:val="decimal"/>
      <w:lvlText w:val="%4."/>
      <w:lvlJc w:val="left"/>
      <w:pPr>
        <w:ind w:left="2880" w:hanging="360"/>
      </w:pPr>
      <w:rPr>
        <w:rFonts w:cs="Times New Roman"/>
      </w:rPr>
    </w:lvl>
    <w:lvl w:ilvl="4" w:tplc="741CF30E">
      <w:start w:val="1"/>
      <w:numFmt w:val="lowerLetter"/>
      <w:lvlText w:val="%5."/>
      <w:lvlJc w:val="left"/>
      <w:pPr>
        <w:ind w:left="3600" w:hanging="360"/>
      </w:pPr>
      <w:rPr>
        <w:rFonts w:cs="Times New Roman"/>
      </w:rPr>
    </w:lvl>
    <w:lvl w:ilvl="5" w:tplc="EDDCB5F6">
      <w:start w:val="1"/>
      <w:numFmt w:val="lowerRoman"/>
      <w:lvlText w:val="%6."/>
      <w:lvlJc w:val="right"/>
      <w:pPr>
        <w:ind w:left="4320" w:hanging="180"/>
      </w:pPr>
      <w:rPr>
        <w:rFonts w:cs="Times New Roman"/>
      </w:rPr>
    </w:lvl>
    <w:lvl w:ilvl="6" w:tplc="5100FD7C">
      <w:start w:val="1"/>
      <w:numFmt w:val="decimal"/>
      <w:lvlText w:val="%7."/>
      <w:lvlJc w:val="left"/>
      <w:pPr>
        <w:ind w:left="5040" w:hanging="360"/>
      </w:pPr>
      <w:rPr>
        <w:rFonts w:cs="Times New Roman"/>
      </w:rPr>
    </w:lvl>
    <w:lvl w:ilvl="7" w:tplc="114E1B4C">
      <w:start w:val="1"/>
      <w:numFmt w:val="lowerLetter"/>
      <w:lvlText w:val="%8."/>
      <w:lvlJc w:val="left"/>
      <w:pPr>
        <w:ind w:left="5760" w:hanging="360"/>
      </w:pPr>
      <w:rPr>
        <w:rFonts w:cs="Times New Roman"/>
      </w:rPr>
    </w:lvl>
    <w:lvl w:ilvl="8" w:tplc="88CA2016">
      <w:start w:val="1"/>
      <w:numFmt w:val="lowerRoman"/>
      <w:lvlText w:val="%9."/>
      <w:lvlJc w:val="right"/>
      <w:pPr>
        <w:ind w:left="6480" w:hanging="180"/>
      </w:pPr>
      <w:rPr>
        <w:rFonts w:cs="Times New Roman"/>
      </w:rPr>
    </w:lvl>
  </w:abstractNum>
  <w:abstractNum w:abstractNumId="20" w15:restartNumberingAfterBreak="0">
    <w:nsid w:val="211964C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22E9D64"/>
    <w:multiLevelType w:val="hybridMultilevel"/>
    <w:tmpl w:val="FFFFFFFF"/>
    <w:lvl w:ilvl="0" w:tplc="FC223F7A">
      <w:start w:val="1"/>
      <w:numFmt w:val="decimal"/>
      <w:lvlText w:val="%1."/>
      <w:lvlJc w:val="left"/>
      <w:pPr>
        <w:ind w:left="720" w:hanging="360"/>
      </w:pPr>
      <w:rPr>
        <w:rFonts w:cs="Times New Roman"/>
      </w:rPr>
    </w:lvl>
    <w:lvl w:ilvl="1" w:tplc="7924E53C">
      <w:start w:val="1"/>
      <w:numFmt w:val="lowerLetter"/>
      <w:lvlText w:val="%2."/>
      <w:lvlJc w:val="left"/>
      <w:pPr>
        <w:ind w:left="1440" w:hanging="360"/>
      </w:pPr>
      <w:rPr>
        <w:rFonts w:cs="Times New Roman"/>
      </w:rPr>
    </w:lvl>
    <w:lvl w:ilvl="2" w:tplc="DDEC57E8">
      <w:start w:val="1"/>
      <w:numFmt w:val="lowerRoman"/>
      <w:lvlText w:val="%3."/>
      <w:lvlJc w:val="right"/>
      <w:pPr>
        <w:ind w:left="2160" w:hanging="180"/>
      </w:pPr>
      <w:rPr>
        <w:rFonts w:cs="Times New Roman"/>
      </w:rPr>
    </w:lvl>
    <w:lvl w:ilvl="3" w:tplc="F18632C6">
      <w:start w:val="1"/>
      <w:numFmt w:val="decimal"/>
      <w:lvlText w:val="%4."/>
      <w:lvlJc w:val="left"/>
      <w:pPr>
        <w:ind w:left="2880" w:hanging="360"/>
      </w:pPr>
      <w:rPr>
        <w:rFonts w:cs="Times New Roman"/>
      </w:rPr>
    </w:lvl>
    <w:lvl w:ilvl="4" w:tplc="532892E4">
      <w:start w:val="1"/>
      <w:numFmt w:val="lowerLetter"/>
      <w:lvlText w:val="%5."/>
      <w:lvlJc w:val="left"/>
      <w:pPr>
        <w:ind w:left="3600" w:hanging="360"/>
      </w:pPr>
      <w:rPr>
        <w:rFonts w:cs="Times New Roman"/>
      </w:rPr>
    </w:lvl>
    <w:lvl w:ilvl="5" w:tplc="D6F88530">
      <w:start w:val="1"/>
      <w:numFmt w:val="lowerRoman"/>
      <w:lvlText w:val="%6."/>
      <w:lvlJc w:val="right"/>
      <w:pPr>
        <w:ind w:left="4320" w:hanging="180"/>
      </w:pPr>
      <w:rPr>
        <w:rFonts w:cs="Times New Roman"/>
      </w:rPr>
    </w:lvl>
    <w:lvl w:ilvl="6" w:tplc="F29604E8">
      <w:start w:val="1"/>
      <w:numFmt w:val="decimal"/>
      <w:lvlText w:val="%7."/>
      <w:lvlJc w:val="left"/>
      <w:pPr>
        <w:ind w:left="5040" w:hanging="360"/>
      </w:pPr>
      <w:rPr>
        <w:rFonts w:cs="Times New Roman"/>
      </w:rPr>
    </w:lvl>
    <w:lvl w:ilvl="7" w:tplc="7438F8F6">
      <w:start w:val="1"/>
      <w:numFmt w:val="lowerLetter"/>
      <w:lvlText w:val="%8."/>
      <w:lvlJc w:val="left"/>
      <w:pPr>
        <w:ind w:left="5760" w:hanging="360"/>
      </w:pPr>
      <w:rPr>
        <w:rFonts w:cs="Times New Roman"/>
      </w:rPr>
    </w:lvl>
    <w:lvl w:ilvl="8" w:tplc="9CD8B930">
      <w:start w:val="1"/>
      <w:numFmt w:val="lowerRoman"/>
      <w:lvlText w:val="%9."/>
      <w:lvlJc w:val="right"/>
      <w:pPr>
        <w:ind w:left="6480" w:hanging="180"/>
      </w:pPr>
      <w:rPr>
        <w:rFonts w:cs="Times New Roman"/>
      </w:rPr>
    </w:lvl>
  </w:abstractNum>
  <w:abstractNum w:abstractNumId="22" w15:restartNumberingAfterBreak="0">
    <w:nsid w:val="229738BB"/>
    <w:multiLevelType w:val="hybridMultilevel"/>
    <w:tmpl w:val="FFFFFFFF"/>
    <w:lvl w:ilvl="0" w:tplc="736432A6">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37B5BB9"/>
    <w:multiLevelType w:val="hybridMultilevel"/>
    <w:tmpl w:val="FFFFFFFF"/>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24E8CD82"/>
    <w:multiLevelType w:val="hybridMultilevel"/>
    <w:tmpl w:val="FFFFFFFF"/>
    <w:lvl w:ilvl="0" w:tplc="7E02B96E">
      <w:start w:val="1"/>
      <w:numFmt w:val="decimal"/>
      <w:lvlText w:val="%1."/>
      <w:lvlJc w:val="left"/>
      <w:pPr>
        <w:ind w:left="720" w:hanging="360"/>
      </w:pPr>
      <w:rPr>
        <w:rFonts w:cs="Times New Roman"/>
      </w:rPr>
    </w:lvl>
    <w:lvl w:ilvl="1" w:tplc="6982FF34">
      <w:start w:val="1"/>
      <w:numFmt w:val="lowerLetter"/>
      <w:lvlText w:val="%2."/>
      <w:lvlJc w:val="left"/>
      <w:pPr>
        <w:ind w:left="1440" w:hanging="360"/>
      </w:pPr>
      <w:rPr>
        <w:rFonts w:cs="Times New Roman"/>
      </w:rPr>
    </w:lvl>
    <w:lvl w:ilvl="2" w:tplc="1706C36E">
      <w:start w:val="1"/>
      <w:numFmt w:val="lowerRoman"/>
      <w:lvlText w:val="%3."/>
      <w:lvlJc w:val="right"/>
      <w:pPr>
        <w:ind w:left="2160" w:hanging="180"/>
      </w:pPr>
      <w:rPr>
        <w:rFonts w:cs="Times New Roman"/>
      </w:rPr>
    </w:lvl>
    <w:lvl w:ilvl="3" w:tplc="C9E4A94A">
      <w:start w:val="1"/>
      <w:numFmt w:val="decimal"/>
      <w:lvlText w:val="%4."/>
      <w:lvlJc w:val="left"/>
      <w:pPr>
        <w:ind w:left="2880" w:hanging="360"/>
      </w:pPr>
      <w:rPr>
        <w:rFonts w:cs="Times New Roman"/>
      </w:rPr>
    </w:lvl>
    <w:lvl w:ilvl="4" w:tplc="1E6A1CB0">
      <w:start w:val="1"/>
      <w:numFmt w:val="lowerLetter"/>
      <w:lvlText w:val="%5."/>
      <w:lvlJc w:val="left"/>
      <w:pPr>
        <w:ind w:left="3600" w:hanging="360"/>
      </w:pPr>
      <w:rPr>
        <w:rFonts w:cs="Times New Roman"/>
      </w:rPr>
    </w:lvl>
    <w:lvl w:ilvl="5" w:tplc="D3145AC2">
      <w:start w:val="1"/>
      <w:numFmt w:val="lowerRoman"/>
      <w:lvlText w:val="%6."/>
      <w:lvlJc w:val="right"/>
      <w:pPr>
        <w:ind w:left="4320" w:hanging="180"/>
      </w:pPr>
      <w:rPr>
        <w:rFonts w:cs="Times New Roman"/>
      </w:rPr>
    </w:lvl>
    <w:lvl w:ilvl="6" w:tplc="20D875C2">
      <w:start w:val="1"/>
      <w:numFmt w:val="decimal"/>
      <w:lvlText w:val="%7."/>
      <w:lvlJc w:val="left"/>
      <w:pPr>
        <w:ind w:left="5040" w:hanging="360"/>
      </w:pPr>
      <w:rPr>
        <w:rFonts w:cs="Times New Roman"/>
      </w:rPr>
    </w:lvl>
    <w:lvl w:ilvl="7" w:tplc="1DAE2042">
      <w:start w:val="1"/>
      <w:numFmt w:val="lowerLetter"/>
      <w:lvlText w:val="%8."/>
      <w:lvlJc w:val="left"/>
      <w:pPr>
        <w:ind w:left="5760" w:hanging="360"/>
      </w:pPr>
      <w:rPr>
        <w:rFonts w:cs="Times New Roman"/>
      </w:rPr>
    </w:lvl>
    <w:lvl w:ilvl="8" w:tplc="C5303A54">
      <w:start w:val="1"/>
      <w:numFmt w:val="lowerRoman"/>
      <w:lvlText w:val="%9."/>
      <w:lvlJc w:val="right"/>
      <w:pPr>
        <w:ind w:left="6480" w:hanging="180"/>
      </w:pPr>
      <w:rPr>
        <w:rFonts w:cs="Times New Roman"/>
      </w:rPr>
    </w:lvl>
  </w:abstractNum>
  <w:abstractNum w:abstractNumId="25" w15:restartNumberingAfterBreak="0">
    <w:nsid w:val="261661FF"/>
    <w:multiLevelType w:val="hybridMultilevel"/>
    <w:tmpl w:val="FFFFFFFF"/>
    <w:lvl w:ilvl="0" w:tplc="FCF251E2">
      <w:start w:val="1"/>
      <w:numFmt w:val="lowerRoman"/>
      <w:lvlText w:val="(%1)"/>
      <w:lvlJc w:val="left"/>
      <w:pPr>
        <w:ind w:left="1080" w:hanging="72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26" w15:restartNumberingAfterBreak="0">
    <w:nsid w:val="29264903"/>
    <w:multiLevelType w:val="hybridMultilevel"/>
    <w:tmpl w:val="FFFFFFFF"/>
    <w:lvl w:ilvl="0" w:tplc="A77A5EFE">
      <w:start w:val="1"/>
      <w:numFmt w:val="lowerRoman"/>
      <w:lvlText w:val="(%1)"/>
      <w:lvlJc w:val="left"/>
      <w:pPr>
        <w:ind w:left="1854" w:hanging="720"/>
      </w:pPr>
      <w:rPr>
        <w:rFonts w:cs="Times New Roman" w:hint="default"/>
      </w:rPr>
    </w:lvl>
    <w:lvl w:ilvl="1" w:tplc="04090019" w:tentative="1">
      <w:start w:val="1"/>
      <w:numFmt w:val="lowerLetter"/>
      <w:lvlText w:val="%2."/>
      <w:lvlJc w:val="left"/>
      <w:pPr>
        <w:ind w:left="2214" w:hanging="360"/>
      </w:pPr>
      <w:rPr>
        <w:rFonts w:cs="Times New Roman"/>
      </w:rPr>
    </w:lvl>
    <w:lvl w:ilvl="2" w:tplc="0409001B" w:tentative="1">
      <w:start w:val="1"/>
      <w:numFmt w:val="lowerRoman"/>
      <w:lvlText w:val="%3."/>
      <w:lvlJc w:val="right"/>
      <w:pPr>
        <w:ind w:left="2934" w:hanging="180"/>
      </w:pPr>
      <w:rPr>
        <w:rFonts w:cs="Times New Roman"/>
      </w:rPr>
    </w:lvl>
    <w:lvl w:ilvl="3" w:tplc="0409000F" w:tentative="1">
      <w:start w:val="1"/>
      <w:numFmt w:val="decimal"/>
      <w:lvlText w:val="%4."/>
      <w:lvlJc w:val="left"/>
      <w:pPr>
        <w:ind w:left="3654" w:hanging="360"/>
      </w:pPr>
      <w:rPr>
        <w:rFonts w:cs="Times New Roman"/>
      </w:rPr>
    </w:lvl>
    <w:lvl w:ilvl="4" w:tplc="04090019" w:tentative="1">
      <w:start w:val="1"/>
      <w:numFmt w:val="lowerLetter"/>
      <w:lvlText w:val="%5."/>
      <w:lvlJc w:val="left"/>
      <w:pPr>
        <w:ind w:left="4374" w:hanging="360"/>
      </w:pPr>
      <w:rPr>
        <w:rFonts w:cs="Times New Roman"/>
      </w:rPr>
    </w:lvl>
    <w:lvl w:ilvl="5" w:tplc="0409001B" w:tentative="1">
      <w:start w:val="1"/>
      <w:numFmt w:val="lowerRoman"/>
      <w:lvlText w:val="%6."/>
      <w:lvlJc w:val="right"/>
      <w:pPr>
        <w:ind w:left="5094" w:hanging="180"/>
      </w:pPr>
      <w:rPr>
        <w:rFonts w:cs="Times New Roman"/>
      </w:rPr>
    </w:lvl>
    <w:lvl w:ilvl="6" w:tplc="0409000F" w:tentative="1">
      <w:start w:val="1"/>
      <w:numFmt w:val="decimal"/>
      <w:lvlText w:val="%7."/>
      <w:lvlJc w:val="left"/>
      <w:pPr>
        <w:ind w:left="5814" w:hanging="360"/>
      </w:pPr>
      <w:rPr>
        <w:rFonts w:cs="Times New Roman"/>
      </w:rPr>
    </w:lvl>
    <w:lvl w:ilvl="7" w:tplc="04090019" w:tentative="1">
      <w:start w:val="1"/>
      <w:numFmt w:val="lowerLetter"/>
      <w:lvlText w:val="%8."/>
      <w:lvlJc w:val="left"/>
      <w:pPr>
        <w:ind w:left="6534" w:hanging="360"/>
      </w:pPr>
      <w:rPr>
        <w:rFonts w:cs="Times New Roman"/>
      </w:rPr>
    </w:lvl>
    <w:lvl w:ilvl="8" w:tplc="0409001B" w:tentative="1">
      <w:start w:val="1"/>
      <w:numFmt w:val="lowerRoman"/>
      <w:lvlText w:val="%9."/>
      <w:lvlJc w:val="right"/>
      <w:pPr>
        <w:ind w:left="7254" w:hanging="180"/>
      </w:pPr>
      <w:rPr>
        <w:rFonts w:cs="Times New Roman"/>
      </w:rPr>
    </w:lvl>
  </w:abstractNum>
  <w:abstractNum w:abstractNumId="27" w15:restartNumberingAfterBreak="0">
    <w:nsid w:val="29CF0DDE"/>
    <w:multiLevelType w:val="hybridMultilevel"/>
    <w:tmpl w:val="FFFFFFFF"/>
    <w:lvl w:ilvl="0" w:tplc="1AF8EDB4">
      <w:start w:val="1"/>
      <w:numFmt w:val="decimal"/>
      <w:lvlText w:val="%1."/>
      <w:lvlJc w:val="left"/>
      <w:pPr>
        <w:ind w:left="720" w:hanging="360"/>
      </w:pPr>
      <w:rPr>
        <w:rFonts w:cs="Times New Roman"/>
      </w:rPr>
    </w:lvl>
    <w:lvl w:ilvl="1" w:tplc="98F8CDBC">
      <w:start w:val="1"/>
      <w:numFmt w:val="lowerLetter"/>
      <w:lvlText w:val="%2."/>
      <w:lvlJc w:val="left"/>
      <w:pPr>
        <w:ind w:left="1440" w:hanging="360"/>
      </w:pPr>
      <w:rPr>
        <w:rFonts w:cs="Times New Roman"/>
      </w:rPr>
    </w:lvl>
    <w:lvl w:ilvl="2" w:tplc="35FEDA24">
      <w:start w:val="1"/>
      <w:numFmt w:val="lowerRoman"/>
      <w:lvlText w:val="%3."/>
      <w:lvlJc w:val="right"/>
      <w:pPr>
        <w:ind w:left="2160" w:hanging="180"/>
      </w:pPr>
      <w:rPr>
        <w:rFonts w:cs="Times New Roman"/>
      </w:rPr>
    </w:lvl>
    <w:lvl w:ilvl="3" w:tplc="3F0C00D8">
      <w:start w:val="1"/>
      <w:numFmt w:val="decimal"/>
      <w:lvlText w:val="%4."/>
      <w:lvlJc w:val="left"/>
      <w:pPr>
        <w:ind w:left="2880" w:hanging="360"/>
      </w:pPr>
      <w:rPr>
        <w:rFonts w:cs="Times New Roman"/>
      </w:rPr>
    </w:lvl>
    <w:lvl w:ilvl="4" w:tplc="CD62E2BC">
      <w:start w:val="1"/>
      <w:numFmt w:val="lowerLetter"/>
      <w:lvlText w:val="%5."/>
      <w:lvlJc w:val="left"/>
      <w:pPr>
        <w:ind w:left="3600" w:hanging="360"/>
      </w:pPr>
      <w:rPr>
        <w:rFonts w:cs="Times New Roman"/>
      </w:rPr>
    </w:lvl>
    <w:lvl w:ilvl="5" w:tplc="08C4C494">
      <w:start w:val="1"/>
      <w:numFmt w:val="lowerRoman"/>
      <w:lvlText w:val="%6."/>
      <w:lvlJc w:val="right"/>
      <w:pPr>
        <w:ind w:left="4320" w:hanging="180"/>
      </w:pPr>
      <w:rPr>
        <w:rFonts w:cs="Times New Roman"/>
      </w:rPr>
    </w:lvl>
    <w:lvl w:ilvl="6" w:tplc="FBBC202A">
      <w:start w:val="1"/>
      <w:numFmt w:val="decimal"/>
      <w:lvlText w:val="%7."/>
      <w:lvlJc w:val="left"/>
      <w:pPr>
        <w:ind w:left="5040" w:hanging="360"/>
      </w:pPr>
      <w:rPr>
        <w:rFonts w:cs="Times New Roman"/>
      </w:rPr>
    </w:lvl>
    <w:lvl w:ilvl="7" w:tplc="3E5E01FA">
      <w:start w:val="1"/>
      <w:numFmt w:val="lowerLetter"/>
      <w:lvlText w:val="%8."/>
      <w:lvlJc w:val="left"/>
      <w:pPr>
        <w:ind w:left="5760" w:hanging="360"/>
      </w:pPr>
      <w:rPr>
        <w:rFonts w:cs="Times New Roman"/>
      </w:rPr>
    </w:lvl>
    <w:lvl w:ilvl="8" w:tplc="50646C68">
      <w:start w:val="1"/>
      <w:numFmt w:val="lowerRoman"/>
      <w:lvlText w:val="%9."/>
      <w:lvlJc w:val="right"/>
      <w:pPr>
        <w:ind w:left="6480" w:hanging="180"/>
      </w:pPr>
      <w:rPr>
        <w:rFonts w:cs="Times New Roman"/>
      </w:rPr>
    </w:lvl>
  </w:abstractNum>
  <w:abstractNum w:abstractNumId="28" w15:restartNumberingAfterBreak="0">
    <w:nsid w:val="2AE006A0"/>
    <w:multiLevelType w:val="multilevel"/>
    <w:tmpl w:val="FFFFFFFF"/>
    <w:lvl w:ilvl="0">
      <w:start w:val="5"/>
      <w:numFmt w:val="decimal"/>
      <w:lvlText w:val="%1."/>
      <w:lvlJc w:val="left"/>
      <w:pPr>
        <w:ind w:left="420" w:hanging="420"/>
      </w:pPr>
      <w:rPr>
        <w:rFonts w:cs="Times New Roman" w:hint="default"/>
        <w:b/>
      </w:rPr>
    </w:lvl>
    <w:lvl w:ilvl="1">
      <w:start w:val="2"/>
      <w:numFmt w:val="decimal"/>
      <w:lvlText w:val="%1.%2."/>
      <w:lvlJc w:val="left"/>
      <w:pPr>
        <w:ind w:left="1077" w:hanging="720"/>
      </w:pPr>
      <w:rPr>
        <w:rFonts w:cs="Times New Roman" w:hint="default"/>
        <w:b/>
      </w:rPr>
    </w:lvl>
    <w:lvl w:ilvl="2">
      <w:start w:val="1"/>
      <w:numFmt w:val="decimal"/>
      <w:lvlText w:val="%1.%2.%3."/>
      <w:lvlJc w:val="left"/>
      <w:pPr>
        <w:ind w:left="1434" w:hanging="720"/>
      </w:pPr>
      <w:rPr>
        <w:rFonts w:cs="Times New Roman" w:hint="default"/>
        <w:b/>
      </w:rPr>
    </w:lvl>
    <w:lvl w:ilvl="3">
      <w:start w:val="1"/>
      <w:numFmt w:val="decimal"/>
      <w:lvlText w:val="%1.%2.%3.%4."/>
      <w:lvlJc w:val="left"/>
      <w:pPr>
        <w:ind w:left="2151" w:hanging="1080"/>
      </w:pPr>
      <w:rPr>
        <w:rFonts w:cs="Times New Roman" w:hint="default"/>
        <w:b/>
      </w:rPr>
    </w:lvl>
    <w:lvl w:ilvl="4">
      <w:start w:val="1"/>
      <w:numFmt w:val="decimal"/>
      <w:lvlText w:val="%1.%2.%3.%4.%5."/>
      <w:lvlJc w:val="left"/>
      <w:pPr>
        <w:ind w:left="2508" w:hanging="1080"/>
      </w:pPr>
      <w:rPr>
        <w:rFonts w:cs="Times New Roman" w:hint="default"/>
        <w:b/>
      </w:rPr>
    </w:lvl>
    <w:lvl w:ilvl="5">
      <w:start w:val="1"/>
      <w:numFmt w:val="decimal"/>
      <w:lvlText w:val="%1.%2.%3.%4.%5.%6."/>
      <w:lvlJc w:val="left"/>
      <w:pPr>
        <w:ind w:left="3225" w:hanging="1440"/>
      </w:pPr>
      <w:rPr>
        <w:rFonts w:cs="Times New Roman" w:hint="default"/>
        <w:b/>
      </w:rPr>
    </w:lvl>
    <w:lvl w:ilvl="6">
      <w:start w:val="1"/>
      <w:numFmt w:val="decimal"/>
      <w:lvlText w:val="%1.%2.%3.%4.%5.%6.%7."/>
      <w:lvlJc w:val="left"/>
      <w:pPr>
        <w:ind w:left="3942" w:hanging="1800"/>
      </w:pPr>
      <w:rPr>
        <w:rFonts w:cs="Times New Roman" w:hint="default"/>
        <w:b/>
      </w:rPr>
    </w:lvl>
    <w:lvl w:ilvl="7">
      <w:start w:val="1"/>
      <w:numFmt w:val="decimal"/>
      <w:lvlText w:val="%1.%2.%3.%4.%5.%6.%7.%8."/>
      <w:lvlJc w:val="left"/>
      <w:pPr>
        <w:ind w:left="4299" w:hanging="1800"/>
      </w:pPr>
      <w:rPr>
        <w:rFonts w:cs="Times New Roman" w:hint="default"/>
        <w:b/>
      </w:rPr>
    </w:lvl>
    <w:lvl w:ilvl="8">
      <w:start w:val="1"/>
      <w:numFmt w:val="decimal"/>
      <w:lvlText w:val="%1.%2.%3.%4.%5.%6.%7.%8.%9."/>
      <w:lvlJc w:val="left"/>
      <w:pPr>
        <w:ind w:left="5016" w:hanging="2160"/>
      </w:pPr>
      <w:rPr>
        <w:rFonts w:cs="Times New Roman" w:hint="default"/>
        <w:b/>
      </w:rPr>
    </w:lvl>
  </w:abstractNum>
  <w:abstractNum w:abstractNumId="29" w15:restartNumberingAfterBreak="0">
    <w:nsid w:val="2CE20D19"/>
    <w:multiLevelType w:val="hybridMultilevel"/>
    <w:tmpl w:val="FFFFFFFF"/>
    <w:lvl w:ilvl="0" w:tplc="6A6C1F2C">
      <w:start w:val="1"/>
      <w:numFmt w:val="decimal"/>
      <w:lvlText w:val="%1."/>
      <w:lvlJc w:val="left"/>
      <w:pPr>
        <w:ind w:left="720" w:hanging="360"/>
      </w:pPr>
      <w:rPr>
        <w:rFonts w:cs="Times New Roman"/>
      </w:rPr>
    </w:lvl>
    <w:lvl w:ilvl="1" w:tplc="54E09A0E">
      <w:start w:val="1"/>
      <w:numFmt w:val="lowerLetter"/>
      <w:lvlText w:val="%2."/>
      <w:lvlJc w:val="left"/>
      <w:pPr>
        <w:ind w:left="1440" w:hanging="360"/>
      </w:pPr>
      <w:rPr>
        <w:rFonts w:cs="Times New Roman"/>
      </w:rPr>
    </w:lvl>
    <w:lvl w:ilvl="2" w:tplc="982A03CC">
      <w:start w:val="1"/>
      <w:numFmt w:val="lowerRoman"/>
      <w:lvlText w:val="%3."/>
      <w:lvlJc w:val="right"/>
      <w:pPr>
        <w:ind w:left="2160" w:hanging="180"/>
      </w:pPr>
      <w:rPr>
        <w:rFonts w:cs="Times New Roman"/>
      </w:rPr>
    </w:lvl>
    <w:lvl w:ilvl="3" w:tplc="26BEBDF8">
      <w:start w:val="1"/>
      <w:numFmt w:val="decimal"/>
      <w:lvlText w:val="%4."/>
      <w:lvlJc w:val="left"/>
      <w:pPr>
        <w:ind w:left="2880" w:hanging="360"/>
      </w:pPr>
      <w:rPr>
        <w:rFonts w:cs="Times New Roman"/>
      </w:rPr>
    </w:lvl>
    <w:lvl w:ilvl="4" w:tplc="649058D0">
      <w:start w:val="1"/>
      <w:numFmt w:val="lowerLetter"/>
      <w:lvlText w:val="%5."/>
      <w:lvlJc w:val="left"/>
      <w:pPr>
        <w:ind w:left="3600" w:hanging="360"/>
      </w:pPr>
      <w:rPr>
        <w:rFonts w:cs="Times New Roman"/>
      </w:rPr>
    </w:lvl>
    <w:lvl w:ilvl="5" w:tplc="79089E9E">
      <w:start w:val="1"/>
      <w:numFmt w:val="lowerRoman"/>
      <w:lvlText w:val="%6."/>
      <w:lvlJc w:val="right"/>
      <w:pPr>
        <w:ind w:left="4320" w:hanging="180"/>
      </w:pPr>
      <w:rPr>
        <w:rFonts w:cs="Times New Roman"/>
      </w:rPr>
    </w:lvl>
    <w:lvl w:ilvl="6" w:tplc="7C60F0B2">
      <w:start w:val="1"/>
      <w:numFmt w:val="decimal"/>
      <w:lvlText w:val="%7."/>
      <w:lvlJc w:val="left"/>
      <w:pPr>
        <w:ind w:left="5040" w:hanging="360"/>
      </w:pPr>
      <w:rPr>
        <w:rFonts w:cs="Times New Roman"/>
      </w:rPr>
    </w:lvl>
    <w:lvl w:ilvl="7" w:tplc="7A8E2A52">
      <w:start w:val="1"/>
      <w:numFmt w:val="lowerLetter"/>
      <w:lvlText w:val="%8."/>
      <w:lvlJc w:val="left"/>
      <w:pPr>
        <w:ind w:left="5760" w:hanging="360"/>
      </w:pPr>
      <w:rPr>
        <w:rFonts w:cs="Times New Roman"/>
      </w:rPr>
    </w:lvl>
    <w:lvl w:ilvl="8" w:tplc="F00216D8">
      <w:start w:val="1"/>
      <w:numFmt w:val="lowerRoman"/>
      <w:lvlText w:val="%9."/>
      <w:lvlJc w:val="right"/>
      <w:pPr>
        <w:ind w:left="6480" w:hanging="180"/>
      </w:pPr>
      <w:rPr>
        <w:rFonts w:cs="Times New Roman"/>
      </w:rPr>
    </w:lvl>
  </w:abstractNum>
  <w:abstractNum w:abstractNumId="30" w15:restartNumberingAfterBreak="0">
    <w:nsid w:val="2D7358CE"/>
    <w:multiLevelType w:val="hybridMultilevel"/>
    <w:tmpl w:val="FFFFFFFF"/>
    <w:lvl w:ilvl="0" w:tplc="240A000F">
      <w:start w:val="1"/>
      <w:numFmt w:val="decimal"/>
      <w:lvlText w:val="%1."/>
      <w:lvlJc w:val="left"/>
      <w:pPr>
        <w:ind w:left="720" w:hanging="360"/>
      </w:pPr>
      <w:rPr>
        <w:rFonts w:cs="Times New Roman"/>
      </w:rPr>
    </w:lvl>
    <w:lvl w:ilvl="1" w:tplc="240A0019" w:tentative="1">
      <w:start w:val="1"/>
      <w:numFmt w:val="lowerLetter"/>
      <w:lvlText w:val="%2."/>
      <w:lvlJc w:val="left"/>
      <w:pPr>
        <w:ind w:left="1440" w:hanging="360"/>
      </w:pPr>
      <w:rPr>
        <w:rFonts w:cs="Times New Roman"/>
      </w:rPr>
    </w:lvl>
    <w:lvl w:ilvl="2" w:tplc="240A001B" w:tentative="1">
      <w:start w:val="1"/>
      <w:numFmt w:val="lowerRoman"/>
      <w:lvlText w:val="%3."/>
      <w:lvlJc w:val="right"/>
      <w:pPr>
        <w:ind w:left="2160" w:hanging="180"/>
      </w:pPr>
      <w:rPr>
        <w:rFonts w:cs="Times New Roman"/>
      </w:rPr>
    </w:lvl>
    <w:lvl w:ilvl="3" w:tplc="240A000F" w:tentative="1">
      <w:start w:val="1"/>
      <w:numFmt w:val="decimal"/>
      <w:lvlText w:val="%4."/>
      <w:lvlJc w:val="left"/>
      <w:pPr>
        <w:ind w:left="2880" w:hanging="360"/>
      </w:pPr>
      <w:rPr>
        <w:rFonts w:cs="Times New Roman"/>
      </w:rPr>
    </w:lvl>
    <w:lvl w:ilvl="4" w:tplc="240A0019" w:tentative="1">
      <w:start w:val="1"/>
      <w:numFmt w:val="lowerLetter"/>
      <w:lvlText w:val="%5."/>
      <w:lvlJc w:val="left"/>
      <w:pPr>
        <w:ind w:left="3600" w:hanging="360"/>
      </w:pPr>
      <w:rPr>
        <w:rFonts w:cs="Times New Roman"/>
      </w:rPr>
    </w:lvl>
    <w:lvl w:ilvl="5" w:tplc="240A001B" w:tentative="1">
      <w:start w:val="1"/>
      <w:numFmt w:val="lowerRoman"/>
      <w:lvlText w:val="%6."/>
      <w:lvlJc w:val="right"/>
      <w:pPr>
        <w:ind w:left="4320" w:hanging="180"/>
      </w:pPr>
      <w:rPr>
        <w:rFonts w:cs="Times New Roman"/>
      </w:rPr>
    </w:lvl>
    <w:lvl w:ilvl="6" w:tplc="240A000F" w:tentative="1">
      <w:start w:val="1"/>
      <w:numFmt w:val="decimal"/>
      <w:lvlText w:val="%7."/>
      <w:lvlJc w:val="left"/>
      <w:pPr>
        <w:ind w:left="5040" w:hanging="360"/>
      </w:pPr>
      <w:rPr>
        <w:rFonts w:cs="Times New Roman"/>
      </w:rPr>
    </w:lvl>
    <w:lvl w:ilvl="7" w:tplc="240A0019" w:tentative="1">
      <w:start w:val="1"/>
      <w:numFmt w:val="lowerLetter"/>
      <w:lvlText w:val="%8."/>
      <w:lvlJc w:val="left"/>
      <w:pPr>
        <w:ind w:left="5760" w:hanging="360"/>
      </w:pPr>
      <w:rPr>
        <w:rFonts w:cs="Times New Roman"/>
      </w:rPr>
    </w:lvl>
    <w:lvl w:ilvl="8" w:tplc="240A001B" w:tentative="1">
      <w:start w:val="1"/>
      <w:numFmt w:val="lowerRoman"/>
      <w:lvlText w:val="%9."/>
      <w:lvlJc w:val="right"/>
      <w:pPr>
        <w:ind w:left="6480" w:hanging="180"/>
      </w:pPr>
      <w:rPr>
        <w:rFonts w:cs="Times New Roman"/>
      </w:rPr>
    </w:lvl>
  </w:abstractNum>
  <w:abstractNum w:abstractNumId="31" w15:restartNumberingAfterBreak="0">
    <w:nsid w:val="2E4F487A"/>
    <w:multiLevelType w:val="hybridMultilevel"/>
    <w:tmpl w:val="FFFFFFFF"/>
    <w:lvl w:ilvl="0" w:tplc="AAFAD41C">
      <w:start w:val="1"/>
      <w:numFmt w:val="lowerRoman"/>
      <w:lvlText w:val="(%1)"/>
      <w:lvlJc w:val="left"/>
      <w:pPr>
        <w:ind w:left="1428" w:hanging="720"/>
      </w:pPr>
      <w:rPr>
        <w:rFonts w:cs="Times New Roman" w:hint="default"/>
      </w:rPr>
    </w:lvl>
    <w:lvl w:ilvl="1" w:tplc="080A0019" w:tentative="1">
      <w:start w:val="1"/>
      <w:numFmt w:val="lowerLetter"/>
      <w:lvlText w:val="%2."/>
      <w:lvlJc w:val="left"/>
      <w:pPr>
        <w:ind w:left="1788" w:hanging="360"/>
      </w:pPr>
      <w:rPr>
        <w:rFonts w:cs="Times New Roman"/>
      </w:rPr>
    </w:lvl>
    <w:lvl w:ilvl="2" w:tplc="080A001B" w:tentative="1">
      <w:start w:val="1"/>
      <w:numFmt w:val="lowerRoman"/>
      <w:lvlText w:val="%3."/>
      <w:lvlJc w:val="right"/>
      <w:pPr>
        <w:ind w:left="2508" w:hanging="180"/>
      </w:pPr>
      <w:rPr>
        <w:rFonts w:cs="Times New Roman"/>
      </w:rPr>
    </w:lvl>
    <w:lvl w:ilvl="3" w:tplc="080A000F" w:tentative="1">
      <w:start w:val="1"/>
      <w:numFmt w:val="decimal"/>
      <w:lvlText w:val="%4."/>
      <w:lvlJc w:val="left"/>
      <w:pPr>
        <w:ind w:left="3228" w:hanging="360"/>
      </w:pPr>
      <w:rPr>
        <w:rFonts w:cs="Times New Roman"/>
      </w:rPr>
    </w:lvl>
    <w:lvl w:ilvl="4" w:tplc="080A0019" w:tentative="1">
      <w:start w:val="1"/>
      <w:numFmt w:val="lowerLetter"/>
      <w:lvlText w:val="%5."/>
      <w:lvlJc w:val="left"/>
      <w:pPr>
        <w:ind w:left="3948" w:hanging="360"/>
      </w:pPr>
      <w:rPr>
        <w:rFonts w:cs="Times New Roman"/>
      </w:rPr>
    </w:lvl>
    <w:lvl w:ilvl="5" w:tplc="080A001B" w:tentative="1">
      <w:start w:val="1"/>
      <w:numFmt w:val="lowerRoman"/>
      <w:lvlText w:val="%6."/>
      <w:lvlJc w:val="right"/>
      <w:pPr>
        <w:ind w:left="4668" w:hanging="180"/>
      </w:pPr>
      <w:rPr>
        <w:rFonts w:cs="Times New Roman"/>
      </w:rPr>
    </w:lvl>
    <w:lvl w:ilvl="6" w:tplc="080A000F" w:tentative="1">
      <w:start w:val="1"/>
      <w:numFmt w:val="decimal"/>
      <w:lvlText w:val="%7."/>
      <w:lvlJc w:val="left"/>
      <w:pPr>
        <w:ind w:left="5388" w:hanging="360"/>
      </w:pPr>
      <w:rPr>
        <w:rFonts w:cs="Times New Roman"/>
      </w:rPr>
    </w:lvl>
    <w:lvl w:ilvl="7" w:tplc="080A0019" w:tentative="1">
      <w:start w:val="1"/>
      <w:numFmt w:val="lowerLetter"/>
      <w:lvlText w:val="%8."/>
      <w:lvlJc w:val="left"/>
      <w:pPr>
        <w:ind w:left="6108" w:hanging="360"/>
      </w:pPr>
      <w:rPr>
        <w:rFonts w:cs="Times New Roman"/>
      </w:rPr>
    </w:lvl>
    <w:lvl w:ilvl="8" w:tplc="080A001B" w:tentative="1">
      <w:start w:val="1"/>
      <w:numFmt w:val="lowerRoman"/>
      <w:lvlText w:val="%9."/>
      <w:lvlJc w:val="right"/>
      <w:pPr>
        <w:ind w:left="6828" w:hanging="180"/>
      </w:pPr>
      <w:rPr>
        <w:rFonts w:cs="Times New Roman"/>
      </w:rPr>
    </w:lvl>
  </w:abstractNum>
  <w:abstractNum w:abstractNumId="32" w15:restartNumberingAfterBreak="0">
    <w:nsid w:val="2F9470C0"/>
    <w:multiLevelType w:val="multilevel"/>
    <w:tmpl w:val="FFFFFFFF"/>
    <w:lvl w:ilvl="0">
      <w:start w:val="4"/>
      <w:numFmt w:val="decimal"/>
      <w:lvlText w:val="%1."/>
      <w:lvlJc w:val="left"/>
      <w:pPr>
        <w:ind w:left="420" w:hanging="420"/>
      </w:pPr>
      <w:rPr>
        <w:rFonts w:cs="Times New Roman" w:hint="default"/>
      </w:rPr>
    </w:lvl>
    <w:lvl w:ilvl="1">
      <w:start w:val="2"/>
      <w:numFmt w:val="decimal"/>
      <w:lvlText w:val="%1.%2."/>
      <w:lvlJc w:val="left"/>
      <w:pPr>
        <w:ind w:left="1077" w:hanging="720"/>
      </w:pPr>
      <w:rPr>
        <w:rFonts w:cs="Times New Roman" w:hint="default"/>
      </w:rPr>
    </w:lvl>
    <w:lvl w:ilvl="2">
      <w:start w:val="1"/>
      <w:numFmt w:val="decimal"/>
      <w:lvlText w:val="%1.%2.%3."/>
      <w:lvlJc w:val="left"/>
      <w:pPr>
        <w:ind w:left="1434" w:hanging="720"/>
      </w:pPr>
      <w:rPr>
        <w:rFonts w:cs="Times New Roman" w:hint="default"/>
      </w:rPr>
    </w:lvl>
    <w:lvl w:ilvl="3">
      <w:start w:val="1"/>
      <w:numFmt w:val="decimal"/>
      <w:lvlText w:val="%1.%2.%3.%4."/>
      <w:lvlJc w:val="left"/>
      <w:pPr>
        <w:ind w:left="2151" w:hanging="1080"/>
      </w:pPr>
      <w:rPr>
        <w:rFonts w:cs="Times New Roman" w:hint="default"/>
      </w:rPr>
    </w:lvl>
    <w:lvl w:ilvl="4">
      <w:start w:val="1"/>
      <w:numFmt w:val="decimal"/>
      <w:lvlText w:val="%1.%2.%3.%4.%5."/>
      <w:lvlJc w:val="left"/>
      <w:pPr>
        <w:ind w:left="2508" w:hanging="1080"/>
      </w:pPr>
      <w:rPr>
        <w:rFonts w:cs="Times New Roman" w:hint="default"/>
      </w:rPr>
    </w:lvl>
    <w:lvl w:ilvl="5">
      <w:start w:val="1"/>
      <w:numFmt w:val="decimal"/>
      <w:lvlText w:val="%1.%2.%3.%4.%5.%6."/>
      <w:lvlJc w:val="left"/>
      <w:pPr>
        <w:ind w:left="3225" w:hanging="1440"/>
      </w:pPr>
      <w:rPr>
        <w:rFonts w:cs="Times New Roman" w:hint="default"/>
      </w:rPr>
    </w:lvl>
    <w:lvl w:ilvl="6">
      <w:start w:val="1"/>
      <w:numFmt w:val="decimal"/>
      <w:lvlText w:val="%1.%2.%3.%4.%5.%6.%7."/>
      <w:lvlJc w:val="left"/>
      <w:pPr>
        <w:ind w:left="3942" w:hanging="1800"/>
      </w:pPr>
      <w:rPr>
        <w:rFonts w:cs="Times New Roman" w:hint="default"/>
      </w:rPr>
    </w:lvl>
    <w:lvl w:ilvl="7">
      <w:start w:val="1"/>
      <w:numFmt w:val="decimal"/>
      <w:lvlText w:val="%1.%2.%3.%4.%5.%6.%7.%8."/>
      <w:lvlJc w:val="left"/>
      <w:pPr>
        <w:ind w:left="4299" w:hanging="1800"/>
      </w:pPr>
      <w:rPr>
        <w:rFonts w:cs="Times New Roman" w:hint="default"/>
      </w:rPr>
    </w:lvl>
    <w:lvl w:ilvl="8">
      <w:start w:val="1"/>
      <w:numFmt w:val="decimal"/>
      <w:lvlText w:val="%1.%2.%3.%4.%5.%6.%7.%8.%9."/>
      <w:lvlJc w:val="left"/>
      <w:pPr>
        <w:ind w:left="5016" w:hanging="2160"/>
      </w:pPr>
      <w:rPr>
        <w:rFonts w:cs="Times New Roman" w:hint="default"/>
      </w:rPr>
    </w:lvl>
  </w:abstractNum>
  <w:abstractNum w:abstractNumId="33" w15:restartNumberingAfterBreak="0">
    <w:nsid w:val="2FCC6374"/>
    <w:multiLevelType w:val="hybridMultilevel"/>
    <w:tmpl w:val="FFFFFFFF"/>
    <w:lvl w:ilvl="0" w:tplc="F280C9C8">
      <w:start w:val="1"/>
      <w:numFmt w:val="upperLetter"/>
      <w:lvlText w:val="%1."/>
      <w:lvlJc w:val="left"/>
      <w:pPr>
        <w:ind w:left="1060" w:hanging="360"/>
      </w:pPr>
      <w:rPr>
        <w:rFonts w:cs="Times New Roman" w:hint="default"/>
      </w:rPr>
    </w:lvl>
    <w:lvl w:ilvl="1" w:tplc="080A0019" w:tentative="1">
      <w:start w:val="1"/>
      <w:numFmt w:val="lowerLetter"/>
      <w:lvlText w:val="%2."/>
      <w:lvlJc w:val="left"/>
      <w:pPr>
        <w:ind w:left="1780" w:hanging="360"/>
      </w:pPr>
      <w:rPr>
        <w:rFonts w:cs="Times New Roman"/>
      </w:rPr>
    </w:lvl>
    <w:lvl w:ilvl="2" w:tplc="080A001B" w:tentative="1">
      <w:start w:val="1"/>
      <w:numFmt w:val="lowerRoman"/>
      <w:lvlText w:val="%3."/>
      <w:lvlJc w:val="right"/>
      <w:pPr>
        <w:ind w:left="2500" w:hanging="180"/>
      </w:pPr>
      <w:rPr>
        <w:rFonts w:cs="Times New Roman"/>
      </w:rPr>
    </w:lvl>
    <w:lvl w:ilvl="3" w:tplc="080A000F" w:tentative="1">
      <w:start w:val="1"/>
      <w:numFmt w:val="decimal"/>
      <w:lvlText w:val="%4."/>
      <w:lvlJc w:val="left"/>
      <w:pPr>
        <w:ind w:left="3220" w:hanging="360"/>
      </w:pPr>
      <w:rPr>
        <w:rFonts w:cs="Times New Roman"/>
      </w:rPr>
    </w:lvl>
    <w:lvl w:ilvl="4" w:tplc="080A0019" w:tentative="1">
      <w:start w:val="1"/>
      <w:numFmt w:val="lowerLetter"/>
      <w:lvlText w:val="%5."/>
      <w:lvlJc w:val="left"/>
      <w:pPr>
        <w:ind w:left="3940" w:hanging="360"/>
      </w:pPr>
      <w:rPr>
        <w:rFonts w:cs="Times New Roman"/>
      </w:rPr>
    </w:lvl>
    <w:lvl w:ilvl="5" w:tplc="080A001B" w:tentative="1">
      <w:start w:val="1"/>
      <w:numFmt w:val="lowerRoman"/>
      <w:lvlText w:val="%6."/>
      <w:lvlJc w:val="right"/>
      <w:pPr>
        <w:ind w:left="4660" w:hanging="180"/>
      </w:pPr>
      <w:rPr>
        <w:rFonts w:cs="Times New Roman"/>
      </w:rPr>
    </w:lvl>
    <w:lvl w:ilvl="6" w:tplc="080A000F" w:tentative="1">
      <w:start w:val="1"/>
      <w:numFmt w:val="decimal"/>
      <w:lvlText w:val="%7."/>
      <w:lvlJc w:val="left"/>
      <w:pPr>
        <w:ind w:left="5380" w:hanging="360"/>
      </w:pPr>
      <w:rPr>
        <w:rFonts w:cs="Times New Roman"/>
      </w:rPr>
    </w:lvl>
    <w:lvl w:ilvl="7" w:tplc="080A0019" w:tentative="1">
      <w:start w:val="1"/>
      <w:numFmt w:val="lowerLetter"/>
      <w:lvlText w:val="%8."/>
      <w:lvlJc w:val="left"/>
      <w:pPr>
        <w:ind w:left="6100" w:hanging="360"/>
      </w:pPr>
      <w:rPr>
        <w:rFonts w:cs="Times New Roman"/>
      </w:rPr>
    </w:lvl>
    <w:lvl w:ilvl="8" w:tplc="080A001B" w:tentative="1">
      <w:start w:val="1"/>
      <w:numFmt w:val="lowerRoman"/>
      <w:lvlText w:val="%9."/>
      <w:lvlJc w:val="right"/>
      <w:pPr>
        <w:ind w:left="6820" w:hanging="180"/>
      </w:pPr>
      <w:rPr>
        <w:rFonts w:cs="Times New Roman"/>
      </w:rPr>
    </w:lvl>
  </w:abstractNum>
  <w:abstractNum w:abstractNumId="34" w15:restartNumberingAfterBreak="0">
    <w:nsid w:val="305207DE"/>
    <w:multiLevelType w:val="multilevel"/>
    <w:tmpl w:val="FFFFFFFF"/>
    <w:lvl w:ilvl="0">
      <w:start w:val="1"/>
      <w:numFmt w:val="decimal"/>
      <w:lvlText w:val="%1."/>
      <w:lvlJc w:val="left"/>
      <w:pPr>
        <w:ind w:left="450" w:hanging="45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35" w15:restartNumberingAfterBreak="0">
    <w:nsid w:val="30927C2F"/>
    <w:multiLevelType w:val="multilevel"/>
    <w:tmpl w:val="FFFFFFFF"/>
    <w:lvl w:ilvl="0">
      <w:start w:val="5"/>
      <w:numFmt w:val="decimal"/>
      <w:lvlText w:val="%1."/>
      <w:lvlJc w:val="left"/>
      <w:pPr>
        <w:ind w:left="502" w:hanging="360"/>
      </w:pPr>
      <w:rPr>
        <w:rFonts w:cs="Times New Roman" w:hint="default"/>
      </w:rPr>
    </w:lvl>
    <w:lvl w:ilvl="1">
      <w:start w:val="1"/>
      <w:numFmt w:val="decimal"/>
      <w:lvlText w:val="%1.%2."/>
      <w:lvlJc w:val="left"/>
      <w:pPr>
        <w:ind w:left="502" w:hanging="360"/>
      </w:pPr>
      <w:rPr>
        <w:rFonts w:cs="Times New Roman" w:hint="default"/>
      </w:rPr>
    </w:lvl>
    <w:lvl w:ilvl="2">
      <w:start w:val="1"/>
      <w:numFmt w:val="decimal"/>
      <w:lvlText w:val="%1.%2.%3."/>
      <w:lvlJc w:val="left"/>
      <w:pPr>
        <w:ind w:left="862" w:hanging="720"/>
      </w:pPr>
      <w:rPr>
        <w:rFonts w:cs="Times New Roman" w:hint="default"/>
      </w:rPr>
    </w:lvl>
    <w:lvl w:ilvl="3">
      <w:start w:val="1"/>
      <w:numFmt w:val="decimal"/>
      <w:lvlText w:val="%1.%2.%3.%4."/>
      <w:lvlJc w:val="left"/>
      <w:pPr>
        <w:ind w:left="862" w:hanging="720"/>
      </w:pPr>
      <w:rPr>
        <w:rFonts w:cs="Times New Roman" w:hint="default"/>
      </w:rPr>
    </w:lvl>
    <w:lvl w:ilvl="4">
      <w:start w:val="1"/>
      <w:numFmt w:val="decimal"/>
      <w:lvlText w:val="%1.%2.%3.%4.%5."/>
      <w:lvlJc w:val="left"/>
      <w:pPr>
        <w:ind w:left="1222" w:hanging="1080"/>
      </w:pPr>
      <w:rPr>
        <w:rFonts w:cs="Times New Roman" w:hint="default"/>
      </w:rPr>
    </w:lvl>
    <w:lvl w:ilvl="5">
      <w:start w:val="1"/>
      <w:numFmt w:val="decimal"/>
      <w:lvlText w:val="%1.%2.%3.%4.%5.%6."/>
      <w:lvlJc w:val="left"/>
      <w:pPr>
        <w:ind w:left="1222" w:hanging="1080"/>
      </w:pPr>
      <w:rPr>
        <w:rFonts w:cs="Times New Roman" w:hint="default"/>
      </w:rPr>
    </w:lvl>
    <w:lvl w:ilvl="6">
      <w:start w:val="1"/>
      <w:numFmt w:val="decimal"/>
      <w:lvlText w:val="%1.%2.%3.%4.%5.%6.%7."/>
      <w:lvlJc w:val="left"/>
      <w:pPr>
        <w:ind w:left="1582" w:hanging="1440"/>
      </w:pPr>
      <w:rPr>
        <w:rFonts w:cs="Times New Roman" w:hint="default"/>
      </w:rPr>
    </w:lvl>
    <w:lvl w:ilvl="7">
      <w:start w:val="1"/>
      <w:numFmt w:val="decimal"/>
      <w:lvlText w:val="%1.%2.%3.%4.%5.%6.%7.%8."/>
      <w:lvlJc w:val="left"/>
      <w:pPr>
        <w:ind w:left="1582" w:hanging="1440"/>
      </w:pPr>
      <w:rPr>
        <w:rFonts w:cs="Times New Roman" w:hint="default"/>
      </w:rPr>
    </w:lvl>
    <w:lvl w:ilvl="8">
      <w:start w:val="1"/>
      <w:numFmt w:val="decimal"/>
      <w:lvlText w:val="%1.%2.%3.%4.%5.%6.%7.%8.%9."/>
      <w:lvlJc w:val="left"/>
      <w:pPr>
        <w:ind w:left="1942" w:hanging="1800"/>
      </w:pPr>
      <w:rPr>
        <w:rFonts w:cs="Times New Roman" w:hint="default"/>
      </w:rPr>
    </w:lvl>
  </w:abstractNum>
  <w:abstractNum w:abstractNumId="36" w15:restartNumberingAfterBreak="0">
    <w:nsid w:val="34473861"/>
    <w:multiLevelType w:val="multilevel"/>
    <w:tmpl w:val="FFFFFFFF"/>
    <w:lvl w:ilvl="0">
      <w:start w:val="5"/>
      <w:numFmt w:val="decimal"/>
      <w:lvlText w:val="%1."/>
      <w:lvlJc w:val="left"/>
      <w:pPr>
        <w:ind w:left="420" w:hanging="42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37" w15:restartNumberingAfterBreak="0">
    <w:nsid w:val="34524591"/>
    <w:multiLevelType w:val="hybridMultilevel"/>
    <w:tmpl w:val="FFFFFFFF"/>
    <w:lvl w:ilvl="0" w:tplc="E9C836F0">
      <w:start w:val="1"/>
      <w:numFmt w:val="decimal"/>
      <w:lvlText w:val="%1."/>
      <w:lvlJc w:val="left"/>
      <w:pPr>
        <w:ind w:left="720" w:hanging="360"/>
      </w:pPr>
      <w:rPr>
        <w:rFonts w:cs="Times New Roman"/>
      </w:rPr>
    </w:lvl>
    <w:lvl w:ilvl="1" w:tplc="0E02DA2A">
      <w:start w:val="1"/>
      <w:numFmt w:val="lowerLetter"/>
      <w:lvlText w:val="%2."/>
      <w:lvlJc w:val="left"/>
      <w:pPr>
        <w:ind w:left="1440" w:hanging="360"/>
      </w:pPr>
      <w:rPr>
        <w:rFonts w:cs="Times New Roman"/>
      </w:rPr>
    </w:lvl>
    <w:lvl w:ilvl="2" w:tplc="F7DC7E76">
      <w:start w:val="1"/>
      <w:numFmt w:val="lowerRoman"/>
      <w:lvlText w:val="%3."/>
      <w:lvlJc w:val="right"/>
      <w:pPr>
        <w:ind w:left="2160" w:hanging="180"/>
      </w:pPr>
      <w:rPr>
        <w:rFonts w:cs="Times New Roman"/>
      </w:rPr>
    </w:lvl>
    <w:lvl w:ilvl="3" w:tplc="08E81522">
      <w:start w:val="1"/>
      <w:numFmt w:val="decimal"/>
      <w:lvlText w:val="%4."/>
      <w:lvlJc w:val="left"/>
      <w:pPr>
        <w:ind w:left="2880" w:hanging="360"/>
      </w:pPr>
      <w:rPr>
        <w:rFonts w:cs="Times New Roman"/>
      </w:rPr>
    </w:lvl>
    <w:lvl w:ilvl="4" w:tplc="1DC0B53C">
      <w:start w:val="1"/>
      <w:numFmt w:val="lowerLetter"/>
      <w:lvlText w:val="%5."/>
      <w:lvlJc w:val="left"/>
      <w:pPr>
        <w:ind w:left="3600" w:hanging="360"/>
      </w:pPr>
      <w:rPr>
        <w:rFonts w:cs="Times New Roman"/>
      </w:rPr>
    </w:lvl>
    <w:lvl w:ilvl="5" w:tplc="69FA0C9E">
      <w:start w:val="1"/>
      <w:numFmt w:val="lowerRoman"/>
      <w:lvlText w:val="%6."/>
      <w:lvlJc w:val="right"/>
      <w:pPr>
        <w:ind w:left="4320" w:hanging="180"/>
      </w:pPr>
      <w:rPr>
        <w:rFonts w:cs="Times New Roman"/>
      </w:rPr>
    </w:lvl>
    <w:lvl w:ilvl="6" w:tplc="67E65FB6">
      <w:start w:val="1"/>
      <w:numFmt w:val="decimal"/>
      <w:lvlText w:val="%7."/>
      <w:lvlJc w:val="left"/>
      <w:pPr>
        <w:ind w:left="5040" w:hanging="360"/>
      </w:pPr>
      <w:rPr>
        <w:rFonts w:cs="Times New Roman"/>
      </w:rPr>
    </w:lvl>
    <w:lvl w:ilvl="7" w:tplc="3084B70A">
      <w:start w:val="1"/>
      <w:numFmt w:val="lowerLetter"/>
      <w:lvlText w:val="%8."/>
      <w:lvlJc w:val="left"/>
      <w:pPr>
        <w:ind w:left="5760" w:hanging="360"/>
      </w:pPr>
      <w:rPr>
        <w:rFonts w:cs="Times New Roman"/>
      </w:rPr>
    </w:lvl>
    <w:lvl w:ilvl="8" w:tplc="9F3E909E">
      <w:start w:val="1"/>
      <w:numFmt w:val="lowerRoman"/>
      <w:lvlText w:val="%9."/>
      <w:lvlJc w:val="right"/>
      <w:pPr>
        <w:ind w:left="6480" w:hanging="180"/>
      </w:pPr>
      <w:rPr>
        <w:rFonts w:cs="Times New Roman"/>
      </w:rPr>
    </w:lvl>
  </w:abstractNum>
  <w:abstractNum w:abstractNumId="38" w15:restartNumberingAfterBreak="0">
    <w:nsid w:val="34DB02A8"/>
    <w:multiLevelType w:val="hybridMultilevel"/>
    <w:tmpl w:val="FFFFFFFF"/>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3630D69C"/>
    <w:multiLevelType w:val="hybridMultilevel"/>
    <w:tmpl w:val="FFFFFFFF"/>
    <w:lvl w:ilvl="0" w:tplc="8286DB50">
      <w:start w:val="1"/>
      <w:numFmt w:val="decimal"/>
      <w:lvlText w:val="%1."/>
      <w:lvlJc w:val="left"/>
      <w:pPr>
        <w:ind w:left="720" w:hanging="360"/>
      </w:pPr>
      <w:rPr>
        <w:rFonts w:cs="Times New Roman"/>
      </w:rPr>
    </w:lvl>
    <w:lvl w:ilvl="1" w:tplc="3AB6D368">
      <w:start w:val="1"/>
      <w:numFmt w:val="lowerLetter"/>
      <w:lvlText w:val="%2."/>
      <w:lvlJc w:val="left"/>
      <w:pPr>
        <w:ind w:left="1440" w:hanging="360"/>
      </w:pPr>
      <w:rPr>
        <w:rFonts w:cs="Times New Roman"/>
      </w:rPr>
    </w:lvl>
    <w:lvl w:ilvl="2" w:tplc="CEDC477A">
      <w:start w:val="1"/>
      <w:numFmt w:val="lowerRoman"/>
      <w:lvlText w:val="%3."/>
      <w:lvlJc w:val="right"/>
      <w:pPr>
        <w:ind w:left="2160" w:hanging="180"/>
      </w:pPr>
      <w:rPr>
        <w:rFonts w:cs="Times New Roman"/>
      </w:rPr>
    </w:lvl>
    <w:lvl w:ilvl="3" w:tplc="628C2F00">
      <w:start w:val="1"/>
      <w:numFmt w:val="decimal"/>
      <w:lvlText w:val="%4."/>
      <w:lvlJc w:val="left"/>
      <w:pPr>
        <w:ind w:left="2880" w:hanging="360"/>
      </w:pPr>
      <w:rPr>
        <w:rFonts w:cs="Times New Roman"/>
      </w:rPr>
    </w:lvl>
    <w:lvl w:ilvl="4" w:tplc="7DC215F0">
      <w:start w:val="1"/>
      <w:numFmt w:val="lowerLetter"/>
      <w:lvlText w:val="%5."/>
      <w:lvlJc w:val="left"/>
      <w:pPr>
        <w:ind w:left="3600" w:hanging="360"/>
      </w:pPr>
      <w:rPr>
        <w:rFonts w:cs="Times New Roman"/>
      </w:rPr>
    </w:lvl>
    <w:lvl w:ilvl="5" w:tplc="1CAC5F56">
      <w:start w:val="1"/>
      <w:numFmt w:val="lowerRoman"/>
      <w:lvlText w:val="%6."/>
      <w:lvlJc w:val="right"/>
      <w:pPr>
        <w:ind w:left="4320" w:hanging="180"/>
      </w:pPr>
      <w:rPr>
        <w:rFonts w:cs="Times New Roman"/>
      </w:rPr>
    </w:lvl>
    <w:lvl w:ilvl="6" w:tplc="F05A650C">
      <w:start w:val="1"/>
      <w:numFmt w:val="decimal"/>
      <w:lvlText w:val="%7."/>
      <w:lvlJc w:val="left"/>
      <w:pPr>
        <w:ind w:left="5040" w:hanging="360"/>
      </w:pPr>
      <w:rPr>
        <w:rFonts w:cs="Times New Roman"/>
      </w:rPr>
    </w:lvl>
    <w:lvl w:ilvl="7" w:tplc="D4741538">
      <w:start w:val="1"/>
      <w:numFmt w:val="lowerLetter"/>
      <w:lvlText w:val="%8."/>
      <w:lvlJc w:val="left"/>
      <w:pPr>
        <w:ind w:left="5760" w:hanging="360"/>
      </w:pPr>
      <w:rPr>
        <w:rFonts w:cs="Times New Roman"/>
      </w:rPr>
    </w:lvl>
    <w:lvl w:ilvl="8" w:tplc="892AB5BE">
      <w:start w:val="1"/>
      <w:numFmt w:val="lowerRoman"/>
      <w:lvlText w:val="%9."/>
      <w:lvlJc w:val="right"/>
      <w:pPr>
        <w:ind w:left="6480" w:hanging="180"/>
      </w:pPr>
      <w:rPr>
        <w:rFonts w:cs="Times New Roman"/>
      </w:rPr>
    </w:lvl>
  </w:abstractNum>
  <w:abstractNum w:abstractNumId="40" w15:restartNumberingAfterBreak="0">
    <w:nsid w:val="390F45B2"/>
    <w:multiLevelType w:val="multilevel"/>
    <w:tmpl w:val="FFFFFFFF"/>
    <w:styleLink w:val="Listaactual9"/>
    <w:lvl w:ilvl="0">
      <w:start w:val="1"/>
      <w:numFmt w:val="decimal"/>
      <w:lvlText w:val="%1."/>
      <w:lvlJc w:val="left"/>
      <w:pPr>
        <w:ind w:left="320" w:hanging="320"/>
      </w:pPr>
      <w:rPr>
        <w:rFonts w:ascii="Times New Roman" w:hAnsi="Times New Roman" w:cs="Times New Roman" w:hint="default"/>
        <w:b w:val="0"/>
        <w:bCs w:val="0"/>
        <w:i w:val="0"/>
        <w:iCs/>
        <w:color w:val="auto"/>
        <w:sz w:val="28"/>
        <w:szCs w:val="28"/>
        <w:vertAlign w:val="baseline"/>
      </w:rPr>
    </w:lvl>
    <w:lvl w:ilvl="1">
      <w:start w:val="4"/>
      <w:numFmt w:val="none"/>
      <w:isLgl/>
      <w:lvlText w:val="4.1."/>
      <w:lvlJc w:val="left"/>
      <w:pPr>
        <w:ind w:left="1885" w:hanging="750"/>
      </w:pPr>
      <w:rPr>
        <w:rFonts w:cs="Times New Roman" w:hint="default"/>
      </w:rPr>
    </w:lvl>
    <w:lvl w:ilvl="2">
      <w:start w:val="1"/>
      <w:numFmt w:val="decimal"/>
      <w:isLgl/>
      <w:lvlText w:val="%1.%2.%3."/>
      <w:lvlJc w:val="left"/>
      <w:pPr>
        <w:ind w:left="1885" w:hanging="750"/>
      </w:pPr>
      <w:rPr>
        <w:rFonts w:cs="Times New Roman" w:hint="default"/>
      </w:rPr>
    </w:lvl>
    <w:lvl w:ilvl="3">
      <w:start w:val="1"/>
      <w:numFmt w:val="decimal"/>
      <w:isLgl/>
      <w:lvlText w:val="%1.%2.%3.%4."/>
      <w:lvlJc w:val="left"/>
      <w:pPr>
        <w:ind w:left="2215" w:hanging="1080"/>
      </w:pPr>
      <w:rPr>
        <w:rFonts w:cs="Times New Roman" w:hint="default"/>
      </w:rPr>
    </w:lvl>
    <w:lvl w:ilvl="4">
      <w:start w:val="1"/>
      <w:numFmt w:val="decimal"/>
      <w:isLgl/>
      <w:lvlText w:val="%1.%2.%3.%4.%5."/>
      <w:lvlJc w:val="left"/>
      <w:pPr>
        <w:ind w:left="2215" w:hanging="1080"/>
      </w:pPr>
      <w:rPr>
        <w:rFonts w:cs="Times New Roman" w:hint="default"/>
      </w:rPr>
    </w:lvl>
    <w:lvl w:ilvl="5">
      <w:start w:val="1"/>
      <w:numFmt w:val="decimal"/>
      <w:isLgl/>
      <w:lvlText w:val="%1.%2.%3.%4.%5.%6."/>
      <w:lvlJc w:val="left"/>
      <w:pPr>
        <w:ind w:left="2575" w:hanging="1440"/>
      </w:pPr>
      <w:rPr>
        <w:rFonts w:cs="Times New Roman" w:hint="default"/>
      </w:rPr>
    </w:lvl>
    <w:lvl w:ilvl="6">
      <w:start w:val="1"/>
      <w:numFmt w:val="decimal"/>
      <w:isLgl/>
      <w:lvlText w:val="%1.%2.%3.%4.%5.%6.%7."/>
      <w:lvlJc w:val="left"/>
      <w:pPr>
        <w:ind w:left="2935" w:hanging="1800"/>
      </w:pPr>
      <w:rPr>
        <w:rFonts w:cs="Times New Roman" w:hint="default"/>
      </w:rPr>
    </w:lvl>
    <w:lvl w:ilvl="7">
      <w:start w:val="1"/>
      <w:numFmt w:val="decimal"/>
      <w:isLgl/>
      <w:lvlText w:val="%1.%2.%3.%4.%5.%6.%7.%8."/>
      <w:lvlJc w:val="left"/>
      <w:pPr>
        <w:ind w:left="2935" w:hanging="1800"/>
      </w:pPr>
      <w:rPr>
        <w:rFonts w:cs="Times New Roman" w:hint="default"/>
      </w:rPr>
    </w:lvl>
    <w:lvl w:ilvl="8">
      <w:start w:val="1"/>
      <w:numFmt w:val="decimal"/>
      <w:isLgl/>
      <w:lvlText w:val="%1.%2.%3.%4.%5.%6.%7.%8.%9."/>
      <w:lvlJc w:val="left"/>
      <w:pPr>
        <w:ind w:left="3295" w:hanging="2160"/>
      </w:pPr>
      <w:rPr>
        <w:rFonts w:cs="Times New Roman" w:hint="default"/>
      </w:rPr>
    </w:lvl>
  </w:abstractNum>
  <w:abstractNum w:abstractNumId="41" w15:restartNumberingAfterBreak="0">
    <w:nsid w:val="391C32D9"/>
    <w:multiLevelType w:val="hybridMultilevel"/>
    <w:tmpl w:val="FFFFFFFF"/>
    <w:lvl w:ilvl="0" w:tplc="01F6A188">
      <w:start w:val="1"/>
      <w:numFmt w:val="decimal"/>
      <w:lvlText w:val="%1."/>
      <w:lvlJc w:val="left"/>
      <w:pPr>
        <w:ind w:left="720" w:hanging="360"/>
      </w:pPr>
      <w:rPr>
        <w:rFonts w:cs="Times New Roman" w:hint="default"/>
        <w:b/>
        <w:bCs/>
        <w:i w:val="0"/>
        <w:iCs w:val="0"/>
      </w:rPr>
    </w:lvl>
    <w:lvl w:ilvl="1" w:tplc="240A0019" w:tentative="1">
      <w:start w:val="1"/>
      <w:numFmt w:val="lowerLetter"/>
      <w:lvlText w:val="%2."/>
      <w:lvlJc w:val="left"/>
      <w:pPr>
        <w:ind w:left="1440" w:hanging="360"/>
      </w:pPr>
      <w:rPr>
        <w:rFonts w:cs="Times New Roman"/>
      </w:rPr>
    </w:lvl>
    <w:lvl w:ilvl="2" w:tplc="240A001B" w:tentative="1">
      <w:start w:val="1"/>
      <w:numFmt w:val="lowerRoman"/>
      <w:lvlText w:val="%3."/>
      <w:lvlJc w:val="right"/>
      <w:pPr>
        <w:ind w:left="2160" w:hanging="180"/>
      </w:pPr>
      <w:rPr>
        <w:rFonts w:cs="Times New Roman"/>
      </w:rPr>
    </w:lvl>
    <w:lvl w:ilvl="3" w:tplc="240A000F" w:tentative="1">
      <w:start w:val="1"/>
      <w:numFmt w:val="decimal"/>
      <w:lvlText w:val="%4."/>
      <w:lvlJc w:val="left"/>
      <w:pPr>
        <w:ind w:left="2880" w:hanging="360"/>
      </w:pPr>
      <w:rPr>
        <w:rFonts w:cs="Times New Roman"/>
      </w:rPr>
    </w:lvl>
    <w:lvl w:ilvl="4" w:tplc="240A0019" w:tentative="1">
      <w:start w:val="1"/>
      <w:numFmt w:val="lowerLetter"/>
      <w:lvlText w:val="%5."/>
      <w:lvlJc w:val="left"/>
      <w:pPr>
        <w:ind w:left="3600" w:hanging="360"/>
      </w:pPr>
      <w:rPr>
        <w:rFonts w:cs="Times New Roman"/>
      </w:rPr>
    </w:lvl>
    <w:lvl w:ilvl="5" w:tplc="240A001B" w:tentative="1">
      <w:start w:val="1"/>
      <w:numFmt w:val="lowerRoman"/>
      <w:lvlText w:val="%6."/>
      <w:lvlJc w:val="right"/>
      <w:pPr>
        <w:ind w:left="4320" w:hanging="180"/>
      </w:pPr>
      <w:rPr>
        <w:rFonts w:cs="Times New Roman"/>
      </w:rPr>
    </w:lvl>
    <w:lvl w:ilvl="6" w:tplc="240A000F" w:tentative="1">
      <w:start w:val="1"/>
      <w:numFmt w:val="decimal"/>
      <w:lvlText w:val="%7."/>
      <w:lvlJc w:val="left"/>
      <w:pPr>
        <w:ind w:left="5040" w:hanging="360"/>
      </w:pPr>
      <w:rPr>
        <w:rFonts w:cs="Times New Roman"/>
      </w:rPr>
    </w:lvl>
    <w:lvl w:ilvl="7" w:tplc="240A0019" w:tentative="1">
      <w:start w:val="1"/>
      <w:numFmt w:val="lowerLetter"/>
      <w:lvlText w:val="%8."/>
      <w:lvlJc w:val="left"/>
      <w:pPr>
        <w:ind w:left="5760" w:hanging="360"/>
      </w:pPr>
      <w:rPr>
        <w:rFonts w:cs="Times New Roman"/>
      </w:rPr>
    </w:lvl>
    <w:lvl w:ilvl="8" w:tplc="240A001B" w:tentative="1">
      <w:start w:val="1"/>
      <w:numFmt w:val="lowerRoman"/>
      <w:lvlText w:val="%9."/>
      <w:lvlJc w:val="right"/>
      <w:pPr>
        <w:ind w:left="6480" w:hanging="180"/>
      </w:pPr>
      <w:rPr>
        <w:rFonts w:cs="Times New Roman"/>
      </w:rPr>
    </w:lvl>
  </w:abstractNum>
  <w:abstractNum w:abstractNumId="42" w15:restartNumberingAfterBreak="0">
    <w:nsid w:val="3AF62C05"/>
    <w:multiLevelType w:val="multilevel"/>
    <w:tmpl w:val="FFFFFFFF"/>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3" w15:restartNumberingAfterBreak="0">
    <w:nsid w:val="3C1949E5"/>
    <w:multiLevelType w:val="hybridMultilevel"/>
    <w:tmpl w:val="FFFFFFFF"/>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4" w15:restartNumberingAfterBreak="0">
    <w:nsid w:val="3E422942"/>
    <w:multiLevelType w:val="hybridMultilevel"/>
    <w:tmpl w:val="FFFFFFFF"/>
    <w:lvl w:ilvl="0" w:tplc="C55CDEE6">
      <w:start w:val="1"/>
      <w:numFmt w:val="upperLetter"/>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45" w15:restartNumberingAfterBreak="0">
    <w:nsid w:val="3FD4645F"/>
    <w:multiLevelType w:val="hybridMultilevel"/>
    <w:tmpl w:val="FFFFFFFF"/>
    <w:lvl w:ilvl="0" w:tplc="BA70E826">
      <w:start w:val="1"/>
      <w:numFmt w:val="decimal"/>
      <w:lvlText w:val="%1."/>
      <w:lvlJc w:val="left"/>
      <w:pPr>
        <w:ind w:left="720" w:hanging="360"/>
      </w:pPr>
      <w:rPr>
        <w:rFonts w:cs="Times New Roman" w:hint="default"/>
        <w:sz w:val="28"/>
        <w:szCs w:val="28"/>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6" w15:restartNumberingAfterBreak="0">
    <w:nsid w:val="41D5383A"/>
    <w:multiLevelType w:val="multilevel"/>
    <w:tmpl w:val="FFFFFFFF"/>
    <w:lvl w:ilvl="0">
      <w:start w:val="1"/>
      <w:numFmt w:val="decimal"/>
      <w:lvlText w:val="%1."/>
      <w:lvlJc w:val="left"/>
      <w:pPr>
        <w:ind w:left="320" w:hanging="320"/>
      </w:pPr>
      <w:rPr>
        <w:rFonts w:ascii="Times New Roman" w:hAnsi="Times New Roman" w:cs="Times New Roman" w:hint="default"/>
        <w:b w:val="0"/>
        <w:bCs w:val="0"/>
        <w:i w:val="0"/>
        <w:iCs/>
        <w:color w:val="auto"/>
        <w:sz w:val="28"/>
        <w:szCs w:val="28"/>
        <w:vertAlign w:val="baseline"/>
      </w:rPr>
    </w:lvl>
    <w:lvl w:ilvl="1">
      <w:start w:val="4"/>
      <w:numFmt w:val="none"/>
      <w:isLgl/>
      <w:lvlText w:val="4.1."/>
      <w:lvlJc w:val="left"/>
      <w:pPr>
        <w:ind w:left="1885" w:hanging="750"/>
      </w:pPr>
      <w:rPr>
        <w:rFonts w:cs="Times New Roman" w:hint="default"/>
      </w:rPr>
    </w:lvl>
    <w:lvl w:ilvl="2">
      <w:start w:val="1"/>
      <w:numFmt w:val="decimal"/>
      <w:isLgl/>
      <w:lvlText w:val="3%2.1."/>
      <w:lvlJc w:val="left"/>
      <w:pPr>
        <w:ind w:left="1885" w:hanging="750"/>
      </w:pPr>
      <w:rPr>
        <w:rFonts w:cs="Times New Roman" w:hint="default"/>
      </w:rPr>
    </w:lvl>
    <w:lvl w:ilvl="3">
      <w:start w:val="1"/>
      <w:numFmt w:val="decimal"/>
      <w:isLgl/>
      <w:lvlText w:val="%1.%2.%3.%4."/>
      <w:lvlJc w:val="left"/>
      <w:pPr>
        <w:ind w:left="2215" w:hanging="1080"/>
      </w:pPr>
      <w:rPr>
        <w:rFonts w:cs="Times New Roman" w:hint="default"/>
      </w:rPr>
    </w:lvl>
    <w:lvl w:ilvl="4">
      <w:start w:val="1"/>
      <w:numFmt w:val="decimal"/>
      <w:isLgl/>
      <w:lvlText w:val="%1.%2.%3.%4.%5."/>
      <w:lvlJc w:val="left"/>
      <w:pPr>
        <w:ind w:left="2215" w:hanging="1080"/>
      </w:pPr>
      <w:rPr>
        <w:rFonts w:cs="Times New Roman" w:hint="default"/>
      </w:rPr>
    </w:lvl>
    <w:lvl w:ilvl="5">
      <w:start w:val="1"/>
      <w:numFmt w:val="decimal"/>
      <w:isLgl/>
      <w:lvlText w:val="%1.%2.%3.%4.%5.%6."/>
      <w:lvlJc w:val="left"/>
      <w:pPr>
        <w:ind w:left="2575" w:hanging="1440"/>
      </w:pPr>
      <w:rPr>
        <w:rFonts w:cs="Times New Roman" w:hint="default"/>
      </w:rPr>
    </w:lvl>
    <w:lvl w:ilvl="6">
      <w:start w:val="1"/>
      <w:numFmt w:val="decimal"/>
      <w:isLgl/>
      <w:lvlText w:val="%1.%2.%3.%4.%5.%6.%7."/>
      <w:lvlJc w:val="left"/>
      <w:pPr>
        <w:ind w:left="2935" w:hanging="1800"/>
      </w:pPr>
      <w:rPr>
        <w:rFonts w:cs="Times New Roman" w:hint="default"/>
      </w:rPr>
    </w:lvl>
    <w:lvl w:ilvl="7">
      <w:start w:val="1"/>
      <w:numFmt w:val="decimal"/>
      <w:isLgl/>
      <w:lvlText w:val="%1.%2.%3.%4.%5.%6.%7.%8."/>
      <w:lvlJc w:val="left"/>
      <w:pPr>
        <w:ind w:left="2935" w:hanging="1800"/>
      </w:pPr>
      <w:rPr>
        <w:rFonts w:cs="Times New Roman" w:hint="default"/>
      </w:rPr>
    </w:lvl>
    <w:lvl w:ilvl="8">
      <w:start w:val="1"/>
      <w:numFmt w:val="decimal"/>
      <w:isLgl/>
      <w:lvlText w:val="%1.%2.%3.%4.%5.%6.%7.%8.%9."/>
      <w:lvlJc w:val="left"/>
      <w:pPr>
        <w:ind w:left="3295" w:hanging="2160"/>
      </w:pPr>
      <w:rPr>
        <w:rFonts w:cs="Times New Roman" w:hint="default"/>
      </w:rPr>
    </w:lvl>
  </w:abstractNum>
  <w:abstractNum w:abstractNumId="47" w15:restartNumberingAfterBreak="0">
    <w:nsid w:val="43281897"/>
    <w:multiLevelType w:val="multilevel"/>
    <w:tmpl w:val="FFFFFFFF"/>
    <w:styleLink w:val="Listaactual6"/>
    <w:lvl w:ilvl="0">
      <w:start w:val="4"/>
      <w:numFmt w:val="decimal"/>
      <w:lvlText w:val="%1."/>
      <w:lvlJc w:val="left"/>
      <w:pPr>
        <w:ind w:left="420" w:hanging="420"/>
      </w:pPr>
      <w:rPr>
        <w:rFonts w:cs="Times New Roman" w:hint="default"/>
      </w:rPr>
    </w:lvl>
    <w:lvl w:ilvl="1">
      <w:start w:val="2"/>
      <w:numFmt w:val="none"/>
      <w:lvlText w:val="5.1."/>
      <w:lvlJc w:val="left"/>
      <w:pPr>
        <w:ind w:left="1077" w:hanging="720"/>
      </w:pPr>
      <w:rPr>
        <w:rFonts w:cs="Times New Roman" w:hint="default"/>
      </w:rPr>
    </w:lvl>
    <w:lvl w:ilvl="2">
      <w:start w:val="1"/>
      <w:numFmt w:val="decimal"/>
      <w:lvlText w:val="%1.%2.%3."/>
      <w:lvlJc w:val="left"/>
      <w:pPr>
        <w:ind w:left="1434" w:hanging="720"/>
      </w:pPr>
      <w:rPr>
        <w:rFonts w:cs="Times New Roman" w:hint="default"/>
      </w:rPr>
    </w:lvl>
    <w:lvl w:ilvl="3">
      <w:start w:val="1"/>
      <w:numFmt w:val="decimal"/>
      <w:lvlText w:val="%1.%2.%3.%4."/>
      <w:lvlJc w:val="left"/>
      <w:pPr>
        <w:ind w:left="2151" w:hanging="1080"/>
      </w:pPr>
      <w:rPr>
        <w:rFonts w:cs="Times New Roman" w:hint="default"/>
      </w:rPr>
    </w:lvl>
    <w:lvl w:ilvl="4">
      <w:start w:val="1"/>
      <w:numFmt w:val="decimal"/>
      <w:lvlText w:val="%1.%2.%3.%4.%5."/>
      <w:lvlJc w:val="left"/>
      <w:pPr>
        <w:ind w:left="2508" w:hanging="1080"/>
      </w:pPr>
      <w:rPr>
        <w:rFonts w:cs="Times New Roman" w:hint="default"/>
      </w:rPr>
    </w:lvl>
    <w:lvl w:ilvl="5">
      <w:start w:val="1"/>
      <w:numFmt w:val="decimal"/>
      <w:lvlText w:val="%1.%2.%3.%4.%5.%6."/>
      <w:lvlJc w:val="left"/>
      <w:pPr>
        <w:ind w:left="3225" w:hanging="1440"/>
      </w:pPr>
      <w:rPr>
        <w:rFonts w:cs="Times New Roman" w:hint="default"/>
      </w:rPr>
    </w:lvl>
    <w:lvl w:ilvl="6">
      <w:start w:val="1"/>
      <w:numFmt w:val="decimal"/>
      <w:lvlText w:val="%1.%2.%3.%4.%5.%6.%7."/>
      <w:lvlJc w:val="left"/>
      <w:pPr>
        <w:ind w:left="3942" w:hanging="1800"/>
      </w:pPr>
      <w:rPr>
        <w:rFonts w:cs="Times New Roman" w:hint="default"/>
      </w:rPr>
    </w:lvl>
    <w:lvl w:ilvl="7">
      <w:start w:val="1"/>
      <w:numFmt w:val="decimal"/>
      <w:lvlText w:val="%1.%2.%3.%4.%5.%6.%7.%8."/>
      <w:lvlJc w:val="left"/>
      <w:pPr>
        <w:ind w:left="4299" w:hanging="1800"/>
      </w:pPr>
      <w:rPr>
        <w:rFonts w:cs="Times New Roman" w:hint="default"/>
      </w:rPr>
    </w:lvl>
    <w:lvl w:ilvl="8">
      <w:start w:val="1"/>
      <w:numFmt w:val="decimal"/>
      <w:lvlText w:val="%1.%2.%3.%4.%5.%6.%7.%8.%9."/>
      <w:lvlJc w:val="left"/>
      <w:pPr>
        <w:ind w:left="5016" w:hanging="2160"/>
      </w:pPr>
      <w:rPr>
        <w:rFonts w:cs="Times New Roman" w:hint="default"/>
      </w:rPr>
    </w:lvl>
  </w:abstractNum>
  <w:abstractNum w:abstractNumId="48" w15:restartNumberingAfterBreak="0">
    <w:nsid w:val="45C42C82"/>
    <w:multiLevelType w:val="hybridMultilevel"/>
    <w:tmpl w:val="FFFFFFFF"/>
    <w:lvl w:ilvl="0" w:tplc="FFFFFFFF">
      <w:start w:val="1"/>
      <w:numFmt w:val="lowerLetter"/>
      <w:lvlText w:val="%1)"/>
      <w:lvlJc w:val="left"/>
      <w:pPr>
        <w:ind w:left="644" w:hanging="360"/>
      </w:pPr>
      <w:rPr>
        <w:rFonts w:cs="Times New Roman" w:hint="default"/>
        <w:b/>
      </w:rPr>
    </w:lvl>
    <w:lvl w:ilvl="1" w:tplc="FFFFFFFF" w:tentative="1">
      <w:start w:val="1"/>
      <w:numFmt w:val="lowerLetter"/>
      <w:lvlText w:val="%2."/>
      <w:lvlJc w:val="left"/>
      <w:pPr>
        <w:ind w:left="1364" w:hanging="360"/>
      </w:pPr>
      <w:rPr>
        <w:rFonts w:cs="Times New Roman"/>
      </w:rPr>
    </w:lvl>
    <w:lvl w:ilvl="2" w:tplc="FFFFFFFF" w:tentative="1">
      <w:start w:val="1"/>
      <w:numFmt w:val="lowerRoman"/>
      <w:lvlText w:val="%3."/>
      <w:lvlJc w:val="right"/>
      <w:pPr>
        <w:ind w:left="2084" w:hanging="180"/>
      </w:pPr>
      <w:rPr>
        <w:rFonts w:cs="Times New Roman"/>
      </w:rPr>
    </w:lvl>
    <w:lvl w:ilvl="3" w:tplc="FFFFFFFF" w:tentative="1">
      <w:start w:val="1"/>
      <w:numFmt w:val="decimal"/>
      <w:lvlText w:val="%4."/>
      <w:lvlJc w:val="left"/>
      <w:pPr>
        <w:ind w:left="2804" w:hanging="360"/>
      </w:pPr>
      <w:rPr>
        <w:rFonts w:cs="Times New Roman"/>
      </w:rPr>
    </w:lvl>
    <w:lvl w:ilvl="4" w:tplc="FFFFFFFF" w:tentative="1">
      <w:start w:val="1"/>
      <w:numFmt w:val="lowerLetter"/>
      <w:lvlText w:val="%5."/>
      <w:lvlJc w:val="left"/>
      <w:pPr>
        <w:ind w:left="3524" w:hanging="360"/>
      </w:pPr>
      <w:rPr>
        <w:rFonts w:cs="Times New Roman"/>
      </w:rPr>
    </w:lvl>
    <w:lvl w:ilvl="5" w:tplc="FFFFFFFF" w:tentative="1">
      <w:start w:val="1"/>
      <w:numFmt w:val="lowerRoman"/>
      <w:lvlText w:val="%6."/>
      <w:lvlJc w:val="right"/>
      <w:pPr>
        <w:ind w:left="4244" w:hanging="180"/>
      </w:pPr>
      <w:rPr>
        <w:rFonts w:cs="Times New Roman"/>
      </w:rPr>
    </w:lvl>
    <w:lvl w:ilvl="6" w:tplc="FFFFFFFF" w:tentative="1">
      <w:start w:val="1"/>
      <w:numFmt w:val="decimal"/>
      <w:lvlText w:val="%7."/>
      <w:lvlJc w:val="left"/>
      <w:pPr>
        <w:ind w:left="4964" w:hanging="360"/>
      </w:pPr>
      <w:rPr>
        <w:rFonts w:cs="Times New Roman"/>
      </w:rPr>
    </w:lvl>
    <w:lvl w:ilvl="7" w:tplc="FFFFFFFF" w:tentative="1">
      <w:start w:val="1"/>
      <w:numFmt w:val="lowerLetter"/>
      <w:lvlText w:val="%8."/>
      <w:lvlJc w:val="left"/>
      <w:pPr>
        <w:ind w:left="5684" w:hanging="360"/>
      </w:pPr>
      <w:rPr>
        <w:rFonts w:cs="Times New Roman"/>
      </w:rPr>
    </w:lvl>
    <w:lvl w:ilvl="8" w:tplc="FFFFFFFF" w:tentative="1">
      <w:start w:val="1"/>
      <w:numFmt w:val="lowerRoman"/>
      <w:lvlText w:val="%9."/>
      <w:lvlJc w:val="right"/>
      <w:pPr>
        <w:ind w:left="6404" w:hanging="180"/>
      </w:pPr>
      <w:rPr>
        <w:rFonts w:cs="Times New Roman"/>
      </w:rPr>
    </w:lvl>
  </w:abstractNum>
  <w:abstractNum w:abstractNumId="49" w15:restartNumberingAfterBreak="0">
    <w:nsid w:val="48E0C6E2"/>
    <w:multiLevelType w:val="hybridMultilevel"/>
    <w:tmpl w:val="FFFFFFFF"/>
    <w:lvl w:ilvl="0" w:tplc="D9D2EDE0">
      <w:start w:val="1"/>
      <w:numFmt w:val="decimal"/>
      <w:lvlText w:val="%1."/>
      <w:lvlJc w:val="left"/>
      <w:pPr>
        <w:ind w:left="720" w:hanging="360"/>
      </w:pPr>
      <w:rPr>
        <w:rFonts w:cs="Times New Roman"/>
      </w:rPr>
    </w:lvl>
    <w:lvl w:ilvl="1" w:tplc="6A54B3F8">
      <w:start w:val="1"/>
      <w:numFmt w:val="lowerLetter"/>
      <w:lvlText w:val="%2."/>
      <w:lvlJc w:val="left"/>
      <w:pPr>
        <w:ind w:left="1440" w:hanging="360"/>
      </w:pPr>
      <w:rPr>
        <w:rFonts w:cs="Times New Roman"/>
      </w:rPr>
    </w:lvl>
    <w:lvl w:ilvl="2" w:tplc="BF186F0E">
      <w:start w:val="1"/>
      <w:numFmt w:val="lowerRoman"/>
      <w:lvlText w:val="%3."/>
      <w:lvlJc w:val="right"/>
      <w:pPr>
        <w:ind w:left="2160" w:hanging="180"/>
      </w:pPr>
      <w:rPr>
        <w:rFonts w:cs="Times New Roman"/>
      </w:rPr>
    </w:lvl>
    <w:lvl w:ilvl="3" w:tplc="FD3ED9DE">
      <w:start w:val="1"/>
      <w:numFmt w:val="decimal"/>
      <w:lvlText w:val="%4."/>
      <w:lvlJc w:val="left"/>
      <w:pPr>
        <w:ind w:left="2880" w:hanging="360"/>
      </w:pPr>
      <w:rPr>
        <w:rFonts w:cs="Times New Roman"/>
      </w:rPr>
    </w:lvl>
    <w:lvl w:ilvl="4" w:tplc="C1DA7E88">
      <w:start w:val="1"/>
      <w:numFmt w:val="lowerLetter"/>
      <w:lvlText w:val="%5."/>
      <w:lvlJc w:val="left"/>
      <w:pPr>
        <w:ind w:left="3600" w:hanging="360"/>
      </w:pPr>
      <w:rPr>
        <w:rFonts w:cs="Times New Roman"/>
      </w:rPr>
    </w:lvl>
    <w:lvl w:ilvl="5" w:tplc="AF585BA0">
      <w:start w:val="1"/>
      <w:numFmt w:val="lowerRoman"/>
      <w:lvlText w:val="%6."/>
      <w:lvlJc w:val="right"/>
      <w:pPr>
        <w:ind w:left="4320" w:hanging="180"/>
      </w:pPr>
      <w:rPr>
        <w:rFonts w:cs="Times New Roman"/>
      </w:rPr>
    </w:lvl>
    <w:lvl w:ilvl="6" w:tplc="9CCE005E">
      <w:start w:val="1"/>
      <w:numFmt w:val="decimal"/>
      <w:lvlText w:val="%7."/>
      <w:lvlJc w:val="left"/>
      <w:pPr>
        <w:ind w:left="5040" w:hanging="360"/>
      </w:pPr>
      <w:rPr>
        <w:rFonts w:cs="Times New Roman"/>
      </w:rPr>
    </w:lvl>
    <w:lvl w:ilvl="7" w:tplc="79702C96">
      <w:start w:val="1"/>
      <w:numFmt w:val="lowerLetter"/>
      <w:lvlText w:val="%8."/>
      <w:lvlJc w:val="left"/>
      <w:pPr>
        <w:ind w:left="5760" w:hanging="360"/>
      </w:pPr>
      <w:rPr>
        <w:rFonts w:cs="Times New Roman"/>
      </w:rPr>
    </w:lvl>
    <w:lvl w:ilvl="8" w:tplc="C3DA2474">
      <w:start w:val="1"/>
      <w:numFmt w:val="lowerRoman"/>
      <w:lvlText w:val="%9."/>
      <w:lvlJc w:val="right"/>
      <w:pPr>
        <w:ind w:left="6480" w:hanging="180"/>
      </w:pPr>
      <w:rPr>
        <w:rFonts w:cs="Times New Roman"/>
      </w:rPr>
    </w:lvl>
  </w:abstractNum>
  <w:abstractNum w:abstractNumId="50" w15:restartNumberingAfterBreak="0">
    <w:nsid w:val="4B9C6EDD"/>
    <w:multiLevelType w:val="multilevel"/>
    <w:tmpl w:val="FFFFFFFF"/>
    <w:lvl w:ilvl="0">
      <w:start w:val="4"/>
      <w:numFmt w:val="decimal"/>
      <w:lvlText w:val="%1."/>
      <w:lvlJc w:val="left"/>
      <w:pPr>
        <w:ind w:left="420" w:hanging="420"/>
      </w:pPr>
      <w:rPr>
        <w:rFonts w:cs="Times New Roman" w:hint="default"/>
      </w:rPr>
    </w:lvl>
    <w:lvl w:ilvl="1">
      <w:start w:val="3"/>
      <w:numFmt w:val="decimal"/>
      <w:lvlText w:val="%1.%2."/>
      <w:lvlJc w:val="left"/>
      <w:pPr>
        <w:ind w:left="1077" w:hanging="720"/>
      </w:pPr>
      <w:rPr>
        <w:rFonts w:cs="Times New Roman" w:hint="default"/>
      </w:rPr>
    </w:lvl>
    <w:lvl w:ilvl="2">
      <w:start w:val="1"/>
      <w:numFmt w:val="decimal"/>
      <w:lvlText w:val="%1.%2.%3."/>
      <w:lvlJc w:val="left"/>
      <w:pPr>
        <w:ind w:left="1434" w:hanging="720"/>
      </w:pPr>
      <w:rPr>
        <w:rFonts w:cs="Times New Roman" w:hint="default"/>
      </w:rPr>
    </w:lvl>
    <w:lvl w:ilvl="3">
      <w:start w:val="1"/>
      <w:numFmt w:val="decimal"/>
      <w:lvlText w:val="%1.%2.%3.%4."/>
      <w:lvlJc w:val="left"/>
      <w:pPr>
        <w:ind w:left="2151" w:hanging="1080"/>
      </w:pPr>
      <w:rPr>
        <w:rFonts w:cs="Times New Roman" w:hint="default"/>
      </w:rPr>
    </w:lvl>
    <w:lvl w:ilvl="4">
      <w:start w:val="1"/>
      <w:numFmt w:val="decimal"/>
      <w:lvlText w:val="%1.%2.%3.%4.%5."/>
      <w:lvlJc w:val="left"/>
      <w:pPr>
        <w:ind w:left="2508" w:hanging="1080"/>
      </w:pPr>
      <w:rPr>
        <w:rFonts w:cs="Times New Roman" w:hint="default"/>
      </w:rPr>
    </w:lvl>
    <w:lvl w:ilvl="5">
      <w:start w:val="1"/>
      <w:numFmt w:val="decimal"/>
      <w:lvlText w:val="%1.%2.%3.%4.%5.%6."/>
      <w:lvlJc w:val="left"/>
      <w:pPr>
        <w:ind w:left="3225" w:hanging="1440"/>
      </w:pPr>
      <w:rPr>
        <w:rFonts w:cs="Times New Roman" w:hint="default"/>
      </w:rPr>
    </w:lvl>
    <w:lvl w:ilvl="6">
      <w:start w:val="1"/>
      <w:numFmt w:val="decimal"/>
      <w:lvlText w:val="%1.%2.%3.%4.%5.%6.%7."/>
      <w:lvlJc w:val="left"/>
      <w:pPr>
        <w:ind w:left="3942" w:hanging="1800"/>
      </w:pPr>
      <w:rPr>
        <w:rFonts w:cs="Times New Roman" w:hint="default"/>
      </w:rPr>
    </w:lvl>
    <w:lvl w:ilvl="7">
      <w:start w:val="1"/>
      <w:numFmt w:val="decimal"/>
      <w:lvlText w:val="%1.%2.%3.%4.%5.%6.%7.%8."/>
      <w:lvlJc w:val="left"/>
      <w:pPr>
        <w:ind w:left="4299" w:hanging="1800"/>
      </w:pPr>
      <w:rPr>
        <w:rFonts w:cs="Times New Roman" w:hint="default"/>
      </w:rPr>
    </w:lvl>
    <w:lvl w:ilvl="8">
      <w:start w:val="1"/>
      <w:numFmt w:val="decimal"/>
      <w:lvlText w:val="%1.%2.%3.%4.%5.%6.%7.%8.%9."/>
      <w:lvlJc w:val="left"/>
      <w:pPr>
        <w:ind w:left="5016" w:hanging="2160"/>
      </w:pPr>
      <w:rPr>
        <w:rFonts w:cs="Times New Roman" w:hint="default"/>
      </w:rPr>
    </w:lvl>
  </w:abstractNum>
  <w:abstractNum w:abstractNumId="51" w15:restartNumberingAfterBreak="0">
    <w:nsid w:val="4DBE2B43"/>
    <w:multiLevelType w:val="multilevel"/>
    <w:tmpl w:val="FFFFFFFF"/>
    <w:lvl w:ilvl="0">
      <w:start w:val="1"/>
      <w:numFmt w:val="decimal"/>
      <w:pStyle w:val="Ttulo2"/>
      <w:lvlText w:val="%1."/>
      <w:lvlJc w:val="left"/>
      <w:pPr>
        <w:ind w:left="1080" w:hanging="360"/>
      </w:pPr>
      <w:rPr>
        <w:rFonts w:cs="Times New Roman"/>
      </w:rPr>
    </w:lvl>
    <w:lvl w:ilvl="1">
      <w:start w:val="2"/>
      <w:numFmt w:val="decimal"/>
      <w:isLgl/>
      <w:lvlText w:val="%1.%2."/>
      <w:lvlJc w:val="left"/>
      <w:pPr>
        <w:ind w:left="1440" w:hanging="720"/>
      </w:pPr>
      <w:rPr>
        <w:rFonts w:asciiTheme="minorHAnsi" w:hAnsiTheme="minorHAnsi" w:cs="Times New Roman" w:hint="default"/>
        <w:sz w:val="24"/>
      </w:rPr>
    </w:lvl>
    <w:lvl w:ilvl="2">
      <w:start w:val="1"/>
      <w:numFmt w:val="decimal"/>
      <w:isLgl/>
      <w:lvlText w:val="%1.%2.%3."/>
      <w:lvlJc w:val="left"/>
      <w:pPr>
        <w:ind w:left="1440" w:hanging="720"/>
      </w:pPr>
      <w:rPr>
        <w:rFonts w:asciiTheme="minorHAnsi" w:hAnsiTheme="minorHAnsi" w:cs="Times New Roman" w:hint="default"/>
        <w:sz w:val="24"/>
      </w:rPr>
    </w:lvl>
    <w:lvl w:ilvl="3">
      <w:start w:val="1"/>
      <w:numFmt w:val="decimal"/>
      <w:isLgl/>
      <w:lvlText w:val="%1.%2.%3.%4."/>
      <w:lvlJc w:val="left"/>
      <w:pPr>
        <w:ind w:left="1800" w:hanging="1080"/>
      </w:pPr>
      <w:rPr>
        <w:rFonts w:asciiTheme="minorHAnsi" w:hAnsiTheme="minorHAnsi" w:cs="Times New Roman" w:hint="default"/>
        <w:sz w:val="24"/>
      </w:rPr>
    </w:lvl>
    <w:lvl w:ilvl="4">
      <w:start w:val="1"/>
      <w:numFmt w:val="decimal"/>
      <w:isLgl/>
      <w:lvlText w:val="%1.%2.%3.%4.%5."/>
      <w:lvlJc w:val="left"/>
      <w:pPr>
        <w:ind w:left="1800" w:hanging="1080"/>
      </w:pPr>
      <w:rPr>
        <w:rFonts w:asciiTheme="minorHAnsi" w:hAnsiTheme="minorHAnsi" w:cs="Times New Roman" w:hint="default"/>
        <w:sz w:val="24"/>
      </w:rPr>
    </w:lvl>
    <w:lvl w:ilvl="5">
      <w:start w:val="1"/>
      <w:numFmt w:val="decimal"/>
      <w:isLgl/>
      <w:lvlText w:val="%1.%2.%3.%4.%5.%6."/>
      <w:lvlJc w:val="left"/>
      <w:pPr>
        <w:ind w:left="2160" w:hanging="1440"/>
      </w:pPr>
      <w:rPr>
        <w:rFonts w:asciiTheme="minorHAnsi" w:hAnsiTheme="minorHAnsi" w:cs="Times New Roman" w:hint="default"/>
        <w:sz w:val="24"/>
      </w:rPr>
    </w:lvl>
    <w:lvl w:ilvl="6">
      <w:start w:val="1"/>
      <w:numFmt w:val="decimal"/>
      <w:isLgl/>
      <w:lvlText w:val="%1.%2.%3.%4.%5.%6.%7."/>
      <w:lvlJc w:val="left"/>
      <w:pPr>
        <w:ind w:left="2520" w:hanging="1800"/>
      </w:pPr>
      <w:rPr>
        <w:rFonts w:asciiTheme="minorHAnsi" w:hAnsiTheme="minorHAnsi" w:cs="Times New Roman" w:hint="default"/>
        <w:sz w:val="24"/>
      </w:rPr>
    </w:lvl>
    <w:lvl w:ilvl="7">
      <w:start w:val="1"/>
      <w:numFmt w:val="decimal"/>
      <w:isLgl/>
      <w:lvlText w:val="%1.%2.%3.%4.%5.%6.%7.%8."/>
      <w:lvlJc w:val="left"/>
      <w:pPr>
        <w:ind w:left="2520" w:hanging="1800"/>
      </w:pPr>
      <w:rPr>
        <w:rFonts w:asciiTheme="minorHAnsi" w:hAnsiTheme="minorHAnsi" w:cs="Times New Roman" w:hint="default"/>
        <w:sz w:val="24"/>
      </w:rPr>
    </w:lvl>
    <w:lvl w:ilvl="8">
      <w:start w:val="1"/>
      <w:numFmt w:val="decimal"/>
      <w:isLgl/>
      <w:lvlText w:val="%1.%2.%3.%4.%5.%6.%7.%8.%9."/>
      <w:lvlJc w:val="left"/>
      <w:pPr>
        <w:ind w:left="2880" w:hanging="2160"/>
      </w:pPr>
      <w:rPr>
        <w:rFonts w:asciiTheme="minorHAnsi" w:hAnsiTheme="minorHAnsi" w:cs="Times New Roman" w:hint="default"/>
        <w:sz w:val="24"/>
      </w:rPr>
    </w:lvl>
  </w:abstractNum>
  <w:abstractNum w:abstractNumId="52" w15:restartNumberingAfterBreak="0">
    <w:nsid w:val="534E27EC"/>
    <w:multiLevelType w:val="multilevel"/>
    <w:tmpl w:val="FFFFFFFF"/>
    <w:lvl w:ilvl="0">
      <w:start w:val="1"/>
      <w:numFmt w:val="decimal"/>
      <w:lvlText w:val="%1."/>
      <w:lvlJc w:val="left"/>
      <w:pPr>
        <w:ind w:left="320" w:hanging="320"/>
      </w:pPr>
      <w:rPr>
        <w:rFonts w:ascii="Times New Roman" w:hAnsi="Times New Roman" w:cs="Times New Roman" w:hint="default"/>
        <w:b w:val="0"/>
        <w:bCs w:val="0"/>
        <w:i w:val="0"/>
        <w:iCs/>
        <w:color w:val="auto"/>
        <w:sz w:val="28"/>
        <w:szCs w:val="28"/>
        <w:vertAlign w:val="baseline"/>
      </w:rPr>
    </w:lvl>
    <w:lvl w:ilvl="1">
      <w:start w:val="4"/>
      <w:numFmt w:val="none"/>
      <w:isLgl/>
      <w:lvlText w:val="4.1."/>
      <w:lvlJc w:val="left"/>
      <w:pPr>
        <w:ind w:left="1885" w:hanging="750"/>
      </w:pPr>
      <w:rPr>
        <w:rFonts w:cs="Times New Roman" w:hint="default"/>
      </w:rPr>
    </w:lvl>
    <w:lvl w:ilvl="2">
      <w:start w:val="1"/>
      <w:numFmt w:val="decimal"/>
      <w:isLgl/>
      <w:lvlText w:val="%1.%2.%3."/>
      <w:lvlJc w:val="left"/>
      <w:pPr>
        <w:ind w:left="1885" w:hanging="750"/>
      </w:pPr>
      <w:rPr>
        <w:rFonts w:cs="Times New Roman" w:hint="default"/>
      </w:rPr>
    </w:lvl>
    <w:lvl w:ilvl="3">
      <w:start w:val="1"/>
      <w:numFmt w:val="decimal"/>
      <w:isLgl/>
      <w:lvlText w:val="%1.%2.%3.%4."/>
      <w:lvlJc w:val="left"/>
      <w:pPr>
        <w:ind w:left="2215" w:hanging="1080"/>
      </w:pPr>
      <w:rPr>
        <w:rFonts w:cs="Times New Roman" w:hint="default"/>
      </w:rPr>
    </w:lvl>
    <w:lvl w:ilvl="4">
      <w:start w:val="1"/>
      <w:numFmt w:val="decimal"/>
      <w:isLgl/>
      <w:lvlText w:val="%1.%2.%3.%4.%5."/>
      <w:lvlJc w:val="left"/>
      <w:pPr>
        <w:ind w:left="2215" w:hanging="1080"/>
      </w:pPr>
      <w:rPr>
        <w:rFonts w:cs="Times New Roman" w:hint="default"/>
      </w:rPr>
    </w:lvl>
    <w:lvl w:ilvl="5">
      <w:start w:val="1"/>
      <w:numFmt w:val="decimal"/>
      <w:isLgl/>
      <w:lvlText w:val="%1.%2.%3.%4.%5.%6."/>
      <w:lvlJc w:val="left"/>
      <w:pPr>
        <w:ind w:left="2575" w:hanging="1440"/>
      </w:pPr>
      <w:rPr>
        <w:rFonts w:cs="Times New Roman" w:hint="default"/>
      </w:rPr>
    </w:lvl>
    <w:lvl w:ilvl="6">
      <w:start w:val="1"/>
      <w:numFmt w:val="decimal"/>
      <w:isLgl/>
      <w:lvlText w:val="%1.%2.%3.%4.%5.%6.%7."/>
      <w:lvlJc w:val="left"/>
      <w:pPr>
        <w:ind w:left="2935" w:hanging="1800"/>
      </w:pPr>
      <w:rPr>
        <w:rFonts w:cs="Times New Roman" w:hint="default"/>
      </w:rPr>
    </w:lvl>
    <w:lvl w:ilvl="7">
      <w:start w:val="1"/>
      <w:numFmt w:val="decimal"/>
      <w:isLgl/>
      <w:lvlText w:val="%1.%2.%3.%4.%5.%6.%7.%8."/>
      <w:lvlJc w:val="left"/>
      <w:pPr>
        <w:ind w:left="2935" w:hanging="1800"/>
      </w:pPr>
      <w:rPr>
        <w:rFonts w:cs="Times New Roman" w:hint="default"/>
      </w:rPr>
    </w:lvl>
    <w:lvl w:ilvl="8">
      <w:start w:val="1"/>
      <w:numFmt w:val="decimal"/>
      <w:isLgl/>
      <w:lvlText w:val="%1.%2.%3.%4.%5.%6.%7.%8.%9."/>
      <w:lvlJc w:val="left"/>
      <w:pPr>
        <w:ind w:left="3295" w:hanging="2160"/>
      </w:pPr>
      <w:rPr>
        <w:rFonts w:cs="Times New Roman" w:hint="default"/>
      </w:rPr>
    </w:lvl>
  </w:abstractNum>
  <w:abstractNum w:abstractNumId="53" w15:restartNumberingAfterBreak="0">
    <w:nsid w:val="55D75674"/>
    <w:multiLevelType w:val="multilevel"/>
    <w:tmpl w:val="FFFFFFFF"/>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54" w15:restartNumberingAfterBreak="0">
    <w:nsid w:val="57505544"/>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7AD3D8E"/>
    <w:multiLevelType w:val="hybridMultilevel"/>
    <w:tmpl w:val="FFFFFFFF"/>
    <w:lvl w:ilvl="0" w:tplc="7550EDEE">
      <w:start w:val="1"/>
      <w:numFmt w:val="decimal"/>
      <w:lvlText w:val="%1."/>
      <w:lvlJc w:val="left"/>
      <w:pPr>
        <w:ind w:left="720" w:hanging="360"/>
      </w:pPr>
      <w:rPr>
        <w:rFonts w:cs="Times New Roman"/>
      </w:rPr>
    </w:lvl>
    <w:lvl w:ilvl="1" w:tplc="43DCC2F0">
      <w:start w:val="1"/>
      <w:numFmt w:val="lowerLetter"/>
      <w:lvlText w:val="%2."/>
      <w:lvlJc w:val="left"/>
      <w:pPr>
        <w:ind w:left="1440" w:hanging="360"/>
      </w:pPr>
      <w:rPr>
        <w:rFonts w:cs="Times New Roman"/>
      </w:rPr>
    </w:lvl>
    <w:lvl w:ilvl="2" w:tplc="F45E7F66">
      <w:start w:val="1"/>
      <w:numFmt w:val="lowerRoman"/>
      <w:lvlText w:val="%3."/>
      <w:lvlJc w:val="right"/>
      <w:pPr>
        <w:ind w:left="2160" w:hanging="180"/>
      </w:pPr>
      <w:rPr>
        <w:rFonts w:cs="Times New Roman"/>
      </w:rPr>
    </w:lvl>
    <w:lvl w:ilvl="3" w:tplc="E332770C">
      <w:start w:val="1"/>
      <w:numFmt w:val="decimal"/>
      <w:lvlText w:val="%4."/>
      <w:lvlJc w:val="left"/>
      <w:pPr>
        <w:ind w:left="2880" w:hanging="360"/>
      </w:pPr>
      <w:rPr>
        <w:rFonts w:cs="Times New Roman"/>
      </w:rPr>
    </w:lvl>
    <w:lvl w:ilvl="4" w:tplc="76C6E9C2">
      <w:start w:val="1"/>
      <w:numFmt w:val="lowerLetter"/>
      <w:lvlText w:val="%5."/>
      <w:lvlJc w:val="left"/>
      <w:pPr>
        <w:ind w:left="3600" w:hanging="360"/>
      </w:pPr>
      <w:rPr>
        <w:rFonts w:cs="Times New Roman"/>
      </w:rPr>
    </w:lvl>
    <w:lvl w:ilvl="5" w:tplc="4F32B40C">
      <w:start w:val="1"/>
      <w:numFmt w:val="lowerRoman"/>
      <w:lvlText w:val="%6."/>
      <w:lvlJc w:val="right"/>
      <w:pPr>
        <w:ind w:left="4320" w:hanging="180"/>
      </w:pPr>
      <w:rPr>
        <w:rFonts w:cs="Times New Roman"/>
      </w:rPr>
    </w:lvl>
    <w:lvl w:ilvl="6" w:tplc="A5B46254">
      <w:start w:val="1"/>
      <w:numFmt w:val="decimal"/>
      <w:lvlText w:val="%7."/>
      <w:lvlJc w:val="left"/>
      <w:pPr>
        <w:ind w:left="5040" w:hanging="360"/>
      </w:pPr>
      <w:rPr>
        <w:rFonts w:cs="Times New Roman"/>
      </w:rPr>
    </w:lvl>
    <w:lvl w:ilvl="7" w:tplc="92B4925E">
      <w:start w:val="1"/>
      <w:numFmt w:val="lowerLetter"/>
      <w:lvlText w:val="%8."/>
      <w:lvlJc w:val="left"/>
      <w:pPr>
        <w:ind w:left="5760" w:hanging="360"/>
      </w:pPr>
      <w:rPr>
        <w:rFonts w:cs="Times New Roman"/>
      </w:rPr>
    </w:lvl>
    <w:lvl w:ilvl="8" w:tplc="9EE42B1E">
      <w:start w:val="1"/>
      <w:numFmt w:val="lowerRoman"/>
      <w:lvlText w:val="%9."/>
      <w:lvlJc w:val="right"/>
      <w:pPr>
        <w:ind w:left="6480" w:hanging="180"/>
      </w:pPr>
      <w:rPr>
        <w:rFonts w:cs="Times New Roman"/>
      </w:rPr>
    </w:lvl>
  </w:abstractNum>
  <w:abstractNum w:abstractNumId="56" w15:restartNumberingAfterBreak="0">
    <w:nsid w:val="585CD992"/>
    <w:multiLevelType w:val="hybridMultilevel"/>
    <w:tmpl w:val="FFFFFFFF"/>
    <w:lvl w:ilvl="0" w:tplc="97A2A52A">
      <w:start w:val="1"/>
      <w:numFmt w:val="decimal"/>
      <w:lvlText w:val="%1."/>
      <w:lvlJc w:val="left"/>
      <w:pPr>
        <w:ind w:left="720" w:hanging="360"/>
      </w:pPr>
      <w:rPr>
        <w:rFonts w:cs="Times New Roman"/>
      </w:rPr>
    </w:lvl>
    <w:lvl w:ilvl="1" w:tplc="BA2235BA">
      <w:start w:val="1"/>
      <w:numFmt w:val="lowerLetter"/>
      <w:lvlText w:val="%2."/>
      <w:lvlJc w:val="left"/>
      <w:pPr>
        <w:ind w:left="1440" w:hanging="360"/>
      </w:pPr>
      <w:rPr>
        <w:rFonts w:cs="Times New Roman"/>
      </w:rPr>
    </w:lvl>
    <w:lvl w:ilvl="2" w:tplc="67FA59DE">
      <w:start w:val="1"/>
      <w:numFmt w:val="lowerRoman"/>
      <w:lvlText w:val="%3."/>
      <w:lvlJc w:val="right"/>
      <w:pPr>
        <w:ind w:left="2160" w:hanging="180"/>
      </w:pPr>
      <w:rPr>
        <w:rFonts w:cs="Times New Roman"/>
      </w:rPr>
    </w:lvl>
    <w:lvl w:ilvl="3" w:tplc="2048B740">
      <w:start w:val="1"/>
      <w:numFmt w:val="decimal"/>
      <w:lvlText w:val="%4."/>
      <w:lvlJc w:val="left"/>
      <w:pPr>
        <w:ind w:left="2880" w:hanging="360"/>
      </w:pPr>
      <w:rPr>
        <w:rFonts w:cs="Times New Roman"/>
      </w:rPr>
    </w:lvl>
    <w:lvl w:ilvl="4" w:tplc="AAFE61B8">
      <w:start w:val="1"/>
      <w:numFmt w:val="lowerLetter"/>
      <w:lvlText w:val="%5."/>
      <w:lvlJc w:val="left"/>
      <w:pPr>
        <w:ind w:left="3600" w:hanging="360"/>
      </w:pPr>
      <w:rPr>
        <w:rFonts w:cs="Times New Roman"/>
      </w:rPr>
    </w:lvl>
    <w:lvl w:ilvl="5" w:tplc="3A94C80E">
      <w:start w:val="1"/>
      <w:numFmt w:val="lowerRoman"/>
      <w:lvlText w:val="%6."/>
      <w:lvlJc w:val="right"/>
      <w:pPr>
        <w:ind w:left="4320" w:hanging="180"/>
      </w:pPr>
      <w:rPr>
        <w:rFonts w:cs="Times New Roman"/>
      </w:rPr>
    </w:lvl>
    <w:lvl w:ilvl="6" w:tplc="42A4DC34">
      <w:start w:val="1"/>
      <w:numFmt w:val="decimal"/>
      <w:lvlText w:val="%7."/>
      <w:lvlJc w:val="left"/>
      <w:pPr>
        <w:ind w:left="5040" w:hanging="360"/>
      </w:pPr>
      <w:rPr>
        <w:rFonts w:cs="Times New Roman"/>
      </w:rPr>
    </w:lvl>
    <w:lvl w:ilvl="7" w:tplc="5844A5CA">
      <w:start w:val="1"/>
      <w:numFmt w:val="lowerLetter"/>
      <w:lvlText w:val="%8."/>
      <w:lvlJc w:val="left"/>
      <w:pPr>
        <w:ind w:left="5760" w:hanging="360"/>
      </w:pPr>
      <w:rPr>
        <w:rFonts w:cs="Times New Roman"/>
      </w:rPr>
    </w:lvl>
    <w:lvl w:ilvl="8" w:tplc="C2C0EB20">
      <w:start w:val="1"/>
      <w:numFmt w:val="lowerRoman"/>
      <w:lvlText w:val="%9."/>
      <w:lvlJc w:val="right"/>
      <w:pPr>
        <w:ind w:left="6480" w:hanging="180"/>
      </w:pPr>
      <w:rPr>
        <w:rFonts w:cs="Times New Roman"/>
      </w:rPr>
    </w:lvl>
  </w:abstractNum>
  <w:abstractNum w:abstractNumId="57" w15:restartNumberingAfterBreak="0">
    <w:nsid w:val="58EE759D"/>
    <w:multiLevelType w:val="multilevel"/>
    <w:tmpl w:val="FFFFFFFF"/>
    <w:lvl w:ilvl="0">
      <w:start w:val="6"/>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58" w15:restartNumberingAfterBreak="0">
    <w:nsid w:val="58F9EF36"/>
    <w:multiLevelType w:val="hybridMultilevel"/>
    <w:tmpl w:val="FFFFFFFF"/>
    <w:lvl w:ilvl="0" w:tplc="25D834E2">
      <w:start w:val="1"/>
      <w:numFmt w:val="decimal"/>
      <w:lvlText w:val="%1."/>
      <w:lvlJc w:val="left"/>
      <w:pPr>
        <w:ind w:left="720" w:hanging="360"/>
      </w:pPr>
      <w:rPr>
        <w:rFonts w:cs="Times New Roman"/>
      </w:rPr>
    </w:lvl>
    <w:lvl w:ilvl="1" w:tplc="439630FA">
      <w:start w:val="1"/>
      <w:numFmt w:val="lowerLetter"/>
      <w:lvlText w:val="%2."/>
      <w:lvlJc w:val="left"/>
      <w:pPr>
        <w:ind w:left="1440" w:hanging="360"/>
      </w:pPr>
      <w:rPr>
        <w:rFonts w:cs="Times New Roman"/>
      </w:rPr>
    </w:lvl>
    <w:lvl w:ilvl="2" w:tplc="3DC4D388">
      <w:start w:val="1"/>
      <w:numFmt w:val="lowerRoman"/>
      <w:lvlText w:val="%3."/>
      <w:lvlJc w:val="right"/>
      <w:pPr>
        <w:ind w:left="2160" w:hanging="180"/>
      </w:pPr>
      <w:rPr>
        <w:rFonts w:cs="Times New Roman"/>
      </w:rPr>
    </w:lvl>
    <w:lvl w:ilvl="3" w:tplc="BF14E092">
      <w:start w:val="1"/>
      <w:numFmt w:val="decimal"/>
      <w:lvlText w:val="%4."/>
      <w:lvlJc w:val="left"/>
      <w:pPr>
        <w:ind w:left="2880" w:hanging="360"/>
      </w:pPr>
      <w:rPr>
        <w:rFonts w:cs="Times New Roman"/>
      </w:rPr>
    </w:lvl>
    <w:lvl w:ilvl="4" w:tplc="F66071DC">
      <w:start w:val="1"/>
      <w:numFmt w:val="lowerLetter"/>
      <w:lvlText w:val="%5."/>
      <w:lvlJc w:val="left"/>
      <w:pPr>
        <w:ind w:left="3600" w:hanging="360"/>
      </w:pPr>
      <w:rPr>
        <w:rFonts w:cs="Times New Roman"/>
      </w:rPr>
    </w:lvl>
    <w:lvl w:ilvl="5" w:tplc="A78641E2">
      <w:start w:val="1"/>
      <w:numFmt w:val="lowerRoman"/>
      <w:lvlText w:val="%6."/>
      <w:lvlJc w:val="right"/>
      <w:pPr>
        <w:ind w:left="4320" w:hanging="180"/>
      </w:pPr>
      <w:rPr>
        <w:rFonts w:cs="Times New Roman"/>
      </w:rPr>
    </w:lvl>
    <w:lvl w:ilvl="6" w:tplc="ECE0F4A2">
      <w:start w:val="1"/>
      <w:numFmt w:val="decimal"/>
      <w:lvlText w:val="%7."/>
      <w:lvlJc w:val="left"/>
      <w:pPr>
        <w:ind w:left="5040" w:hanging="360"/>
      </w:pPr>
      <w:rPr>
        <w:rFonts w:cs="Times New Roman"/>
      </w:rPr>
    </w:lvl>
    <w:lvl w:ilvl="7" w:tplc="7A5477B0">
      <w:start w:val="1"/>
      <w:numFmt w:val="lowerLetter"/>
      <w:lvlText w:val="%8."/>
      <w:lvlJc w:val="left"/>
      <w:pPr>
        <w:ind w:left="5760" w:hanging="360"/>
      </w:pPr>
      <w:rPr>
        <w:rFonts w:cs="Times New Roman"/>
      </w:rPr>
    </w:lvl>
    <w:lvl w:ilvl="8" w:tplc="2EDC2B58">
      <w:start w:val="1"/>
      <w:numFmt w:val="lowerRoman"/>
      <w:lvlText w:val="%9."/>
      <w:lvlJc w:val="right"/>
      <w:pPr>
        <w:ind w:left="6480" w:hanging="180"/>
      </w:pPr>
      <w:rPr>
        <w:rFonts w:cs="Times New Roman"/>
      </w:rPr>
    </w:lvl>
  </w:abstractNum>
  <w:abstractNum w:abstractNumId="59" w15:restartNumberingAfterBreak="0">
    <w:nsid w:val="5AE54294"/>
    <w:multiLevelType w:val="hybridMultilevel"/>
    <w:tmpl w:val="FFFFFFFF"/>
    <w:styleLink w:val="Listaactual2"/>
    <w:lvl w:ilvl="0" w:tplc="240A0017">
      <w:start w:val="1"/>
      <w:numFmt w:val="lowerLetter"/>
      <w:lvlText w:val="%1)"/>
      <w:lvlJc w:val="left"/>
      <w:pPr>
        <w:ind w:left="720" w:hanging="360"/>
      </w:pPr>
      <w:rPr>
        <w:rFonts w:cs="Times New Roman" w:hint="default"/>
      </w:rPr>
    </w:lvl>
    <w:lvl w:ilvl="1" w:tplc="240A0019" w:tentative="1">
      <w:start w:val="1"/>
      <w:numFmt w:val="lowerLetter"/>
      <w:lvlText w:val="%2."/>
      <w:lvlJc w:val="left"/>
      <w:pPr>
        <w:ind w:left="1440" w:hanging="360"/>
      </w:pPr>
      <w:rPr>
        <w:rFonts w:cs="Times New Roman"/>
      </w:rPr>
    </w:lvl>
    <w:lvl w:ilvl="2" w:tplc="240A001B" w:tentative="1">
      <w:start w:val="1"/>
      <w:numFmt w:val="lowerRoman"/>
      <w:lvlText w:val="%3."/>
      <w:lvlJc w:val="right"/>
      <w:pPr>
        <w:ind w:left="2160" w:hanging="180"/>
      </w:pPr>
      <w:rPr>
        <w:rFonts w:cs="Times New Roman"/>
      </w:rPr>
    </w:lvl>
    <w:lvl w:ilvl="3" w:tplc="240A000F" w:tentative="1">
      <w:start w:val="1"/>
      <w:numFmt w:val="decimal"/>
      <w:lvlText w:val="%4."/>
      <w:lvlJc w:val="left"/>
      <w:pPr>
        <w:ind w:left="2880" w:hanging="360"/>
      </w:pPr>
      <w:rPr>
        <w:rFonts w:cs="Times New Roman"/>
      </w:rPr>
    </w:lvl>
    <w:lvl w:ilvl="4" w:tplc="240A0019" w:tentative="1">
      <w:start w:val="1"/>
      <w:numFmt w:val="lowerLetter"/>
      <w:lvlText w:val="%5."/>
      <w:lvlJc w:val="left"/>
      <w:pPr>
        <w:ind w:left="3600" w:hanging="360"/>
      </w:pPr>
      <w:rPr>
        <w:rFonts w:cs="Times New Roman"/>
      </w:rPr>
    </w:lvl>
    <w:lvl w:ilvl="5" w:tplc="240A001B" w:tentative="1">
      <w:start w:val="1"/>
      <w:numFmt w:val="lowerRoman"/>
      <w:lvlText w:val="%6."/>
      <w:lvlJc w:val="right"/>
      <w:pPr>
        <w:ind w:left="4320" w:hanging="180"/>
      </w:pPr>
      <w:rPr>
        <w:rFonts w:cs="Times New Roman"/>
      </w:rPr>
    </w:lvl>
    <w:lvl w:ilvl="6" w:tplc="240A000F" w:tentative="1">
      <w:start w:val="1"/>
      <w:numFmt w:val="decimal"/>
      <w:lvlText w:val="%7."/>
      <w:lvlJc w:val="left"/>
      <w:pPr>
        <w:ind w:left="5040" w:hanging="360"/>
      </w:pPr>
      <w:rPr>
        <w:rFonts w:cs="Times New Roman"/>
      </w:rPr>
    </w:lvl>
    <w:lvl w:ilvl="7" w:tplc="240A0019" w:tentative="1">
      <w:start w:val="1"/>
      <w:numFmt w:val="lowerLetter"/>
      <w:lvlText w:val="%8."/>
      <w:lvlJc w:val="left"/>
      <w:pPr>
        <w:ind w:left="5760" w:hanging="360"/>
      </w:pPr>
      <w:rPr>
        <w:rFonts w:cs="Times New Roman"/>
      </w:rPr>
    </w:lvl>
    <w:lvl w:ilvl="8" w:tplc="240A001B" w:tentative="1">
      <w:start w:val="1"/>
      <w:numFmt w:val="lowerRoman"/>
      <w:lvlText w:val="%9."/>
      <w:lvlJc w:val="right"/>
      <w:pPr>
        <w:ind w:left="6480" w:hanging="180"/>
      </w:pPr>
      <w:rPr>
        <w:rFonts w:cs="Times New Roman"/>
      </w:rPr>
    </w:lvl>
  </w:abstractNum>
  <w:abstractNum w:abstractNumId="60" w15:restartNumberingAfterBreak="0">
    <w:nsid w:val="5B784889"/>
    <w:multiLevelType w:val="hybridMultilevel"/>
    <w:tmpl w:val="FFFFFFFF"/>
    <w:lvl w:ilvl="0" w:tplc="240A0017">
      <w:start w:val="1"/>
      <w:numFmt w:val="lowerLetter"/>
      <w:lvlText w:val="%1)"/>
      <w:lvlJc w:val="left"/>
      <w:pPr>
        <w:ind w:left="720" w:hanging="360"/>
      </w:pPr>
      <w:rPr>
        <w:rFonts w:cs="Times New Roman" w:hint="default"/>
      </w:rPr>
    </w:lvl>
    <w:lvl w:ilvl="1" w:tplc="240A0019" w:tentative="1">
      <w:start w:val="1"/>
      <w:numFmt w:val="lowerLetter"/>
      <w:lvlText w:val="%2."/>
      <w:lvlJc w:val="left"/>
      <w:pPr>
        <w:ind w:left="1440" w:hanging="360"/>
      </w:pPr>
      <w:rPr>
        <w:rFonts w:cs="Times New Roman"/>
      </w:rPr>
    </w:lvl>
    <w:lvl w:ilvl="2" w:tplc="240A001B" w:tentative="1">
      <w:start w:val="1"/>
      <w:numFmt w:val="lowerRoman"/>
      <w:lvlText w:val="%3."/>
      <w:lvlJc w:val="right"/>
      <w:pPr>
        <w:ind w:left="2160" w:hanging="180"/>
      </w:pPr>
      <w:rPr>
        <w:rFonts w:cs="Times New Roman"/>
      </w:rPr>
    </w:lvl>
    <w:lvl w:ilvl="3" w:tplc="240A000F" w:tentative="1">
      <w:start w:val="1"/>
      <w:numFmt w:val="decimal"/>
      <w:lvlText w:val="%4."/>
      <w:lvlJc w:val="left"/>
      <w:pPr>
        <w:ind w:left="2880" w:hanging="360"/>
      </w:pPr>
      <w:rPr>
        <w:rFonts w:cs="Times New Roman"/>
      </w:rPr>
    </w:lvl>
    <w:lvl w:ilvl="4" w:tplc="240A0019" w:tentative="1">
      <w:start w:val="1"/>
      <w:numFmt w:val="lowerLetter"/>
      <w:lvlText w:val="%5."/>
      <w:lvlJc w:val="left"/>
      <w:pPr>
        <w:ind w:left="3600" w:hanging="360"/>
      </w:pPr>
      <w:rPr>
        <w:rFonts w:cs="Times New Roman"/>
      </w:rPr>
    </w:lvl>
    <w:lvl w:ilvl="5" w:tplc="240A001B" w:tentative="1">
      <w:start w:val="1"/>
      <w:numFmt w:val="lowerRoman"/>
      <w:lvlText w:val="%6."/>
      <w:lvlJc w:val="right"/>
      <w:pPr>
        <w:ind w:left="4320" w:hanging="180"/>
      </w:pPr>
      <w:rPr>
        <w:rFonts w:cs="Times New Roman"/>
      </w:rPr>
    </w:lvl>
    <w:lvl w:ilvl="6" w:tplc="240A000F" w:tentative="1">
      <w:start w:val="1"/>
      <w:numFmt w:val="decimal"/>
      <w:lvlText w:val="%7."/>
      <w:lvlJc w:val="left"/>
      <w:pPr>
        <w:ind w:left="5040" w:hanging="360"/>
      </w:pPr>
      <w:rPr>
        <w:rFonts w:cs="Times New Roman"/>
      </w:rPr>
    </w:lvl>
    <w:lvl w:ilvl="7" w:tplc="240A0019" w:tentative="1">
      <w:start w:val="1"/>
      <w:numFmt w:val="lowerLetter"/>
      <w:lvlText w:val="%8."/>
      <w:lvlJc w:val="left"/>
      <w:pPr>
        <w:ind w:left="5760" w:hanging="360"/>
      </w:pPr>
      <w:rPr>
        <w:rFonts w:cs="Times New Roman"/>
      </w:rPr>
    </w:lvl>
    <w:lvl w:ilvl="8" w:tplc="240A001B" w:tentative="1">
      <w:start w:val="1"/>
      <w:numFmt w:val="lowerRoman"/>
      <w:lvlText w:val="%9."/>
      <w:lvlJc w:val="right"/>
      <w:pPr>
        <w:ind w:left="6480" w:hanging="180"/>
      </w:pPr>
      <w:rPr>
        <w:rFonts w:cs="Times New Roman"/>
      </w:rPr>
    </w:lvl>
  </w:abstractNum>
  <w:abstractNum w:abstractNumId="61" w15:restartNumberingAfterBreak="0">
    <w:nsid w:val="5BA21A4C"/>
    <w:multiLevelType w:val="hybridMultilevel"/>
    <w:tmpl w:val="FFFFFFFF"/>
    <w:lvl w:ilvl="0" w:tplc="F1F84700">
      <w:start w:val="1"/>
      <w:numFmt w:val="decimal"/>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62" w15:restartNumberingAfterBreak="0">
    <w:nsid w:val="5BF643DC"/>
    <w:multiLevelType w:val="multilevel"/>
    <w:tmpl w:val="FFFFFFFF"/>
    <w:styleLink w:val="Listaactual10"/>
    <w:lvl w:ilvl="0">
      <w:start w:val="5"/>
      <w:numFmt w:val="decimal"/>
      <w:lvlText w:val="%1."/>
      <w:lvlJc w:val="left"/>
      <w:pPr>
        <w:ind w:left="420" w:hanging="42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63" w15:restartNumberingAfterBreak="0">
    <w:nsid w:val="5C0A47C7"/>
    <w:multiLevelType w:val="hybridMultilevel"/>
    <w:tmpl w:val="FFFFFFFF"/>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4" w15:restartNumberingAfterBreak="0">
    <w:nsid w:val="5DBB13AC"/>
    <w:multiLevelType w:val="multilevel"/>
    <w:tmpl w:val="FFFFFFFF"/>
    <w:lvl w:ilvl="0">
      <w:start w:val="7"/>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65" w15:restartNumberingAfterBreak="0">
    <w:nsid w:val="5DC648FC"/>
    <w:multiLevelType w:val="hybridMultilevel"/>
    <w:tmpl w:val="FFFFFFFF"/>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6" w15:restartNumberingAfterBreak="0">
    <w:nsid w:val="5DD036D3"/>
    <w:multiLevelType w:val="hybridMultilevel"/>
    <w:tmpl w:val="FFFFFFFF"/>
    <w:lvl w:ilvl="0" w:tplc="4D8A12CE">
      <w:start w:val="1"/>
      <w:numFmt w:val="upperRoman"/>
      <w:lvlText w:val="%1."/>
      <w:lvlJc w:val="left"/>
      <w:pPr>
        <w:ind w:left="1080" w:hanging="72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67" w15:restartNumberingAfterBreak="0">
    <w:nsid w:val="5E2A4BC6"/>
    <w:multiLevelType w:val="hybridMultilevel"/>
    <w:tmpl w:val="FFFFFFFF"/>
    <w:lvl w:ilvl="0" w:tplc="240A000F">
      <w:start w:val="1"/>
      <w:numFmt w:val="decimal"/>
      <w:lvlText w:val="%1."/>
      <w:lvlJc w:val="left"/>
      <w:pPr>
        <w:ind w:left="720" w:hanging="360"/>
      </w:pPr>
      <w:rPr>
        <w:rFonts w:cs="Times New Roman" w:hint="default"/>
      </w:rPr>
    </w:lvl>
    <w:lvl w:ilvl="1" w:tplc="240A0019" w:tentative="1">
      <w:start w:val="1"/>
      <w:numFmt w:val="lowerLetter"/>
      <w:lvlText w:val="%2."/>
      <w:lvlJc w:val="left"/>
      <w:pPr>
        <w:ind w:left="1440" w:hanging="360"/>
      </w:pPr>
      <w:rPr>
        <w:rFonts w:cs="Times New Roman"/>
      </w:rPr>
    </w:lvl>
    <w:lvl w:ilvl="2" w:tplc="240A001B" w:tentative="1">
      <w:start w:val="1"/>
      <w:numFmt w:val="lowerRoman"/>
      <w:lvlText w:val="%3."/>
      <w:lvlJc w:val="right"/>
      <w:pPr>
        <w:ind w:left="2160" w:hanging="180"/>
      </w:pPr>
      <w:rPr>
        <w:rFonts w:cs="Times New Roman"/>
      </w:rPr>
    </w:lvl>
    <w:lvl w:ilvl="3" w:tplc="240A000F" w:tentative="1">
      <w:start w:val="1"/>
      <w:numFmt w:val="decimal"/>
      <w:lvlText w:val="%4."/>
      <w:lvlJc w:val="left"/>
      <w:pPr>
        <w:ind w:left="2880" w:hanging="360"/>
      </w:pPr>
      <w:rPr>
        <w:rFonts w:cs="Times New Roman"/>
      </w:rPr>
    </w:lvl>
    <w:lvl w:ilvl="4" w:tplc="240A0019" w:tentative="1">
      <w:start w:val="1"/>
      <w:numFmt w:val="lowerLetter"/>
      <w:lvlText w:val="%5."/>
      <w:lvlJc w:val="left"/>
      <w:pPr>
        <w:ind w:left="3600" w:hanging="360"/>
      </w:pPr>
      <w:rPr>
        <w:rFonts w:cs="Times New Roman"/>
      </w:rPr>
    </w:lvl>
    <w:lvl w:ilvl="5" w:tplc="240A001B" w:tentative="1">
      <w:start w:val="1"/>
      <w:numFmt w:val="lowerRoman"/>
      <w:lvlText w:val="%6."/>
      <w:lvlJc w:val="right"/>
      <w:pPr>
        <w:ind w:left="4320" w:hanging="180"/>
      </w:pPr>
      <w:rPr>
        <w:rFonts w:cs="Times New Roman"/>
      </w:rPr>
    </w:lvl>
    <w:lvl w:ilvl="6" w:tplc="240A000F" w:tentative="1">
      <w:start w:val="1"/>
      <w:numFmt w:val="decimal"/>
      <w:lvlText w:val="%7."/>
      <w:lvlJc w:val="left"/>
      <w:pPr>
        <w:ind w:left="5040" w:hanging="360"/>
      </w:pPr>
      <w:rPr>
        <w:rFonts w:cs="Times New Roman"/>
      </w:rPr>
    </w:lvl>
    <w:lvl w:ilvl="7" w:tplc="240A0019" w:tentative="1">
      <w:start w:val="1"/>
      <w:numFmt w:val="lowerLetter"/>
      <w:lvlText w:val="%8."/>
      <w:lvlJc w:val="left"/>
      <w:pPr>
        <w:ind w:left="5760" w:hanging="360"/>
      </w:pPr>
      <w:rPr>
        <w:rFonts w:cs="Times New Roman"/>
      </w:rPr>
    </w:lvl>
    <w:lvl w:ilvl="8" w:tplc="240A001B" w:tentative="1">
      <w:start w:val="1"/>
      <w:numFmt w:val="lowerRoman"/>
      <w:lvlText w:val="%9."/>
      <w:lvlJc w:val="right"/>
      <w:pPr>
        <w:ind w:left="6480" w:hanging="180"/>
      </w:pPr>
      <w:rPr>
        <w:rFonts w:cs="Times New Roman"/>
      </w:rPr>
    </w:lvl>
  </w:abstractNum>
  <w:abstractNum w:abstractNumId="68" w15:restartNumberingAfterBreak="0">
    <w:nsid w:val="603350A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0764829"/>
    <w:multiLevelType w:val="hybridMultilevel"/>
    <w:tmpl w:val="FFFFFFFF"/>
    <w:styleLink w:val="Listaactual5"/>
    <w:lvl w:ilvl="0" w:tplc="28965668">
      <w:start w:val="1"/>
      <w:numFmt w:val="decimal"/>
      <w:lvlText w:val="%1."/>
      <w:lvlJc w:val="left"/>
      <w:pPr>
        <w:ind w:left="720" w:hanging="360"/>
      </w:pPr>
      <w:rPr>
        <w:rFonts w:cs="Times New Roman"/>
      </w:rPr>
    </w:lvl>
    <w:lvl w:ilvl="1" w:tplc="240A0019">
      <w:start w:val="1"/>
      <w:numFmt w:val="lowerLetter"/>
      <w:lvlText w:val="%2."/>
      <w:lvlJc w:val="left"/>
      <w:pPr>
        <w:ind w:left="1440" w:hanging="360"/>
      </w:pPr>
      <w:rPr>
        <w:rFonts w:cs="Times New Roman"/>
      </w:rPr>
    </w:lvl>
    <w:lvl w:ilvl="2" w:tplc="240A001B" w:tentative="1">
      <w:start w:val="1"/>
      <w:numFmt w:val="lowerRoman"/>
      <w:lvlText w:val="%3."/>
      <w:lvlJc w:val="right"/>
      <w:pPr>
        <w:ind w:left="2160" w:hanging="180"/>
      </w:pPr>
      <w:rPr>
        <w:rFonts w:cs="Times New Roman"/>
      </w:rPr>
    </w:lvl>
    <w:lvl w:ilvl="3" w:tplc="240A000F" w:tentative="1">
      <w:start w:val="1"/>
      <w:numFmt w:val="decimal"/>
      <w:lvlText w:val="%4."/>
      <w:lvlJc w:val="left"/>
      <w:pPr>
        <w:ind w:left="2880" w:hanging="360"/>
      </w:pPr>
      <w:rPr>
        <w:rFonts w:cs="Times New Roman"/>
      </w:rPr>
    </w:lvl>
    <w:lvl w:ilvl="4" w:tplc="240A0019" w:tentative="1">
      <w:start w:val="1"/>
      <w:numFmt w:val="lowerLetter"/>
      <w:lvlText w:val="%5."/>
      <w:lvlJc w:val="left"/>
      <w:pPr>
        <w:ind w:left="3600" w:hanging="360"/>
      </w:pPr>
      <w:rPr>
        <w:rFonts w:cs="Times New Roman"/>
      </w:rPr>
    </w:lvl>
    <w:lvl w:ilvl="5" w:tplc="240A001B" w:tentative="1">
      <w:start w:val="1"/>
      <w:numFmt w:val="lowerRoman"/>
      <w:lvlText w:val="%6."/>
      <w:lvlJc w:val="right"/>
      <w:pPr>
        <w:ind w:left="4320" w:hanging="180"/>
      </w:pPr>
      <w:rPr>
        <w:rFonts w:cs="Times New Roman"/>
      </w:rPr>
    </w:lvl>
    <w:lvl w:ilvl="6" w:tplc="240A000F" w:tentative="1">
      <w:start w:val="1"/>
      <w:numFmt w:val="decimal"/>
      <w:lvlText w:val="%7."/>
      <w:lvlJc w:val="left"/>
      <w:pPr>
        <w:ind w:left="5040" w:hanging="360"/>
      </w:pPr>
      <w:rPr>
        <w:rFonts w:cs="Times New Roman"/>
      </w:rPr>
    </w:lvl>
    <w:lvl w:ilvl="7" w:tplc="240A0019" w:tentative="1">
      <w:start w:val="1"/>
      <w:numFmt w:val="lowerLetter"/>
      <w:lvlText w:val="%8."/>
      <w:lvlJc w:val="left"/>
      <w:pPr>
        <w:ind w:left="5760" w:hanging="360"/>
      </w:pPr>
      <w:rPr>
        <w:rFonts w:cs="Times New Roman"/>
      </w:rPr>
    </w:lvl>
    <w:lvl w:ilvl="8" w:tplc="240A001B" w:tentative="1">
      <w:start w:val="1"/>
      <w:numFmt w:val="lowerRoman"/>
      <w:lvlText w:val="%9."/>
      <w:lvlJc w:val="right"/>
      <w:pPr>
        <w:ind w:left="6480" w:hanging="180"/>
      </w:pPr>
      <w:rPr>
        <w:rFonts w:cs="Times New Roman"/>
      </w:rPr>
    </w:lvl>
  </w:abstractNum>
  <w:abstractNum w:abstractNumId="70" w15:restartNumberingAfterBreak="0">
    <w:nsid w:val="60FD25EB"/>
    <w:multiLevelType w:val="hybridMultilevel"/>
    <w:tmpl w:val="FFFFFFFF"/>
    <w:lvl w:ilvl="0" w:tplc="A9FA7902">
      <w:start w:val="1"/>
      <w:numFmt w:val="lowerRoman"/>
      <w:lvlText w:val="(%1)"/>
      <w:lvlJc w:val="left"/>
      <w:pPr>
        <w:ind w:left="1080" w:hanging="720"/>
      </w:pPr>
      <w:rPr>
        <w:rFonts w:cs="Times New Roman" w:hint="default"/>
      </w:rPr>
    </w:lvl>
    <w:lvl w:ilvl="1" w:tplc="240A0019" w:tentative="1">
      <w:start w:val="1"/>
      <w:numFmt w:val="lowerLetter"/>
      <w:lvlText w:val="%2."/>
      <w:lvlJc w:val="left"/>
      <w:pPr>
        <w:ind w:left="1440" w:hanging="360"/>
      </w:pPr>
      <w:rPr>
        <w:rFonts w:cs="Times New Roman"/>
      </w:rPr>
    </w:lvl>
    <w:lvl w:ilvl="2" w:tplc="240A001B" w:tentative="1">
      <w:start w:val="1"/>
      <w:numFmt w:val="lowerRoman"/>
      <w:lvlText w:val="%3."/>
      <w:lvlJc w:val="right"/>
      <w:pPr>
        <w:ind w:left="2160" w:hanging="180"/>
      </w:pPr>
      <w:rPr>
        <w:rFonts w:cs="Times New Roman"/>
      </w:rPr>
    </w:lvl>
    <w:lvl w:ilvl="3" w:tplc="240A000F" w:tentative="1">
      <w:start w:val="1"/>
      <w:numFmt w:val="decimal"/>
      <w:lvlText w:val="%4."/>
      <w:lvlJc w:val="left"/>
      <w:pPr>
        <w:ind w:left="2880" w:hanging="360"/>
      </w:pPr>
      <w:rPr>
        <w:rFonts w:cs="Times New Roman"/>
      </w:rPr>
    </w:lvl>
    <w:lvl w:ilvl="4" w:tplc="240A0019" w:tentative="1">
      <w:start w:val="1"/>
      <w:numFmt w:val="lowerLetter"/>
      <w:lvlText w:val="%5."/>
      <w:lvlJc w:val="left"/>
      <w:pPr>
        <w:ind w:left="3600" w:hanging="360"/>
      </w:pPr>
      <w:rPr>
        <w:rFonts w:cs="Times New Roman"/>
      </w:rPr>
    </w:lvl>
    <w:lvl w:ilvl="5" w:tplc="240A001B" w:tentative="1">
      <w:start w:val="1"/>
      <w:numFmt w:val="lowerRoman"/>
      <w:lvlText w:val="%6."/>
      <w:lvlJc w:val="right"/>
      <w:pPr>
        <w:ind w:left="4320" w:hanging="180"/>
      </w:pPr>
      <w:rPr>
        <w:rFonts w:cs="Times New Roman"/>
      </w:rPr>
    </w:lvl>
    <w:lvl w:ilvl="6" w:tplc="240A000F" w:tentative="1">
      <w:start w:val="1"/>
      <w:numFmt w:val="decimal"/>
      <w:lvlText w:val="%7."/>
      <w:lvlJc w:val="left"/>
      <w:pPr>
        <w:ind w:left="5040" w:hanging="360"/>
      </w:pPr>
      <w:rPr>
        <w:rFonts w:cs="Times New Roman"/>
      </w:rPr>
    </w:lvl>
    <w:lvl w:ilvl="7" w:tplc="240A0019" w:tentative="1">
      <w:start w:val="1"/>
      <w:numFmt w:val="lowerLetter"/>
      <w:lvlText w:val="%8."/>
      <w:lvlJc w:val="left"/>
      <w:pPr>
        <w:ind w:left="5760" w:hanging="360"/>
      </w:pPr>
      <w:rPr>
        <w:rFonts w:cs="Times New Roman"/>
      </w:rPr>
    </w:lvl>
    <w:lvl w:ilvl="8" w:tplc="240A001B" w:tentative="1">
      <w:start w:val="1"/>
      <w:numFmt w:val="lowerRoman"/>
      <w:lvlText w:val="%9."/>
      <w:lvlJc w:val="right"/>
      <w:pPr>
        <w:ind w:left="6480" w:hanging="180"/>
      </w:pPr>
      <w:rPr>
        <w:rFonts w:cs="Times New Roman"/>
      </w:rPr>
    </w:lvl>
  </w:abstractNum>
  <w:abstractNum w:abstractNumId="71" w15:restartNumberingAfterBreak="0">
    <w:nsid w:val="61275912"/>
    <w:multiLevelType w:val="multilevel"/>
    <w:tmpl w:val="FFFFFFFF"/>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72" w15:restartNumberingAfterBreak="0">
    <w:nsid w:val="621625D5"/>
    <w:multiLevelType w:val="multilevel"/>
    <w:tmpl w:val="FFFFFFFF"/>
    <w:styleLink w:val="Listaactual8"/>
    <w:lvl w:ilvl="0">
      <w:start w:val="1"/>
      <w:numFmt w:val="decimal"/>
      <w:lvlText w:val="%1."/>
      <w:lvlJc w:val="left"/>
      <w:pPr>
        <w:ind w:left="320" w:hanging="320"/>
      </w:pPr>
      <w:rPr>
        <w:rFonts w:ascii="Times New Roman" w:hAnsi="Times New Roman" w:cs="Times New Roman" w:hint="default"/>
        <w:b w:val="0"/>
        <w:bCs w:val="0"/>
        <w:i w:val="0"/>
        <w:iCs/>
        <w:color w:val="auto"/>
        <w:sz w:val="28"/>
        <w:szCs w:val="28"/>
        <w:vertAlign w:val="baseline"/>
      </w:rPr>
    </w:lvl>
    <w:lvl w:ilvl="1">
      <w:start w:val="4"/>
      <w:numFmt w:val="none"/>
      <w:isLgl/>
      <w:lvlText w:val="4.1."/>
      <w:lvlJc w:val="left"/>
      <w:pPr>
        <w:ind w:left="1885" w:hanging="750"/>
      </w:pPr>
      <w:rPr>
        <w:rFonts w:cs="Times New Roman" w:hint="default"/>
      </w:rPr>
    </w:lvl>
    <w:lvl w:ilvl="2">
      <w:start w:val="1"/>
      <w:numFmt w:val="decimal"/>
      <w:isLgl/>
      <w:lvlText w:val="%1.%2.%3."/>
      <w:lvlJc w:val="left"/>
      <w:pPr>
        <w:ind w:left="1885" w:hanging="750"/>
      </w:pPr>
      <w:rPr>
        <w:rFonts w:cs="Times New Roman" w:hint="default"/>
      </w:rPr>
    </w:lvl>
    <w:lvl w:ilvl="3">
      <w:start w:val="1"/>
      <w:numFmt w:val="decimal"/>
      <w:isLgl/>
      <w:lvlText w:val="%1.%2.%3.%4."/>
      <w:lvlJc w:val="left"/>
      <w:pPr>
        <w:ind w:left="2215" w:hanging="1080"/>
      </w:pPr>
      <w:rPr>
        <w:rFonts w:cs="Times New Roman" w:hint="default"/>
      </w:rPr>
    </w:lvl>
    <w:lvl w:ilvl="4">
      <w:start w:val="1"/>
      <w:numFmt w:val="decimal"/>
      <w:isLgl/>
      <w:lvlText w:val="%1.%2.%3.%4.%5."/>
      <w:lvlJc w:val="left"/>
      <w:pPr>
        <w:ind w:left="2215" w:hanging="1080"/>
      </w:pPr>
      <w:rPr>
        <w:rFonts w:cs="Times New Roman" w:hint="default"/>
      </w:rPr>
    </w:lvl>
    <w:lvl w:ilvl="5">
      <w:start w:val="1"/>
      <w:numFmt w:val="decimal"/>
      <w:isLgl/>
      <w:lvlText w:val="%1.%2.%3.%4.%5.%6."/>
      <w:lvlJc w:val="left"/>
      <w:pPr>
        <w:ind w:left="2575" w:hanging="1440"/>
      </w:pPr>
      <w:rPr>
        <w:rFonts w:cs="Times New Roman" w:hint="default"/>
      </w:rPr>
    </w:lvl>
    <w:lvl w:ilvl="6">
      <w:start w:val="1"/>
      <w:numFmt w:val="decimal"/>
      <w:isLgl/>
      <w:lvlText w:val="%1.%2.%3.%4.%5.%6.%7."/>
      <w:lvlJc w:val="left"/>
      <w:pPr>
        <w:ind w:left="2935" w:hanging="1800"/>
      </w:pPr>
      <w:rPr>
        <w:rFonts w:cs="Times New Roman" w:hint="default"/>
      </w:rPr>
    </w:lvl>
    <w:lvl w:ilvl="7">
      <w:start w:val="1"/>
      <w:numFmt w:val="decimal"/>
      <w:isLgl/>
      <w:lvlText w:val="%1.%2.%3.%4.%5.%6.%7.%8."/>
      <w:lvlJc w:val="left"/>
      <w:pPr>
        <w:ind w:left="2935" w:hanging="1800"/>
      </w:pPr>
      <w:rPr>
        <w:rFonts w:cs="Times New Roman" w:hint="default"/>
      </w:rPr>
    </w:lvl>
    <w:lvl w:ilvl="8">
      <w:start w:val="1"/>
      <w:numFmt w:val="decimal"/>
      <w:isLgl/>
      <w:lvlText w:val="%1.%2.%3.%4.%5.%6.%7.%8.%9."/>
      <w:lvlJc w:val="left"/>
      <w:pPr>
        <w:ind w:left="3295" w:hanging="2160"/>
      </w:pPr>
      <w:rPr>
        <w:rFonts w:cs="Times New Roman" w:hint="default"/>
      </w:rPr>
    </w:lvl>
  </w:abstractNum>
  <w:abstractNum w:abstractNumId="73" w15:restartNumberingAfterBreak="0">
    <w:nsid w:val="623C545A"/>
    <w:multiLevelType w:val="multilevel"/>
    <w:tmpl w:val="FFFFFFFF"/>
    <w:lvl w:ilvl="0">
      <w:start w:val="4"/>
      <w:numFmt w:val="decimal"/>
      <w:lvlText w:val="%1."/>
      <w:lvlJc w:val="left"/>
      <w:pPr>
        <w:ind w:left="420" w:hanging="420"/>
      </w:pPr>
      <w:rPr>
        <w:rFonts w:cs="Times New Roman" w:hint="default"/>
      </w:rPr>
    </w:lvl>
    <w:lvl w:ilvl="1">
      <w:start w:val="2"/>
      <w:numFmt w:val="none"/>
      <w:lvlText w:val="5.1."/>
      <w:lvlJc w:val="left"/>
      <w:pPr>
        <w:ind w:left="1077" w:hanging="720"/>
      </w:pPr>
      <w:rPr>
        <w:rFonts w:cs="Times New Roman" w:hint="default"/>
      </w:rPr>
    </w:lvl>
    <w:lvl w:ilvl="2">
      <w:start w:val="1"/>
      <w:numFmt w:val="decimal"/>
      <w:lvlText w:val="%1.%2.%3."/>
      <w:lvlJc w:val="left"/>
      <w:pPr>
        <w:ind w:left="1434" w:hanging="720"/>
      </w:pPr>
      <w:rPr>
        <w:rFonts w:cs="Times New Roman" w:hint="default"/>
      </w:rPr>
    </w:lvl>
    <w:lvl w:ilvl="3">
      <w:start w:val="1"/>
      <w:numFmt w:val="decimal"/>
      <w:lvlText w:val="%1.%2.%3.%4."/>
      <w:lvlJc w:val="left"/>
      <w:pPr>
        <w:ind w:left="2151" w:hanging="1080"/>
      </w:pPr>
      <w:rPr>
        <w:rFonts w:cs="Times New Roman" w:hint="default"/>
      </w:rPr>
    </w:lvl>
    <w:lvl w:ilvl="4">
      <w:start w:val="1"/>
      <w:numFmt w:val="decimal"/>
      <w:lvlText w:val="%1.%2.%3.%4.%5."/>
      <w:lvlJc w:val="left"/>
      <w:pPr>
        <w:ind w:left="2508" w:hanging="1080"/>
      </w:pPr>
      <w:rPr>
        <w:rFonts w:cs="Times New Roman" w:hint="default"/>
      </w:rPr>
    </w:lvl>
    <w:lvl w:ilvl="5">
      <w:start w:val="1"/>
      <w:numFmt w:val="decimal"/>
      <w:lvlText w:val="%1.%2.%3.%4.%5.%6."/>
      <w:lvlJc w:val="left"/>
      <w:pPr>
        <w:ind w:left="3225" w:hanging="1440"/>
      </w:pPr>
      <w:rPr>
        <w:rFonts w:cs="Times New Roman" w:hint="default"/>
      </w:rPr>
    </w:lvl>
    <w:lvl w:ilvl="6">
      <w:start w:val="1"/>
      <w:numFmt w:val="decimal"/>
      <w:lvlText w:val="%1.%2.%3.%4.%5.%6.%7."/>
      <w:lvlJc w:val="left"/>
      <w:pPr>
        <w:ind w:left="3942" w:hanging="1800"/>
      </w:pPr>
      <w:rPr>
        <w:rFonts w:cs="Times New Roman" w:hint="default"/>
      </w:rPr>
    </w:lvl>
    <w:lvl w:ilvl="7">
      <w:start w:val="1"/>
      <w:numFmt w:val="decimal"/>
      <w:lvlText w:val="%1.%2.%3.%4.%5.%6.%7.%8."/>
      <w:lvlJc w:val="left"/>
      <w:pPr>
        <w:ind w:left="4299" w:hanging="1800"/>
      </w:pPr>
      <w:rPr>
        <w:rFonts w:cs="Times New Roman" w:hint="default"/>
      </w:rPr>
    </w:lvl>
    <w:lvl w:ilvl="8">
      <w:start w:val="1"/>
      <w:numFmt w:val="decimal"/>
      <w:lvlText w:val="%1.%2.%3.%4.%5.%6.%7.%8.%9."/>
      <w:lvlJc w:val="left"/>
      <w:pPr>
        <w:ind w:left="5016" w:hanging="2160"/>
      </w:pPr>
      <w:rPr>
        <w:rFonts w:cs="Times New Roman" w:hint="default"/>
      </w:rPr>
    </w:lvl>
  </w:abstractNum>
  <w:abstractNum w:abstractNumId="74" w15:restartNumberingAfterBreak="0">
    <w:nsid w:val="62436AEB"/>
    <w:multiLevelType w:val="hybridMultilevel"/>
    <w:tmpl w:val="FFFFFFFF"/>
    <w:lvl w:ilvl="0" w:tplc="ABEC02C2">
      <w:start w:val="1"/>
      <w:numFmt w:val="decimal"/>
      <w:lvlText w:val="%1."/>
      <w:lvlJc w:val="left"/>
      <w:pPr>
        <w:ind w:left="720" w:hanging="360"/>
      </w:pPr>
      <w:rPr>
        <w:rFonts w:cs="Times New Roman"/>
      </w:rPr>
    </w:lvl>
    <w:lvl w:ilvl="1" w:tplc="232E2414">
      <w:start w:val="1"/>
      <w:numFmt w:val="lowerLetter"/>
      <w:lvlText w:val="%2."/>
      <w:lvlJc w:val="left"/>
      <w:pPr>
        <w:ind w:left="1440" w:hanging="360"/>
      </w:pPr>
      <w:rPr>
        <w:rFonts w:cs="Times New Roman"/>
      </w:rPr>
    </w:lvl>
    <w:lvl w:ilvl="2" w:tplc="6AA49C80">
      <w:start w:val="1"/>
      <w:numFmt w:val="lowerRoman"/>
      <w:lvlText w:val="%3."/>
      <w:lvlJc w:val="right"/>
      <w:pPr>
        <w:ind w:left="2160" w:hanging="180"/>
      </w:pPr>
      <w:rPr>
        <w:rFonts w:cs="Times New Roman"/>
      </w:rPr>
    </w:lvl>
    <w:lvl w:ilvl="3" w:tplc="64768518">
      <w:start w:val="1"/>
      <w:numFmt w:val="decimal"/>
      <w:lvlText w:val="%4."/>
      <w:lvlJc w:val="left"/>
      <w:pPr>
        <w:ind w:left="2880" w:hanging="360"/>
      </w:pPr>
      <w:rPr>
        <w:rFonts w:cs="Times New Roman"/>
      </w:rPr>
    </w:lvl>
    <w:lvl w:ilvl="4" w:tplc="50181C76">
      <w:start w:val="1"/>
      <w:numFmt w:val="lowerLetter"/>
      <w:lvlText w:val="%5."/>
      <w:lvlJc w:val="left"/>
      <w:pPr>
        <w:ind w:left="3600" w:hanging="360"/>
      </w:pPr>
      <w:rPr>
        <w:rFonts w:cs="Times New Roman"/>
      </w:rPr>
    </w:lvl>
    <w:lvl w:ilvl="5" w:tplc="4E6C1B68">
      <w:start w:val="1"/>
      <w:numFmt w:val="lowerRoman"/>
      <w:lvlText w:val="%6."/>
      <w:lvlJc w:val="right"/>
      <w:pPr>
        <w:ind w:left="4320" w:hanging="180"/>
      </w:pPr>
      <w:rPr>
        <w:rFonts w:cs="Times New Roman"/>
      </w:rPr>
    </w:lvl>
    <w:lvl w:ilvl="6" w:tplc="E9527DCC">
      <w:start w:val="1"/>
      <w:numFmt w:val="decimal"/>
      <w:lvlText w:val="%7."/>
      <w:lvlJc w:val="left"/>
      <w:pPr>
        <w:ind w:left="5040" w:hanging="360"/>
      </w:pPr>
      <w:rPr>
        <w:rFonts w:cs="Times New Roman"/>
      </w:rPr>
    </w:lvl>
    <w:lvl w:ilvl="7" w:tplc="60C28F88">
      <w:start w:val="1"/>
      <w:numFmt w:val="lowerLetter"/>
      <w:lvlText w:val="%8."/>
      <w:lvlJc w:val="left"/>
      <w:pPr>
        <w:ind w:left="5760" w:hanging="360"/>
      </w:pPr>
      <w:rPr>
        <w:rFonts w:cs="Times New Roman"/>
      </w:rPr>
    </w:lvl>
    <w:lvl w:ilvl="8" w:tplc="F516DD26">
      <w:start w:val="1"/>
      <w:numFmt w:val="lowerRoman"/>
      <w:lvlText w:val="%9."/>
      <w:lvlJc w:val="right"/>
      <w:pPr>
        <w:ind w:left="6480" w:hanging="180"/>
      </w:pPr>
      <w:rPr>
        <w:rFonts w:cs="Times New Roman"/>
      </w:rPr>
    </w:lvl>
  </w:abstractNum>
  <w:abstractNum w:abstractNumId="75" w15:restartNumberingAfterBreak="0">
    <w:nsid w:val="63EB7CBA"/>
    <w:multiLevelType w:val="hybridMultilevel"/>
    <w:tmpl w:val="FFFFFFFF"/>
    <w:lvl w:ilvl="0" w:tplc="F0D22C82">
      <w:start w:val="1"/>
      <w:numFmt w:val="decimal"/>
      <w:pStyle w:val="Subttulo"/>
      <w:lvlText w:val="3.%1"/>
      <w:lvlJc w:val="left"/>
      <w:pPr>
        <w:ind w:left="717" w:hanging="360"/>
      </w:pPr>
      <w:rPr>
        <w:rFonts w:cs="Times New Roman" w:hint="default"/>
        <w:b/>
        <w:bCs/>
      </w:rPr>
    </w:lvl>
    <w:lvl w:ilvl="1" w:tplc="240A0019">
      <w:start w:val="1"/>
      <w:numFmt w:val="lowerLetter"/>
      <w:lvlText w:val="%2."/>
      <w:lvlJc w:val="left"/>
      <w:pPr>
        <w:ind w:left="1440" w:hanging="360"/>
      </w:pPr>
      <w:rPr>
        <w:rFonts w:cs="Times New Roman"/>
      </w:rPr>
    </w:lvl>
    <w:lvl w:ilvl="2" w:tplc="240A001B" w:tentative="1">
      <w:start w:val="1"/>
      <w:numFmt w:val="lowerRoman"/>
      <w:lvlText w:val="%3."/>
      <w:lvlJc w:val="right"/>
      <w:pPr>
        <w:ind w:left="2160" w:hanging="180"/>
      </w:pPr>
      <w:rPr>
        <w:rFonts w:cs="Times New Roman"/>
      </w:rPr>
    </w:lvl>
    <w:lvl w:ilvl="3" w:tplc="240A000F" w:tentative="1">
      <w:start w:val="1"/>
      <w:numFmt w:val="decimal"/>
      <w:lvlText w:val="%4."/>
      <w:lvlJc w:val="left"/>
      <w:pPr>
        <w:ind w:left="2880" w:hanging="360"/>
      </w:pPr>
      <w:rPr>
        <w:rFonts w:cs="Times New Roman"/>
      </w:rPr>
    </w:lvl>
    <w:lvl w:ilvl="4" w:tplc="240A0019" w:tentative="1">
      <w:start w:val="1"/>
      <w:numFmt w:val="lowerLetter"/>
      <w:lvlText w:val="%5."/>
      <w:lvlJc w:val="left"/>
      <w:pPr>
        <w:ind w:left="3600" w:hanging="360"/>
      </w:pPr>
      <w:rPr>
        <w:rFonts w:cs="Times New Roman"/>
      </w:rPr>
    </w:lvl>
    <w:lvl w:ilvl="5" w:tplc="240A001B" w:tentative="1">
      <w:start w:val="1"/>
      <w:numFmt w:val="lowerRoman"/>
      <w:lvlText w:val="%6."/>
      <w:lvlJc w:val="right"/>
      <w:pPr>
        <w:ind w:left="4320" w:hanging="180"/>
      </w:pPr>
      <w:rPr>
        <w:rFonts w:cs="Times New Roman"/>
      </w:rPr>
    </w:lvl>
    <w:lvl w:ilvl="6" w:tplc="240A000F" w:tentative="1">
      <w:start w:val="1"/>
      <w:numFmt w:val="decimal"/>
      <w:lvlText w:val="%7."/>
      <w:lvlJc w:val="left"/>
      <w:pPr>
        <w:ind w:left="5040" w:hanging="360"/>
      </w:pPr>
      <w:rPr>
        <w:rFonts w:cs="Times New Roman"/>
      </w:rPr>
    </w:lvl>
    <w:lvl w:ilvl="7" w:tplc="240A0019" w:tentative="1">
      <w:start w:val="1"/>
      <w:numFmt w:val="lowerLetter"/>
      <w:lvlText w:val="%8."/>
      <w:lvlJc w:val="left"/>
      <w:pPr>
        <w:ind w:left="5760" w:hanging="360"/>
      </w:pPr>
      <w:rPr>
        <w:rFonts w:cs="Times New Roman"/>
      </w:rPr>
    </w:lvl>
    <w:lvl w:ilvl="8" w:tplc="240A001B" w:tentative="1">
      <w:start w:val="1"/>
      <w:numFmt w:val="lowerRoman"/>
      <w:lvlText w:val="%9."/>
      <w:lvlJc w:val="right"/>
      <w:pPr>
        <w:ind w:left="6480" w:hanging="180"/>
      </w:pPr>
      <w:rPr>
        <w:rFonts w:cs="Times New Roman"/>
      </w:rPr>
    </w:lvl>
  </w:abstractNum>
  <w:abstractNum w:abstractNumId="76" w15:restartNumberingAfterBreak="0">
    <w:nsid w:val="6444DD60"/>
    <w:multiLevelType w:val="hybridMultilevel"/>
    <w:tmpl w:val="FFFFFFFF"/>
    <w:lvl w:ilvl="0" w:tplc="BD4C8010">
      <w:start w:val="1"/>
      <w:numFmt w:val="decimal"/>
      <w:lvlText w:val="%1."/>
      <w:lvlJc w:val="left"/>
      <w:pPr>
        <w:ind w:left="720" w:hanging="360"/>
      </w:pPr>
      <w:rPr>
        <w:rFonts w:cs="Times New Roman"/>
      </w:rPr>
    </w:lvl>
    <w:lvl w:ilvl="1" w:tplc="58F2D1CE">
      <w:start w:val="1"/>
      <w:numFmt w:val="lowerLetter"/>
      <w:lvlText w:val="%2."/>
      <w:lvlJc w:val="left"/>
      <w:pPr>
        <w:ind w:left="1440" w:hanging="360"/>
      </w:pPr>
      <w:rPr>
        <w:rFonts w:cs="Times New Roman"/>
      </w:rPr>
    </w:lvl>
    <w:lvl w:ilvl="2" w:tplc="43BAA2B2">
      <w:start w:val="1"/>
      <w:numFmt w:val="lowerRoman"/>
      <w:lvlText w:val="%3."/>
      <w:lvlJc w:val="right"/>
      <w:pPr>
        <w:ind w:left="2160" w:hanging="180"/>
      </w:pPr>
      <w:rPr>
        <w:rFonts w:cs="Times New Roman"/>
      </w:rPr>
    </w:lvl>
    <w:lvl w:ilvl="3" w:tplc="29644A30">
      <w:start w:val="1"/>
      <w:numFmt w:val="decimal"/>
      <w:lvlText w:val="%4."/>
      <w:lvlJc w:val="left"/>
      <w:pPr>
        <w:ind w:left="2880" w:hanging="360"/>
      </w:pPr>
      <w:rPr>
        <w:rFonts w:cs="Times New Roman"/>
      </w:rPr>
    </w:lvl>
    <w:lvl w:ilvl="4" w:tplc="781C61FA">
      <w:start w:val="1"/>
      <w:numFmt w:val="lowerLetter"/>
      <w:lvlText w:val="%5."/>
      <w:lvlJc w:val="left"/>
      <w:pPr>
        <w:ind w:left="3600" w:hanging="360"/>
      </w:pPr>
      <w:rPr>
        <w:rFonts w:cs="Times New Roman"/>
      </w:rPr>
    </w:lvl>
    <w:lvl w:ilvl="5" w:tplc="2D92C032">
      <w:start w:val="1"/>
      <w:numFmt w:val="lowerRoman"/>
      <w:lvlText w:val="%6."/>
      <w:lvlJc w:val="right"/>
      <w:pPr>
        <w:ind w:left="4320" w:hanging="180"/>
      </w:pPr>
      <w:rPr>
        <w:rFonts w:cs="Times New Roman"/>
      </w:rPr>
    </w:lvl>
    <w:lvl w:ilvl="6" w:tplc="D77E87C4">
      <w:start w:val="1"/>
      <w:numFmt w:val="decimal"/>
      <w:lvlText w:val="%7."/>
      <w:lvlJc w:val="left"/>
      <w:pPr>
        <w:ind w:left="5040" w:hanging="360"/>
      </w:pPr>
      <w:rPr>
        <w:rFonts w:cs="Times New Roman"/>
      </w:rPr>
    </w:lvl>
    <w:lvl w:ilvl="7" w:tplc="1070DC40">
      <w:start w:val="1"/>
      <w:numFmt w:val="lowerLetter"/>
      <w:lvlText w:val="%8."/>
      <w:lvlJc w:val="left"/>
      <w:pPr>
        <w:ind w:left="5760" w:hanging="360"/>
      </w:pPr>
      <w:rPr>
        <w:rFonts w:cs="Times New Roman"/>
      </w:rPr>
    </w:lvl>
    <w:lvl w:ilvl="8" w:tplc="20DCE2B0">
      <w:start w:val="1"/>
      <w:numFmt w:val="lowerRoman"/>
      <w:lvlText w:val="%9."/>
      <w:lvlJc w:val="right"/>
      <w:pPr>
        <w:ind w:left="6480" w:hanging="180"/>
      </w:pPr>
      <w:rPr>
        <w:rFonts w:cs="Times New Roman"/>
      </w:rPr>
    </w:lvl>
  </w:abstractNum>
  <w:abstractNum w:abstractNumId="77" w15:restartNumberingAfterBreak="0">
    <w:nsid w:val="66E51AC0"/>
    <w:multiLevelType w:val="multilevel"/>
    <w:tmpl w:val="FFFFFFFF"/>
    <w:styleLink w:val="Listaactual4"/>
    <w:lvl w:ilvl="0">
      <w:start w:val="5"/>
      <w:numFmt w:val="decimal"/>
      <w:lvlText w:val="%1."/>
      <w:lvlJc w:val="left"/>
      <w:pPr>
        <w:ind w:left="502" w:hanging="360"/>
      </w:pPr>
      <w:rPr>
        <w:rFonts w:cs="Times New Roman" w:hint="default"/>
      </w:rPr>
    </w:lvl>
    <w:lvl w:ilvl="1">
      <w:start w:val="1"/>
      <w:numFmt w:val="decimal"/>
      <w:lvlText w:val="%1.%2."/>
      <w:lvlJc w:val="left"/>
      <w:pPr>
        <w:ind w:left="502" w:hanging="360"/>
      </w:pPr>
      <w:rPr>
        <w:rFonts w:cs="Times New Roman" w:hint="default"/>
      </w:rPr>
    </w:lvl>
    <w:lvl w:ilvl="2">
      <w:start w:val="1"/>
      <w:numFmt w:val="decimal"/>
      <w:lvlText w:val="%1.%2.%3."/>
      <w:lvlJc w:val="left"/>
      <w:pPr>
        <w:ind w:left="862" w:hanging="720"/>
      </w:pPr>
      <w:rPr>
        <w:rFonts w:cs="Times New Roman" w:hint="default"/>
      </w:rPr>
    </w:lvl>
    <w:lvl w:ilvl="3">
      <w:start w:val="1"/>
      <w:numFmt w:val="decimal"/>
      <w:lvlText w:val="%1.%2.%3.%4."/>
      <w:lvlJc w:val="left"/>
      <w:pPr>
        <w:ind w:left="862" w:hanging="720"/>
      </w:pPr>
      <w:rPr>
        <w:rFonts w:cs="Times New Roman" w:hint="default"/>
      </w:rPr>
    </w:lvl>
    <w:lvl w:ilvl="4">
      <w:start w:val="1"/>
      <w:numFmt w:val="decimal"/>
      <w:lvlText w:val="%1.%2.%3.%4.%5."/>
      <w:lvlJc w:val="left"/>
      <w:pPr>
        <w:ind w:left="1222" w:hanging="1080"/>
      </w:pPr>
      <w:rPr>
        <w:rFonts w:cs="Times New Roman" w:hint="default"/>
      </w:rPr>
    </w:lvl>
    <w:lvl w:ilvl="5">
      <w:start w:val="1"/>
      <w:numFmt w:val="decimal"/>
      <w:lvlText w:val="%1.%2.%3.%4.%5.%6."/>
      <w:lvlJc w:val="left"/>
      <w:pPr>
        <w:ind w:left="1222" w:hanging="1080"/>
      </w:pPr>
      <w:rPr>
        <w:rFonts w:cs="Times New Roman" w:hint="default"/>
      </w:rPr>
    </w:lvl>
    <w:lvl w:ilvl="6">
      <w:start w:val="1"/>
      <w:numFmt w:val="decimal"/>
      <w:lvlText w:val="%1.%2.%3.%4.%5.%6.%7."/>
      <w:lvlJc w:val="left"/>
      <w:pPr>
        <w:ind w:left="1582" w:hanging="1440"/>
      </w:pPr>
      <w:rPr>
        <w:rFonts w:cs="Times New Roman" w:hint="default"/>
      </w:rPr>
    </w:lvl>
    <w:lvl w:ilvl="7">
      <w:start w:val="1"/>
      <w:numFmt w:val="decimal"/>
      <w:lvlText w:val="%1.%2.%3.%4.%5.%6.%7.%8."/>
      <w:lvlJc w:val="left"/>
      <w:pPr>
        <w:ind w:left="1582" w:hanging="1440"/>
      </w:pPr>
      <w:rPr>
        <w:rFonts w:cs="Times New Roman" w:hint="default"/>
      </w:rPr>
    </w:lvl>
    <w:lvl w:ilvl="8">
      <w:start w:val="1"/>
      <w:numFmt w:val="decimal"/>
      <w:lvlText w:val="%1.%2.%3.%4.%5.%6.%7.%8.%9."/>
      <w:lvlJc w:val="left"/>
      <w:pPr>
        <w:ind w:left="1942" w:hanging="1800"/>
      </w:pPr>
      <w:rPr>
        <w:rFonts w:cs="Times New Roman" w:hint="default"/>
      </w:rPr>
    </w:lvl>
  </w:abstractNum>
  <w:abstractNum w:abstractNumId="78" w15:restartNumberingAfterBreak="0">
    <w:nsid w:val="66F21754"/>
    <w:multiLevelType w:val="hybridMultilevel"/>
    <w:tmpl w:val="FFFFFFFF"/>
    <w:lvl w:ilvl="0" w:tplc="240A0017">
      <w:start w:val="1"/>
      <w:numFmt w:val="lowerLetter"/>
      <w:lvlText w:val="%1)"/>
      <w:lvlJc w:val="left"/>
      <w:pPr>
        <w:ind w:left="720" w:hanging="360"/>
      </w:pPr>
      <w:rPr>
        <w:rFonts w:cs="Times New Roman" w:hint="default"/>
      </w:rPr>
    </w:lvl>
    <w:lvl w:ilvl="1" w:tplc="240A0019" w:tentative="1">
      <w:start w:val="1"/>
      <w:numFmt w:val="lowerLetter"/>
      <w:lvlText w:val="%2."/>
      <w:lvlJc w:val="left"/>
      <w:pPr>
        <w:ind w:left="1440" w:hanging="360"/>
      </w:pPr>
      <w:rPr>
        <w:rFonts w:cs="Times New Roman"/>
      </w:rPr>
    </w:lvl>
    <w:lvl w:ilvl="2" w:tplc="240A001B" w:tentative="1">
      <w:start w:val="1"/>
      <w:numFmt w:val="lowerRoman"/>
      <w:lvlText w:val="%3."/>
      <w:lvlJc w:val="right"/>
      <w:pPr>
        <w:ind w:left="2160" w:hanging="180"/>
      </w:pPr>
      <w:rPr>
        <w:rFonts w:cs="Times New Roman"/>
      </w:rPr>
    </w:lvl>
    <w:lvl w:ilvl="3" w:tplc="240A000F" w:tentative="1">
      <w:start w:val="1"/>
      <w:numFmt w:val="decimal"/>
      <w:lvlText w:val="%4."/>
      <w:lvlJc w:val="left"/>
      <w:pPr>
        <w:ind w:left="2880" w:hanging="360"/>
      </w:pPr>
      <w:rPr>
        <w:rFonts w:cs="Times New Roman"/>
      </w:rPr>
    </w:lvl>
    <w:lvl w:ilvl="4" w:tplc="240A0019" w:tentative="1">
      <w:start w:val="1"/>
      <w:numFmt w:val="lowerLetter"/>
      <w:lvlText w:val="%5."/>
      <w:lvlJc w:val="left"/>
      <w:pPr>
        <w:ind w:left="3600" w:hanging="360"/>
      </w:pPr>
      <w:rPr>
        <w:rFonts w:cs="Times New Roman"/>
      </w:rPr>
    </w:lvl>
    <w:lvl w:ilvl="5" w:tplc="240A001B" w:tentative="1">
      <w:start w:val="1"/>
      <w:numFmt w:val="lowerRoman"/>
      <w:lvlText w:val="%6."/>
      <w:lvlJc w:val="right"/>
      <w:pPr>
        <w:ind w:left="4320" w:hanging="180"/>
      </w:pPr>
      <w:rPr>
        <w:rFonts w:cs="Times New Roman"/>
      </w:rPr>
    </w:lvl>
    <w:lvl w:ilvl="6" w:tplc="240A000F" w:tentative="1">
      <w:start w:val="1"/>
      <w:numFmt w:val="decimal"/>
      <w:lvlText w:val="%7."/>
      <w:lvlJc w:val="left"/>
      <w:pPr>
        <w:ind w:left="5040" w:hanging="360"/>
      </w:pPr>
      <w:rPr>
        <w:rFonts w:cs="Times New Roman"/>
      </w:rPr>
    </w:lvl>
    <w:lvl w:ilvl="7" w:tplc="240A0019" w:tentative="1">
      <w:start w:val="1"/>
      <w:numFmt w:val="lowerLetter"/>
      <w:lvlText w:val="%8."/>
      <w:lvlJc w:val="left"/>
      <w:pPr>
        <w:ind w:left="5760" w:hanging="360"/>
      </w:pPr>
      <w:rPr>
        <w:rFonts w:cs="Times New Roman"/>
      </w:rPr>
    </w:lvl>
    <w:lvl w:ilvl="8" w:tplc="240A001B" w:tentative="1">
      <w:start w:val="1"/>
      <w:numFmt w:val="lowerRoman"/>
      <w:lvlText w:val="%9."/>
      <w:lvlJc w:val="right"/>
      <w:pPr>
        <w:ind w:left="6480" w:hanging="180"/>
      </w:pPr>
      <w:rPr>
        <w:rFonts w:cs="Times New Roman"/>
      </w:rPr>
    </w:lvl>
  </w:abstractNum>
  <w:abstractNum w:abstractNumId="79" w15:restartNumberingAfterBreak="0">
    <w:nsid w:val="677A0909"/>
    <w:multiLevelType w:val="hybridMultilevel"/>
    <w:tmpl w:val="FFFFFFFF"/>
    <w:styleLink w:val="Listaactual12"/>
    <w:lvl w:ilvl="0" w:tplc="1230F70E">
      <w:start w:val="1"/>
      <w:numFmt w:val="decimal"/>
      <w:lvlText w:val="3.%1"/>
      <w:lvlJc w:val="left"/>
      <w:pPr>
        <w:ind w:left="717" w:hanging="360"/>
      </w:pPr>
      <w:rPr>
        <w:rFonts w:cs="Times New Roman" w:hint="default"/>
      </w:rPr>
    </w:lvl>
    <w:lvl w:ilvl="1" w:tplc="240A0019">
      <w:start w:val="1"/>
      <w:numFmt w:val="lowerLetter"/>
      <w:lvlText w:val="%2."/>
      <w:lvlJc w:val="left"/>
      <w:pPr>
        <w:ind w:left="1440" w:hanging="360"/>
      </w:pPr>
      <w:rPr>
        <w:rFonts w:cs="Times New Roman"/>
      </w:rPr>
    </w:lvl>
    <w:lvl w:ilvl="2" w:tplc="240A001B" w:tentative="1">
      <w:start w:val="1"/>
      <w:numFmt w:val="lowerRoman"/>
      <w:lvlText w:val="%3."/>
      <w:lvlJc w:val="right"/>
      <w:pPr>
        <w:ind w:left="2160" w:hanging="180"/>
      </w:pPr>
      <w:rPr>
        <w:rFonts w:cs="Times New Roman"/>
      </w:rPr>
    </w:lvl>
    <w:lvl w:ilvl="3" w:tplc="240A000F" w:tentative="1">
      <w:start w:val="1"/>
      <w:numFmt w:val="decimal"/>
      <w:lvlText w:val="%4."/>
      <w:lvlJc w:val="left"/>
      <w:pPr>
        <w:ind w:left="2880" w:hanging="360"/>
      </w:pPr>
      <w:rPr>
        <w:rFonts w:cs="Times New Roman"/>
      </w:rPr>
    </w:lvl>
    <w:lvl w:ilvl="4" w:tplc="240A0019" w:tentative="1">
      <w:start w:val="1"/>
      <w:numFmt w:val="lowerLetter"/>
      <w:lvlText w:val="%5."/>
      <w:lvlJc w:val="left"/>
      <w:pPr>
        <w:ind w:left="3600" w:hanging="360"/>
      </w:pPr>
      <w:rPr>
        <w:rFonts w:cs="Times New Roman"/>
      </w:rPr>
    </w:lvl>
    <w:lvl w:ilvl="5" w:tplc="240A001B" w:tentative="1">
      <w:start w:val="1"/>
      <w:numFmt w:val="lowerRoman"/>
      <w:lvlText w:val="%6."/>
      <w:lvlJc w:val="right"/>
      <w:pPr>
        <w:ind w:left="4320" w:hanging="180"/>
      </w:pPr>
      <w:rPr>
        <w:rFonts w:cs="Times New Roman"/>
      </w:rPr>
    </w:lvl>
    <w:lvl w:ilvl="6" w:tplc="240A000F" w:tentative="1">
      <w:start w:val="1"/>
      <w:numFmt w:val="decimal"/>
      <w:lvlText w:val="%7."/>
      <w:lvlJc w:val="left"/>
      <w:pPr>
        <w:ind w:left="5040" w:hanging="360"/>
      </w:pPr>
      <w:rPr>
        <w:rFonts w:cs="Times New Roman"/>
      </w:rPr>
    </w:lvl>
    <w:lvl w:ilvl="7" w:tplc="240A0019" w:tentative="1">
      <w:start w:val="1"/>
      <w:numFmt w:val="lowerLetter"/>
      <w:lvlText w:val="%8."/>
      <w:lvlJc w:val="left"/>
      <w:pPr>
        <w:ind w:left="5760" w:hanging="360"/>
      </w:pPr>
      <w:rPr>
        <w:rFonts w:cs="Times New Roman"/>
      </w:rPr>
    </w:lvl>
    <w:lvl w:ilvl="8" w:tplc="240A001B" w:tentative="1">
      <w:start w:val="1"/>
      <w:numFmt w:val="lowerRoman"/>
      <w:lvlText w:val="%9."/>
      <w:lvlJc w:val="right"/>
      <w:pPr>
        <w:ind w:left="6480" w:hanging="180"/>
      </w:pPr>
      <w:rPr>
        <w:rFonts w:cs="Times New Roman"/>
      </w:rPr>
    </w:lvl>
  </w:abstractNum>
  <w:abstractNum w:abstractNumId="80" w15:restartNumberingAfterBreak="0">
    <w:nsid w:val="6953752E"/>
    <w:multiLevelType w:val="hybridMultilevel"/>
    <w:tmpl w:val="FFFFFFFF"/>
    <w:lvl w:ilvl="0" w:tplc="240A000F">
      <w:start w:val="1"/>
      <w:numFmt w:val="decimal"/>
      <w:lvlText w:val="%1."/>
      <w:lvlJc w:val="left"/>
      <w:pPr>
        <w:ind w:left="720" w:hanging="360"/>
      </w:pPr>
      <w:rPr>
        <w:rFonts w:cs="Times New Roman"/>
      </w:rPr>
    </w:lvl>
    <w:lvl w:ilvl="1" w:tplc="240A0019" w:tentative="1">
      <w:start w:val="1"/>
      <w:numFmt w:val="lowerLetter"/>
      <w:lvlText w:val="%2."/>
      <w:lvlJc w:val="left"/>
      <w:pPr>
        <w:ind w:left="1440" w:hanging="360"/>
      </w:pPr>
      <w:rPr>
        <w:rFonts w:cs="Times New Roman"/>
      </w:rPr>
    </w:lvl>
    <w:lvl w:ilvl="2" w:tplc="240A001B" w:tentative="1">
      <w:start w:val="1"/>
      <w:numFmt w:val="lowerRoman"/>
      <w:lvlText w:val="%3."/>
      <w:lvlJc w:val="right"/>
      <w:pPr>
        <w:ind w:left="2160" w:hanging="180"/>
      </w:pPr>
      <w:rPr>
        <w:rFonts w:cs="Times New Roman"/>
      </w:rPr>
    </w:lvl>
    <w:lvl w:ilvl="3" w:tplc="240A000F" w:tentative="1">
      <w:start w:val="1"/>
      <w:numFmt w:val="decimal"/>
      <w:lvlText w:val="%4."/>
      <w:lvlJc w:val="left"/>
      <w:pPr>
        <w:ind w:left="2880" w:hanging="360"/>
      </w:pPr>
      <w:rPr>
        <w:rFonts w:cs="Times New Roman"/>
      </w:rPr>
    </w:lvl>
    <w:lvl w:ilvl="4" w:tplc="240A0019" w:tentative="1">
      <w:start w:val="1"/>
      <w:numFmt w:val="lowerLetter"/>
      <w:lvlText w:val="%5."/>
      <w:lvlJc w:val="left"/>
      <w:pPr>
        <w:ind w:left="3600" w:hanging="360"/>
      </w:pPr>
      <w:rPr>
        <w:rFonts w:cs="Times New Roman"/>
      </w:rPr>
    </w:lvl>
    <w:lvl w:ilvl="5" w:tplc="240A001B" w:tentative="1">
      <w:start w:val="1"/>
      <w:numFmt w:val="lowerRoman"/>
      <w:lvlText w:val="%6."/>
      <w:lvlJc w:val="right"/>
      <w:pPr>
        <w:ind w:left="4320" w:hanging="180"/>
      </w:pPr>
      <w:rPr>
        <w:rFonts w:cs="Times New Roman"/>
      </w:rPr>
    </w:lvl>
    <w:lvl w:ilvl="6" w:tplc="240A000F" w:tentative="1">
      <w:start w:val="1"/>
      <w:numFmt w:val="decimal"/>
      <w:lvlText w:val="%7."/>
      <w:lvlJc w:val="left"/>
      <w:pPr>
        <w:ind w:left="5040" w:hanging="360"/>
      </w:pPr>
      <w:rPr>
        <w:rFonts w:cs="Times New Roman"/>
      </w:rPr>
    </w:lvl>
    <w:lvl w:ilvl="7" w:tplc="240A0019" w:tentative="1">
      <w:start w:val="1"/>
      <w:numFmt w:val="lowerLetter"/>
      <w:lvlText w:val="%8."/>
      <w:lvlJc w:val="left"/>
      <w:pPr>
        <w:ind w:left="5760" w:hanging="360"/>
      </w:pPr>
      <w:rPr>
        <w:rFonts w:cs="Times New Roman"/>
      </w:rPr>
    </w:lvl>
    <w:lvl w:ilvl="8" w:tplc="240A001B" w:tentative="1">
      <w:start w:val="1"/>
      <w:numFmt w:val="lowerRoman"/>
      <w:lvlText w:val="%9."/>
      <w:lvlJc w:val="right"/>
      <w:pPr>
        <w:ind w:left="6480" w:hanging="180"/>
      </w:pPr>
      <w:rPr>
        <w:rFonts w:cs="Times New Roman"/>
      </w:rPr>
    </w:lvl>
  </w:abstractNum>
  <w:abstractNum w:abstractNumId="81" w15:restartNumberingAfterBreak="0">
    <w:nsid w:val="69C9FC38"/>
    <w:multiLevelType w:val="hybridMultilevel"/>
    <w:tmpl w:val="FFFFFFFF"/>
    <w:lvl w:ilvl="0" w:tplc="FB14BBC6">
      <w:start w:val="1"/>
      <w:numFmt w:val="decimal"/>
      <w:lvlText w:val="%1."/>
      <w:lvlJc w:val="left"/>
      <w:pPr>
        <w:ind w:left="720" w:hanging="360"/>
      </w:pPr>
      <w:rPr>
        <w:rFonts w:cs="Times New Roman"/>
      </w:rPr>
    </w:lvl>
    <w:lvl w:ilvl="1" w:tplc="39E6A172">
      <w:start w:val="1"/>
      <w:numFmt w:val="lowerLetter"/>
      <w:lvlText w:val="%2."/>
      <w:lvlJc w:val="left"/>
      <w:pPr>
        <w:ind w:left="1440" w:hanging="360"/>
      </w:pPr>
      <w:rPr>
        <w:rFonts w:cs="Times New Roman"/>
      </w:rPr>
    </w:lvl>
    <w:lvl w:ilvl="2" w:tplc="FB8A9AAE">
      <w:start w:val="1"/>
      <w:numFmt w:val="lowerRoman"/>
      <w:lvlText w:val="%3."/>
      <w:lvlJc w:val="right"/>
      <w:pPr>
        <w:ind w:left="2160" w:hanging="180"/>
      </w:pPr>
      <w:rPr>
        <w:rFonts w:cs="Times New Roman"/>
      </w:rPr>
    </w:lvl>
    <w:lvl w:ilvl="3" w:tplc="A224EF72">
      <w:start w:val="1"/>
      <w:numFmt w:val="decimal"/>
      <w:lvlText w:val="%4."/>
      <w:lvlJc w:val="left"/>
      <w:pPr>
        <w:ind w:left="2880" w:hanging="360"/>
      </w:pPr>
      <w:rPr>
        <w:rFonts w:cs="Times New Roman"/>
      </w:rPr>
    </w:lvl>
    <w:lvl w:ilvl="4" w:tplc="832A7058">
      <w:start w:val="1"/>
      <w:numFmt w:val="lowerLetter"/>
      <w:lvlText w:val="%5."/>
      <w:lvlJc w:val="left"/>
      <w:pPr>
        <w:ind w:left="3600" w:hanging="360"/>
      </w:pPr>
      <w:rPr>
        <w:rFonts w:cs="Times New Roman"/>
      </w:rPr>
    </w:lvl>
    <w:lvl w:ilvl="5" w:tplc="8068B07E">
      <w:start w:val="1"/>
      <w:numFmt w:val="lowerRoman"/>
      <w:lvlText w:val="%6."/>
      <w:lvlJc w:val="right"/>
      <w:pPr>
        <w:ind w:left="4320" w:hanging="180"/>
      </w:pPr>
      <w:rPr>
        <w:rFonts w:cs="Times New Roman"/>
      </w:rPr>
    </w:lvl>
    <w:lvl w:ilvl="6" w:tplc="3DC0741C">
      <w:start w:val="1"/>
      <w:numFmt w:val="decimal"/>
      <w:lvlText w:val="%7."/>
      <w:lvlJc w:val="left"/>
      <w:pPr>
        <w:ind w:left="5040" w:hanging="360"/>
      </w:pPr>
      <w:rPr>
        <w:rFonts w:cs="Times New Roman"/>
      </w:rPr>
    </w:lvl>
    <w:lvl w:ilvl="7" w:tplc="D84ECC22">
      <w:start w:val="1"/>
      <w:numFmt w:val="lowerLetter"/>
      <w:lvlText w:val="%8."/>
      <w:lvlJc w:val="left"/>
      <w:pPr>
        <w:ind w:left="5760" w:hanging="360"/>
      </w:pPr>
      <w:rPr>
        <w:rFonts w:cs="Times New Roman"/>
      </w:rPr>
    </w:lvl>
    <w:lvl w:ilvl="8" w:tplc="C16CF210">
      <w:start w:val="1"/>
      <w:numFmt w:val="lowerRoman"/>
      <w:lvlText w:val="%9."/>
      <w:lvlJc w:val="right"/>
      <w:pPr>
        <w:ind w:left="6480" w:hanging="180"/>
      </w:pPr>
      <w:rPr>
        <w:rFonts w:cs="Times New Roman"/>
      </w:rPr>
    </w:lvl>
  </w:abstractNum>
  <w:abstractNum w:abstractNumId="82" w15:restartNumberingAfterBreak="0">
    <w:nsid w:val="6C635F78"/>
    <w:multiLevelType w:val="hybridMultilevel"/>
    <w:tmpl w:val="FFFFFFFF"/>
    <w:lvl w:ilvl="0" w:tplc="87600E08">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3" w15:restartNumberingAfterBreak="0">
    <w:nsid w:val="6DF63600"/>
    <w:multiLevelType w:val="hybridMultilevel"/>
    <w:tmpl w:val="FFFFFFFF"/>
    <w:styleLink w:val="Listaactual13"/>
    <w:lvl w:ilvl="0" w:tplc="28965668">
      <w:start w:val="1"/>
      <w:numFmt w:val="decimal"/>
      <w:lvlText w:val="%1."/>
      <w:lvlJc w:val="left"/>
      <w:pPr>
        <w:ind w:left="720" w:hanging="360"/>
      </w:pPr>
      <w:rPr>
        <w:rFonts w:cs="Times New Roman"/>
      </w:rPr>
    </w:lvl>
    <w:lvl w:ilvl="1" w:tplc="240A0019">
      <w:start w:val="1"/>
      <w:numFmt w:val="lowerLetter"/>
      <w:lvlText w:val="%2."/>
      <w:lvlJc w:val="left"/>
      <w:pPr>
        <w:ind w:left="1440" w:hanging="360"/>
      </w:pPr>
      <w:rPr>
        <w:rFonts w:cs="Times New Roman"/>
      </w:rPr>
    </w:lvl>
    <w:lvl w:ilvl="2" w:tplc="240A001B" w:tentative="1">
      <w:start w:val="1"/>
      <w:numFmt w:val="lowerRoman"/>
      <w:lvlText w:val="%3."/>
      <w:lvlJc w:val="right"/>
      <w:pPr>
        <w:ind w:left="2160" w:hanging="180"/>
      </w:pPr>
      <w:rPr>
        <w:rFonts w:cs="Times New Roman"/>
      </w:rPr>
    </w:lvl>
    <w:lvl w:ilvl="3" w:tplc="240A000F" w:tentative="1">
      <w:start w:val="1"/>
      <w:numFmt w:val="decimal"/>
      <w:lvlText w:val="%4."/>
      <w:lvlJc w:val="left"/>
      <w:pPr>
        <w:ind w:left="2880" w:hanging="360"/>
      </w:pPr>
      <w:rPr>
        <w:rFonts w:cs="Times New Roman"/>
      </w:rPr>
    </w:lvl>
    <w:lvl w:ilvl="4" w:tplc="240A0019" w:tentative="1">
      <w:start w:val="1"/>
      <w:numFmt w:val="lowerLetter"/>
      <w:lvlText w:val="%5."/>
      <w:lvlJc w:val="left"/>
      <w:pPr>
        <w:ind w:left="3600" w:hanging="360"/>
      </w:pPr>
      <w:rPr>
        <w:rFonts w:cs="Times New Roman"/>
      </w:rPr>
    </w:lvl>
    <w:lvl w:ilvl="5" w:tplc="240A001B" w:tentative="1">
      <w:start w:val="1"/>
      <w:numFmt w:val="lowerRoman"/>
      <w:lvlText w:val="%6."/>
      <w:lvlJc w:val="right"/>
      <w:pPr>
        <w:ind w:left="4320" w:hanging="180"/>
      </w:pPr>
      <w:rPr>
        <w:rFonts w:cs="Times New Roman"/>
      </w:rPr>
    </w:lvl>
    <w:lvl w:ilvl="6" w:tplc="240A000F" w:tentative="1">
      <w:start w:val="1"/>
      <w:numFmt w:val="decimal"/>
      <w:lvlText w:val="%7."/>
      <w:lvlJc w:val="left"/>
      <w:pPr>
        <w:ind w:left="5040" w:hanging="360"/>
      </w:pPr>
      <w:rPr>
        <w:rFonts w:cs="Times New Roman"/>
      </w:rPr>
    </w:lvl>
    <w:lvl w:ilvl="7" w:tplc="240A0019" w:tentative="1">
      <w:start w:val="1"/>
      <w:numFmt w:val="lowerLetter"/>
      <w:lvlText w:val="%8."/>
      <w:lvlJc w:val="left"/>
      <w:pPr>
        <w:ind w:left="5760" w:hanging="360"/>
      </w:pPr>
      <w:rPr>
        <w:rFonts w:cs="Times New Roman"/>
      </w:rPr>
    </w:lvl>
    <w:lvl w:ilvl="8" w:tplc="240A001B" w:tentative="1">
      <w:start w:val="1"/>
      <w:numFmt w:val="lowerRoman"/>
      <w:lvlText w:val="%9."/>
      <w:lvlJc w:val="right"/>
      <w:pPr>
        <w:ind w:left="6480" w:hanging="180"/>
      </w:pPr>
      <w:rPr>
        <w:rFonts w:cs="Times New Roman"/>
      </w:rPr>
    </w:lvl>
  </w:abstractNum>
  <w:abstractNum w:abstractNumId="84" w15:restartNumberingAfterBreak="0">
    <w:nsid w:val="6E7A181D"/>
    <w:multiLevelType w:val="hybridMultilevel"/>
    <w:tmpl w:val="FFFFFFFF"/>
    <w:styleLink w:val="Listaactual1"/>
    <w:lvl w:ilvl="0" w:tplc="240A0017">
      <w:start w:val="1"/>
      <w:numFmt w:val="lowerLetter"/>
      <w:lvlText w:val="%1)"/>
      <w:lvlJc w:val="left"/>
      <w:pPr>
        <w:ind w:left="720" w:hanging="360"/>
      </w:pPr>
      <w:rPr>
        <w:rFonts w:cs="Times New Roman" w:hint="default"/>
      </w:rPr>
    </w:lvl>
    <w:lvl w:ilvl="1" w:tplc="240A0019" w:tentative="1">
      <w:start w:val="1"/>
      <w:numFmt w:val="lowerLetter"/>
      <w:lvlText w:val="%2."/>
      <w:lvlJc w:val="left"/>
      <w:pPr>
        <w:ind w:left="1440" w:hanging="360"/>
      </w:pPr>
      <w:rPr>
        <w:rFonts w:cs="Times New Roman"/>
      </w:rPr>
    </w:lvl>
    <w:lvl w:ilvl="2" w:tplc="240A001B" w:tentative="1">
      <w:start w:val="1"/>
      <w:numFmt w:val="lowerRoman"/>
      <w:lvlText w:val="%3."/>
      <w:lvlJc w:val="right"/>
      <w:pPr>
        <w:ind w:left="2160" w:hanging="180"/>
      </w:pPr>
      <w:rPr>
        <w:rFonts w:cs="Times New Roman"/>
      </w:rPr>
    </w:lvl>
    <w:lvl w:ilvl="3" w:tplc="240A000F" w:tentative="1">
      <w:start w:val="1"/>
      <w:numFmt w:val="decimal"/>
      <w:lvlText w:val="%4."/>
      <w:lvlJc w:val="left"/>
      <w:pPr>
        <w:ind w:left="2880" w:hanging="360"/>
      </w:pPr>
      <w:rPr>
        <w:rFonts w:cs="Times New Roman"/>
      </w:rPr>
    </w:lvl>
    <w:lvl w:ilvl="4" w:tplc="240A0019" w:tentative="1">
      <w:start w:val="1"/>
      <w:numFmt w:val="lowerLetter"/>
      <w:lvlText w:val="%5."/>
      <w:lvlJc w:val="left"/>
      <w:pPr>
        <w:ind w:left="3600" w:hanging="360"/>
      </w:pPr>
      <w:rPr>
        <w:rFonts w:cs="Times New Roman"/>
      </w:rPr>
    </w:lvl>
    <w:lvl w:ilvl="5" w:tplc="240A001B" w:tentative="1">
      <w:start w:val="1"/>
      <w:numFmt w:val="lowerRoman"/>
      <w:lvlText w:val="%6."/>
      <w:lvlJc w:val="right"/>
      <w:pPr>
        <w:ind w:left="4320" w:hanging="180"/>
      </w:pPr>
      <w:rPr>
        <w:rFonts w:cs="Times New Roman"/>
      </w:rPr>
    </w:lvl>
    <w:lvl w:ilvl="6" w:tplc="240A000F" w:tentative="1">
      <w:start w:val="1"/>
      <w:numFmt w:val="decimal"/>
      <w:lvlText w:val="%7."/>
      <w:lvlJc w:val="left"/>
      <w:pPr>
        <w:ind w:left="5040" w:hanging="360"/>
      </w:pPr>
      <w:rPr>
        <w:rFonts w:cs="Times New Roman"/>
      </w:rPr>
    </w:lvl>
    <w:lvl w:ilvl="7" w:tplc="240A0019" w:tentative="1">
      <w:start w:val="1"/>
      <w:numFmt w:val="lowerLetter"/>
      <w:lvlText w:val="%8."/>
      <w:lvlJc w:val="left"/>
      <w:pPr>
        <w:ind w:left="5760" w:hanging="360"/>
      </w:pPr>
      <w:rPr>
        <w:rFonts w:cs="Times New Roman"/>
      </w:rPr>
    </w:lvl>
    <w:lvl w:ilvl="8" w:tplc="240A001B" w:tentative="1">
      <w:start w:val="1"/>
      <w:numFmt w:val="lowerRoman"/>
      <w:lvlText w:val="%9."/>
      <w:lvlJc w:val="right"/>
      <w:pPr>
        <w:ind w:left="6480" w:hanging="180"/>
      </w:pPr>
      <w:rPr>
        <w:rFonts w:cs="Times New Roman"/>
      </w:rPr>
    </w:lvl>
  </w:abstractNum>
  <w:abstractNum w:abstractNumId="85" w15:restartNumberingAfterBreak="0">
    <w:nsid w:val="6E8541C9"/>
    <w:multiLevelType w:val="hybridMultilevel"/>
    <w:tmpl w:val="FFFFFFFF"/>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6" w15:restartNumberingAfterBreak="0">
    <w:nsid w:val="6ED1A620"/>
    <w:multiLevelType w:val="hybridMultilevel"/>
    <w:tmpl w:val="FFFFFFFF"/>
    <w:lvl w:ilvl="0" w:tplc="228CCA5A">
      <w:start w:val="1"/>
      <w:numFmt w:val="lowerRoman"/>
      <w:lvlText w:val="(%1)"/>
      <w:lvlJc w:val="left"/>
      <w:pPr>
        <w:ind w:left="720" w:hanging="360"/>
      </w:pPr>
      <w:rPr>
        <w:rFonts w:cs="Times New Roman"/>
      </w:rPr>
    </w:lvl>
    <w:lvl w:ilvl="1" w:tplc="5B2E710A">
      <w:start w:val="1"/>
      <w:numFmt w:val="lowerLetter"/>
      <w:lvlText w:val="%2."/>
      <w:lvlJc w:val="left"/>
      <w:pPr>
        <w:ind w:left="1440" w:hanging="360"/>
      </w:pPr>
      <w:rPr>
        <w:rFonts w:cs="Times New Roman"/>
      </w:rPr>
    </w:lvl>
    <w:lvl w:ilvl="2" w:tplc="2410F4E2">
      <w:start w:val="1"/>
      <w:numFmt w:val="lowerRoman"/>
      <w:lvlText w:val="%3."/>
      <w:lvlJc w:val="right"/>
      <w:pPr>
        <w:ind w:left="2160" w:hanging="180"/>
      </w:pPr>
      <w:rPr>
        <w:rFonts w:cs="Times New Roman"/>
      </w:rPr>
    </w:lvl>
    <w:lvl w:ilvl="3" w:tplc="0D7CBC5A">
      <w:start w:val="1"/>
      <w:numFmt w:val="decimal"/>
      <w:lvlText w:val="%4."/>
      <w:lvlJc w:val="left"/>
      <w:pPr>
        <w:ind w:left="2880" w:hanging="360"/>
      </w:pPr>
      <w:rPr>
        <w:rFonts w:cs="Times New Roman"/>
      </w:rPr>
    </w:lvl>
    <w:lvl w:ilvl="4" w:tplc="7C24DF64">
      <w:start w:val="1"/>
      <w:numFmt w:val="lowerLetter"/>
      <w:lvlText w:val="%5."/>
      <w:lvlJc w:val="left"/>
      <w:pPr>
        <w:ind w:left="3600" w:hanging="360"/>
      </w:pPr>
      <w:rPr>
        <w:rFonts w:cs="Times New Roman"/>
      </w:rPr>
    </w:lvl>
    <w:lvl w:ilvl="5" w:tplc="C3B0D69E">
      <w:start w:val="1"/>
      <w:numFmt w:val="lowerRoman"/>
      <w:lvlText w:val="%6."/>
      <w:lvlJc w:val="right"/>
      <w:pPr>
        <w:ind w:left="4320" w:hanging="180"/>
      </w:pPr>
      <w:rPr>
        <w:rFonts w:cs="Times New Roman"/>
      </w:rPr>
    </w:lvl>
    <w:lvl w:ilvl="6" w:tplc="24FE9810">
      <w:start w:val="1"/>
      <w:numFmt w:val="decimal"/>
      <w:lvlText w:val="%7."/>
      <w:lvlJc w:val="left"/>
      <w:pPr>
        <w:ind w:left="5040" w:hanging="360"/>
      </w:pPr>
      <w:rPr>
        <w:rFonts w:cs="Times New Roman"/>
      </w:rPr>
    </w:lvl>
    <w:lvl w:ilvl="7" w:tplc="16E243DC">
      <w:start w:val="1"/>
      <w:numFmt w:val="lowerLetter"/>
      <w:lvlText w:val="%8."/>
      <w:lvlJc w:val="left"/>
      <w:pPr>
        <w:ind w:left="5760" w:hanging="360"/>
      </w:pPr>
      <w:rPr>
        <w:rFonts w:cs="Times New Roman"/>
      </w:rPr>
    </w:lvl>
    <w:lvl w:ilvl="8" w:tplc="C936BE52">
      <w:start w:val="1"/>
      <w:numFmt w:val="lowerRoman"/>
      <w:lvlText w:val="%9."/>
      <w:lvlJc w:val="right"/>
      <w:pPr>
        <w:ind w:left="6480" w:hanging="180"/>
      </w:pPr>
      <w:rPr>
        <w:rFonts w:cs="Times New Roman"/>
      </w:rPr>
    </w:lvl>
  </w:abstractNum>
  <w:abstractNum w:abstractNumId="87" w15:restartNumberingAfterBreak="0">
    <w:nsid w:val="71D66331"/>
    <w:multiLevelType w:val="hybridMultilevel"/>
    <w:tmpl w:val="FFFFFFFF"/>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8" w15:restartNumberingAfterBreak="0">
    <w:nsid w:val="72474B53"/>
    <w:multiLevelType w:val="multilevel"/>
    <w:tmpl w:val="FFFFFFFF"/>
    <w:styleLink w:val="Listaactual7"/>
    <w:lvl w:ilvl="0">
      <w:start w:val="1"/>
      <w:numFmt w:val="decimal"/>
      <w:lvlText w:val="%1."/>
      <w:lvlJc w:val="left"/>
      <w:pPr>
        <w:ind w:left="320" w:hanging="320"/>
      </w:pPr>
      <w:rPr>
        <w:rFonts w:ascii="Times New Roman" w:hAnsi="Times New Roman" w:cs="Times New Roman" w:hint="default"/>
        <w:b w:val="0"/>
        <w:bCs w:val="0"/>
        <w:i w:val="0"/>
        <w:iCs/>
        <w:color w:val="auto"/>
        <w:sz w:val="28"/>
        <w:szCs w:val="28"/>
        <w:vertAlign w:val="baseline"/>
      </w:rPr>
    </w:lvl>
    <w:lvl w:ilvl="1">
      <w:start w:val="1"/>
      <w:numFmt w:val="decimal"/>
      <w:isLgl/>
      <w:lvlText w:val="%1.%2."/>
      <w:lvlJc w:val="left"/>
      <w:pPr>
        <w:ind w:left="1885" w:hanging="750"/>
      </w:pPr>
      <w:rPr>
        <w:rFonts w:cs="Times New Roman" w:hint="default"/>
      </w:rPr>
    </w:lvl>
    <w:lvl w:ilvl="2">
      <w:start w:val="1"/>
      <w:numFmt w:val="decimal"/>
      <w:isLgl/>
      <w:lvlText w:val="%1.%2.%3."/>
      <w:lvlJc w:val="left"/>
      <w:pPr>
        <w:ind w:left="1885" w:hanging="750"/>
      </w:pPr>
      <w:rPr>
        <w:rFonts w:cs="Times New Roman" w:hint="default"/>
      </w:rPr>
    </w:lvl>
    <w:lvl w:ilvl="3">
      <w:start w:val="1"/>
      <w:numFmt w:val="decimal"/>
      <w:isLgl/>
      <w:lvlText w:val="%1.%2.%3.%4."/>
      <w:lvlJc w:val="left"/>
      <w:pPr>
        <w:ind w:left="2215" w:hanging="1080"/>
      </w:pPr>
      <w:rPr>
        <w:rFonts w:cs="Times New Roman" w:hint="default"/>
      </w:rPr>
    </w:lvl>
    <w:lvl w:ilvl="4">
      <w:start w:val="1"/>
      <w:numFmt w:val="decimal"/>
      <w:isLgl/>
      <w:lvlText w:val="%1.%2.%3.%4.%5."/>
      <w:lvlJc w:val="left"/>
      <w:pPr>
        <w:ind w:left="2215" w:hanging="1080"/>
      </w:pPr>
      <w:rPr>
        <w:rFonts w:cs="Times New Roman" w:hint="default"/>
      </w:rPr>
    </w:lvl>
    <w:lvl w:ilvl="5">
      <w:start w:val="1"/>
      <w:numFmt w:val="decimal"/>
      <w:isLgl/>
      <w:lvlText w:val="%1.%2.%3.%4.%5.%6."/>
      <w:lvlJc w:val="left"/>
      <w:pPr>
        <w:ind w:left="2575" w:hanging="1440"/>
      </w:pPr>
      <w:rPr>
        <w:rFonts w:cs="Times New Roman" w:hint="default"/>
      </w:rPr>
    </w:lvl>
    <w:lvl w:ilvl="6">
      <w:start w:val="1"/>
      <w:numFmt w:val="decimal"/>
      <w:isLgl/>
      <w:lvlText w:val="%1.%2.%3.%4.%5.%6.%7."/>
      <w:lvlJc w:val="left"/>
      <w:pPr>
        <w:ind w:left="2935" w:hanging="1800"/>
      </w:pPr>
      <w:rPr>
        <w:rFonts w:cs="Times New Roman" w:hint="default"/>
      </w:rPr>
    </w:lvl>
    <w:lvl w:ilvl="7">
      <w:start w:val="1"/>
      <w:numFmt w:val="decimal"/>
      <w:isLgl/>
      <w:lvlText w:val="%1.%2.%3.%4.%5.%6.%7.%8."/>
      <w:lvlJc w:val="left"/>
      <w:pPr>
        <w:ind w:left="2935" w:hanging="1800"/>
      </w:pPr>
      <w:rPr>
        <w:rFonts w:cs="Times New Roman" w:hint="default"/>
      </w:rPr>
    </w:lvl>
    <w:lvl w:ilvl="8">
      <w:start w:val="1"/>
      <w:numFmt w:val="decimal"/>
      <w:isLgl/>
      <w:lvlText w:val="%1.%2.%3.%4.%5.%6.%7.%8.%9."/>
      <w:lvlJc w:val="left"/>
      <w:pPr>
        <w:ind w:left="3295" w:hanging="2160"/>
      </w:pPr>
      <w:rPr>
        <w:rFonts w:cs="Times New Roman" w:hint="default"/>
      </w:rPr>
    </w:lvl>
  </w:abstractNum>
  <w:abstractNum w:abstractNumId="89" w15:restartNumberingAfterBreak="0">
    <w:nsid w:val="72847EF5"/>
    <w:multiLevelType w:val="multilevel"/>
    <w:tmpl w:val="FFFFFFFF"/>
    <w:styleLink w:val="Listaactual11"/>
    <w:lvl w:ilvl="0">
      <w:start w:val="1"/>
      <w:numFmt w:val="decimal"/>
      <w:lvlText w:val="%1."/>
      <w:lvlJc w:val="left"/>
      <w:pPr>
        <w:ind w:left="320" w:hanging="320"/>
      </w:pPr>
      <w:rPr>
        <w:rFonts w:ascii="Times New Roman" w:hAnsi="Times New Roman" w:cs="Times New Roman" w:hint="default"/>
        <w:b w:val="0"/>
        <w:bCs w:val="0"/>
        <w:i w:val="0"/>
        <w:iCs/>
        <w:color w:val="auto"/>
        <w:sz w:val="28"/>
        <w:szCs w:val="28"/>
        <w:vertAlign w:val="baseline"/>
      </w:rPr>
    </w:lvl>
    <w:lvl w:ilvl="1">
      <w:start w:val="4"/>
      <w:numFmt w:val="none"/>
      <w:isLgl/>
      <w:lvlText w:val="4.1."/>
      <w:lvlJc w:val="left"/>
      <w:pPr>
        <w:ind w:left="1885" w:hanging="750"/>
      </w:pPr>
      <w:rPr>
        <w:rFonts w:cs="Times New Roman" w:hint="default"/>
      </w:rPr>
    </w:lvl>
    <w:lvl w:ilvl="2">
      <w:start w:val="1"/>
      <w:numFmt w:val="decimal"/>
      <w:isLgl/>
      <w:lvlText w:val="4%2.%3."/>
      <w:lvlJc w:val="left"/>
      <w:pPr>
        <w:ind w:left="1885" w:hanging="750"/>
      </w:pPr>
      <w:rPr>
        <w:rFonts w:cs="Times New Roman" w:hint="default"/>
      </w:rPr>
    </w:lvl>
    <w:lvl w:ilvl="3">
      <w:start w:val="1"/>
      <w:numFmt w:val="decimal"/>
      <w:isLgl/>
      <w:lvlText w:val="%1.%2.%3.%4."/>
      <w:lvlJc w:val="left"/>
      <w:pPr>
        <w:ind w:left="2215" w:hanging="1080"/>
      </w:pPr>
      <w:rPr>
        <w:rFonts w:cs="Times New Roman" w:hint="default"/>
      </w:rPr>
    </w:lvl>
    <w:lvl w:ilvl="4">
      <w:start w:val="1"/>
      <w:numFmt w:val="decimal"/>
      <w:isLgl/>
      <w:lvlText w:val="%1.%2.%3.%4.%5."/>
      <w:lvlJc w:val="left"/>
      <w:pPr>
        <w:ind w:left="2215" w:hanging="1080"/>
      </w:pPr>
      <w:rPr>
        <w:rFonts w:cs="Times New Roman" w:hint="default"/>
      </w:rPr>
    </w:lvl>
    <w:lvl w:ilvl="5">
      <w:start w:val="1"/>
      <w:numFmt w:val="decimal"/>
      <w:isLgl/>
      <w:lvlText w:val="%1.%2.%3.%4.%5.%6."/>
      <w:lvlJc w:val="left"/>
      <w:pPr>
        <w:ind w:left="2575" w:hanging="1440"/>
      </w:pPr>
      <w:rPr>
        <w:rFonts w:cs="Times New Roman" w:hint="default"/>
      </w:rPr>
    </w:lvl>
    <w:lvl w:ilvl="6">
      <w:start w:val="1"/>
      <w:numFmt w:val="decimal"/>
      <w:isLgl/>
      <w:lvlText w:val="%1.%2.%3.%4.%5.%6.%7."/>
      <w:lvlJc w:val="left"/>
      <w:pPr>
        <w:ind w:left="2935" w:hanging="1800"/>
      </w:pPr>
      <w:rPr>
        <w:rFonts w:cs="Times New Roman" w:hint="default"/>
      </w:rPr>
    </w:lvl>
    <w:lvl w:ilvl="7">
      <w:start w:val="1"/>
      <w:numFmt w:val="decimal"/>
      <w:isLgl/>
      <w:lvlText w:val="%1.%2.%3.%4.%5.%6.%7.%8."/>
      <w:lvlJc w:val="left"/>
      <w:pPr>
        <w:ind w:left="2935" w:hanging="1800"/>
      </w:pPr>
      <w:rPr>
        <w:rFonts w:cs="Times New Roman" w:hint="default"/>
      </w:rPr>
    </w:lvl>
    <w:lvl w:ilvl="8">
      <w:start w:val="1"/>
      <w:numFmt w:val="decimal"/>
      <w:isLgl/>
      <w:lvlText w:val="%1.%2.%3.%4.%5.%6.%7.%8.%9."/>
      <w:lvlJc w:val="left"/>
      <w:pPr>
        <w:ind w:left="3295" w:hanging="2160"/>
      </w:pPr>
      <w:rPr>
        <w:rFonts w:cs="Times New Roman" w:hint="default"/>
      </w:rPr>
    </w:lvl>
  </w:abstractNum>
  <w:abstractNum w:abstractNumId="90" w15:restartNumberingAfterBreak="0">
    <w:nsid w:val="73A26D01"/>
    <w:multiLevelType w:val="hybridMultilevel"/>
    <w:tmpl w:val="FFFFFFFF"/>
    <w:lvl w:ilvl="0" w:tplc="1F00835C">
      <w:start w:val="1"/>
      <w:numFmt w:val="decimal"/>
      <w:lvlText w:val="%1."/>
      <w:lvlJc w:val="left"/>
      <w:pPr>
        <w:ind w:left="927" w:hanging="360"/>
      </w:pPr>
      <w:rPr>
        <w:rFonts w:cs="Times New Roman" w:hint="default"/>
      </w:rPr>
    </w:lvl>
    <w:lvl w:ilvl="1" w:tplc="0C0A0019" w:tentative="1">
      <w:start w:val="1"/>
      <w:numFmt w:val="lowerLetter"/>
      <w:lvlText w:val="%2."/>
      <w:lvlJc w:val="left"/>
      <w:pPr>
        <w:ind w:left="1647" w:hanging="360"/>
      </w:pPr>
      <w:rPr>
        <w:rFonts w:cs="Times New Roman"/>
      </w:rPr>
    </w:lvl>
    <w:lvl w:ilvl="2" w:tplc="0C0A001B" w:tentative="1">
      <w:start w:val="1"/>
      <w:numFmt w:val="lowerRoman"/>
      <w:lvlText w:val="%3."/>
      <w:lvlJc w:val="right"/>
      <w:pPr>
        <w:ind w:left="2367" w:hanging="180"/>
      </w:pPr>
      <w:rPr>
        <w:rFonts w:cs="Times New Roman"/>
      </w:rPr>
    </w:lvl>
    <w:lvl w:ilvl="3" w:tplc="0C0A000F" w:tentative="1">
      <w:start w:val="1"/>
      <w:numFmt w:val="decimal"/>
      <w:lvlText w:val="%4."/>
      <w:lvlJc w:val="left"/>
      <w:pPr>
        <w:ind w:left="3087" w:hanging="360"/>
      </w:pPr>
      <w:rPr>
        <w:rFonts w:cs="Times New Roman"/>
      </w:rPr>
    </w:lvl>
    <w:lvl w:ilvl="4" w:tplc="0C0A0019" w:tentative="1">
      <w:start w:val="1"/>
      <w:numFmt w:val="lowerLetter"/>
      <w:lvlText w:val="%5."/>
      <w:lvlJc w:val="left"/>
      <w:pPr>
        <w:ind w:left="3807" w:hanging="360"/>
      </w:pPr>
      <w:rPr>
        <w:rFonts w:cs="Times New Roman"/>
      </w:rPr>
    </w:lvl>
    <w:lvl w:ilvl="5" w:tplc="0C0A001B" w:tentative="1">
      <w:start w:val="1"/>
      <w:numFmt w:val="lowerRoman"/>
      <w:lvlText w:val="%6."/>
      <w:lvlJc w:val="right"/>
      <w:pPr>
        <w:ind w:left="4527" w:hanging="180"/>
      </w:pPr>
      <w:rPr>
        <w:rFonts w:cs="Times New Roman"/>
      </w:rPr>
    </w:lvl>
    <w:lvl w:ilvl="6" w:tplc="0C0A000F" w:tentative="1">
      <w:start w:val="1"/>
      <w:numFmt w:val="decimal"/>
      <w:lvlText w:val="%7."/>
      <w:lvlJc w:val="left"/>
      <w:pPr>
        <w:ind w:left="5247" w:hanging="360"/>
      </w:pPr>
      <w:rPr>
        <w:rFonts w:cs="Times New Roman"/>
      </w:rPr>
    </w:lvl>
    <w:lvl w:ilvl="7" w:tplc="0C0A0019" w:tentative="1">
      <w:start w:val="1"/>
      <w:numFmt w:val="lowerLetter"/>
      <w:lvlText w:val="%8."/>
      <w:lvlJc w:val="left"/>
      <w:pPr>
        <w:ind w:left="5967" w:hanging="360"/>
      </w:pPr>
      <w:rPr>
        <w:rFonts w:cs="Times New Roman"/>
      </w:rPr>
    </w:lvl>
    <w:lvl w:ilvl="8" w:tplc="0C0A001B" w:tentative="1">
      <w:start w:val="1"/>
      <w:numFmt w:val="lowerRoman"/>
      <w:lvlText w:val="%9."/>
      <w:lvlJc w:val="right"/>
      <w:pPr>
        <w:ind w:left="6687" w:hanging="180"/>
      </w:pPr>
      <w:rPr>
        <w:rFonts w:cs="Times New Roman"/>
      </w:rPr>
    </w:lvl>
  </w:abstractNum>
  <w:abstractNum w:abstractNumId="91" w15:restartNumberingAfterBreak="0">
    <w:nsid w:val="74646BCD"/>
    <w:multiLevelType w:val="hybridMultilevel"/>
    <w:tmpl w:val="FFFFFFFF"/>
    <w:lvl w:ilvl="0" w:tplc="04090019">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2" w15:restartNumberingAfterBreak="0">
    <w:nsid w:val="7940A1CF"/>
    <w:multiLevelType w:val="hybridMultilevel"/>
    <w:tmpl w:val="FFFFFFFF"/>
    <w:lvl w:ilvl="0" w:tplc="4A2A8B1A">
      <w:start w:val="1"/>
      <w:numFmt w:val="decimal"/>
      <w:lvlText w:val="%1."/>
      <w:lvlJc w:val="left"/>
      <w:pPr>
        <w:ind w:left="720" w:hanging="360"/>
      </w:pPr>
      <w:rPr>
        <w:rFonts w:cs="Times New Roman"/>
      </w:rPr>
    </w:lvl>
    <w:lvl w:ilvl="1" w:tplc="D392232A">
      <w:start w:val="1"/>
      <w:numFmt w:val="lowerLetter"/>
      <w:lvlText w:val="%2."/>
      <w:lvlJc w:val="left"/>
      <w:pPr>
        <w:ind w:left="1440" w:hanging="360"/>
      </w:pPr>
      <w:rPr>
        <w:rFonts w:cs="Times New Roman"/>
      </w:rPr>
    </w:lvl>
    <w:lvl w:ilvl="2" w:tplc="62967FB6">
      <w:start w:val="1"/>
      <w:numFmt w:val="lowerRoman"/>
      <w:lvlText w:val="%3."/>
      <w:lvlJc w:val="right"/>
      <w:pPr>
        <w:ind w:left="2160" w:hanging="180"/>
      </w:pPr>
      <w:rPr>
        <w:rFonts w:cs="Times New Roman"/>
      </w:rPr>
    </w:lvl>
    <w:lvl w:ilvl="3" w:tplc="0BA2B602">
      <w:start w:val="1"/>
      <w:numFmt w:val="decimal"/>
      <w:lvlText w:val="%4."/>
      <w:lvlJc w:val="left"/>
      <w:pPr>
        <w:ind w:left="2880" w:hanging="360"/>
      </w:pPr>
      <w:rPr>
        <w:rFonts w:cs="Times New Roman"/>
      </w:rPr>
    </w:lvl>
    <w:lvl w:ilvl="4" w:tplc="0DC0E7F8">
      <w:start w:val="1"/>
      <w:numFmt w:val="lowerLetter"/>
      <w:lvlText w:val="%5."/>
      <w:lvlJc w:val="left"/>
      <w:pPr>
        <w:ind w:left="3600" w:hanging="360"/>
      </w:pPr>
      <w:rPr>
        <w:rFonts w:cs="Times New Roman"/>
      </w:rPr>
    </w:lvl>
    <w:lvl w:ilvl="5" w:tplc="A25A06C2">
      <w:start w:val="1"/>
      <w:numFmt w:val="lowerRoman"/>
      <w:lvlText w:val="%6."/>
      <w:lvlJc w:val="right"/>
      <w:pPr>
        <w:ind w:left="4320" w:hanging="180"/>
      </w:pPr>
      <w:rPr>
        <w:rFonts w:cs="Times New Roman"/>
      </w:rPr>
    </w:lvl>
    <w:lvl w:ilvl="6" w:tplc="BCD4A882">
      <w:start w:val="1"/>
      <w:numFmt w:val="decimal"/>
      <w:lvlText w:val="%7."/>
      <w:lvlJc w:val="left"/>
      <w:pPr>
        <w:ind w:left="5040" w:hanging="360"/>
      </w:pPr>
      <w:rPr>
        <w:rFonts w:cs="Times New Roman"/>
      </w:rPr>
    </w:lvl>
    <w:lvl w:ilvl="7" w:tplc="37AE9202">
      <w:start w:val="1"/>
      <w:numFmt w:val="lowerLetter"/>
      <w:lvlText w:val="%8."/>
      <w:lvlJc w:val="left"/>
      <w:pPr>
        <w:ind w:left="5760" w:hanging="360"/>
      </w:pPr>
      <w:rPr>
        <w:rFonts w:cs="Times New Roman"/>
      </w:rPr>
    </w:lvl>
    <w:lvl w:ilvl="8" w:tplc="FD6CB290">
      <w:start w:val="1"/>
      <w:numFmt w:val="lowerRoman"/>
      <w:lvlText w:val="%9."/>
      <w:lvlJc w:val="right"/>
      <w:pPr>
        <w:ind w:left="6480" w:hanging="180"/>
      </w:pPr>
      <w:rPr>
        <w:rFonts w:cs="Times New Roman"/>
      </w:rPr>
    </w:lvl>
  </w:abstractNum>
  <w:abstractNum w:abstractNumId="93" w15:restartNumberingAfterBreak="0">
    <w:nsid w:val="7C1E6B97"/>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7C73137C"/>
    <w:multiLevelType w:val="hybridMultilevel"/>
    <w:tmpl w:val="FFFFFFFF"/>
    <w:lvl w:ilvl="0" w:tplc="2876B726">
      <w:start w:val="1"/>
      <w:numFmt w:val="upperRoman"/>
      <w:pStyle w:val="Ttulo1"/>
      <w:lvlText w:val="%1."/>
      <w:lvlJc w:val="right"/>
      <w:pPr>
        <w:ind w:left="720" w:hanging="360"/>
      </w:pPr>
      <w:rPr>
        <w:rFonts w:cs="Times New Roman"/>
      </w:rPr>
    </w:lvl>
    <w:lvl w:ilvl="1" w:tplc="240A0019" w:tentative="1">
      <w:start w:val="1"/>
      <w:numFmt w:val="lowerLetter"/>
      <w:lvlText w:val="%2."/>
      <w:lvlJc w:val="left"/>
      <w:pPr>
        <w:ind w:left="1440" w:hanging="360"/>
      </w:pPr>
      <w:rPr>
        <w:rFonts w:cs="Times New Roman"/>
      </w:rPr>
    </w:lvl>
    <w:lvl w:ilvl="2" w:tplc="240A001B" w:tentative="1">
      <w:start w:val="1"/>
      <w:numFmt w:val="lowerRoman"/>
      <w:lvlText w:val="%3."/>
      <w:lvlJc w:val="right"/>
      <w:pPr>
        <w:ind w:left="2160" w:hanging="180"/>
      </w:pPr>
      <w:rPr>
        <w:rFonts w:cs="Times New Roman"/>
      </w:rPr>
    </w:lvl>
    <w:lvl w:ilvl="3" w:tplc="240A000F" w:tentative="1">
      <w:start w:val="1"/>
      <w:numFmt w:val="decimal"/>
      <w:lvlText w:val="%4."/>
      <w:lvlJc w:val="left"/>
      <w:pPr>
        <w:ind w:left="2880" w:hanging="360"/>
      </w:pPr>
      <w:rPr>
        <w:rFonts w:cs="Times New Roman"/>
      </w:rPr>
    </w:lvl>
    <w:lvl w:ilvl="4" w:tplc="240A0019" w:tentative="1">
      <w:start w:val="1"/>
      <w:numFmt w:val="lowerLetter"/>
      <w:lvlText w:val="%5."/>
      <w:lvlJc w:val="left"/>
      <w:pPr>
        <w:ind w:left="3600" w:hanging="360"/>
      </w:pPr>
      <w:rPr>
        <w:rFonts w:cs="Times New Roman"/>
      </w:rPr>
    </w:lvl>
    <w:lvl w:ilvl="5" w:tplc="240A001B" w:tentative="1">
      <w:start w:val="1"/>
      <w:numFmt w:val="lowerRoman"/>
      <w:lvlText w:val="%6."/>
      <w:lvlJc w:val="right"/>
      <w:pPr>
        <w:ind w:left="4320" w:hanging="180"/>
      </w:pPr>
      <w:rPr>
        <w:rFonts w:cs="Times New Roman"/>
      </w:rPr>
    </w:lvl>
    <w:lvl w:ilvl="6" w:tplc="240A000F" w:tentative="1">
      <w:start w:val="1"/>
      <w:numFmt w:val="decimal"/>
      <w:lvlText w:val="%7."/>
      <w:lvlJc w:val="left"/>
      <w:pPr>
        <w:ind w:left="5040" w:hanging="360"/>
      </w:pPr>
      <w:rPr>
        <w:rFonts w:cs="Times New Roman"/>
      </w:rPr>
    </w:lvl>
    <w:lvl w:ilvl="7" w:tplc="240A0019" w:tentative="1">
      <w:start w:val="1"/>
      <w:numFmt w:val="lowerLetter"/>
      <w:lvlText w:val="%8."/>
      <w:lvlJc w:val="left"/>
      <w:pPr>
        <w:ind w:left="5760" w:hanging="360"/>
      </w:pPr>
      <w:rPr>
        <w:rFonts w:cs="Times New Roman"/>
      </w:rPr>
    </w:lvl>
    <w:lvl w:ilvl="8" w:tplc="240A001B" w:tentative="1">
      <w:start w:val="1"/>
      <w:numFmt w:val="lowerRoman"/>
      <w:lvlText w:val="%9."/>
      <w:lvlJc w:val="right"/>
      <w:pPr>
        <w:ind w:left="6480" w:hanging="180"/>
      </w:pPr>
      <w:rPr>
        <w:rFonts w:cs="Times New Roman"/>
      </w:rPr>
    </w:lvl>
  </w:abstractNum>
  <w:abstractNum w:abstractNumId="95" w15:restartNumberingAfterBreak="0">
    <w:nsid w:val="7EFD06A6"/>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87466979">
    <w:abstractNumId w:val="86"/>
  </w:num>
  <w:num w:numId="2" w16cid:durableId="103961030">
    <w:abstractNumId w:val="46"/>
  </w:num>
  <w:num w:numId="3" w16cid:durableId="152209120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041201268">
    <w:abstractNumId w:val="94"/>
  </w:num>
  <w:num w:numId="5" w16cid:durableId="585381744">
    <w:abstractNumId w:val="69"/>
  </w:num>
  <w:num w:numId="6" w16cid:durableId="306402181">
    <w:abstractNumId w:val="75"/>
  </w:num>
  <w:num w:numId="7" w16cid:durableId="1686056279">
    <w:abstractNumId w:val="12"/>
  </w:num>
  <w:num w:numId="8" w16cid:durableId="455561985">
    <w:abstractNumId w:val="11"/>
  </w:num>
  <w:num w:numId="9" w16cid:durableId="644892820">
    <w:abstractNumId w:val="36"/>
  </w:num>
  <w:num w:numId="10" w16cid:durableId="216089871">
    <w:abstractNumId w:val="60"/>
  </w:num>
  <w:num w:numId="11" w16cid:durableId="499463719">
    <w:abstractNumId w:val="78"/>
  </w:num>
  <w:num w:numId="12" w16cid:durableId="1070814015">
    <w:abstractNumId w:val="52"/>
  </w:num>
  <w:num w:numId="13" w16cid:durableId="1535921830">
    <w:abstractNumId w:val="35"/>
  </w:num>
  <w:num w:numId="14" w16cid:durableId="1871795106">
    <w:abstractNumId w:val="73"/>
  </w:num>
  <w:num w:numId="15" w16cid:durableId="847334181">
    <w:abstractNumId w:val="83"/>
  </w:num>
  <w:num w:numId="16" w16cid:durableId="551310206">
    <w:abstractNumId w:val="28"/>
  </w:num>
  <w:num w:numId="17" w16cid:durableId="1387991054">
    <w:abstractNumId w:val="48"/>
  </w:num>
  <w:num w:numId="18" w16cid:durableId="515506450">
    <w:abstractNumId w:val="6"/>
  </w:num>
  <w:num w:numId="19" w16cid:durableId="1070269515">
    <w:abstractNumId w:val="47"/>
  </w:num>
  <w:num w:numId="20" w16cid:durableId="1742175279">
    <w:abstractNumId w:val="88"/>
  </w:num>
  <w:num w:numId="21" w16cid:durableId="1776712613">
    <w:abstractNumId w:val="72"/>
  </w:num>
  <w:num w:numId="22" w16cid:durableId="817068416">
    <w:abstractNumId w:val="40"/>
  </w:num>
  <w:num w:numId="23" w16cid:durableId="2007128228">
    <w:abstractNumId w:val="62"/>
  </w:num>
  <w:num w:numId="24" w16cid:durableId="1665552935">
    <w:abstractNumId w:val="89"/>
  </w:num>
  <w:num w:numId="25" w16cid:durableId="2015450848">
    <w:abstractNumId w:val="50"/>
  </w:num>
  <w:num w:numId="26" w16cid:durableId="529563582">
    <w:abstractNumId w:val="0"/>
  </w:num>
  <w:num w:numId="27" w16cid:durableId="2080126957">
    <w:abstractNumId w:val="79"/>
  </w:num>
  <w:num w:numId="28" w16cid:durableId="873276446">
    <w:abstractNumId w:val="32"/>
  </w:num>
  <w:num w:numId="29" w16cid:durableId="1107386407">
    <w:abstractNumId w:val="5"/>
  </w:num>
  <w:num w:numId="30" w16cid:durableId="342704346">
    <w:abstractNumId w:val="34"/>
  </w:num>
  <w:num w:numId="31" w16cid:durableId="602880903">
    <w:abstractNumId w:val="84"/>
  </w:num>
  <w:num w:numId="32" w16cid:durableId="2085372955">
    <w:abstractNumId w:val="59"/>
  </w:num>
  <w:num w:numId="33" w16cid:durableId="350256999">
    <w:abstractNumId w:val="77"/>
  </w:num>
  <w:num w:numId="34" w16cid:durableId="1700159374">
    <w:abstractNumId w:val="13"/>
  </w:num>
  <w:num w:numId="35" w16cid:durableId="205604364">
    <w:abstractNumId w:val="51"/>
  </w:num>
  <w:num w:numId="36" w16cid:durableId="261107337">
    <w:abstractNumId w:val="51"/>
  </w:num>
  <w:num w:numId="37" w16cid:durableId="2003585468">
    <w:abstractNumId w:val="93"/>
  </w:num>
  <w:num w:numId="38" w16cid:durableId="73557015">
    <w:abstractNumId w:val="7"/>
  </w:num>
  <w:num w:numId="39" w16cid:durableId="468518833">
    <w:abstractNumId w:val="65"/>
  </w:num>
  <w:num w:numId="40" w16cid:durableId="794175274">
    <w:abstractNumId w:val="23"/>
  </w:num>
  <w:num w:numId="41" w16cid:durableId="591821049">
    <w:abstractNumId w:val="85"/>
  </w:num>
  <w:num w:numId="42" w16cid:durableId="794759326">
    <w:abstractNumId w:val="87"/>
  </w:num>
  <w:num w:numId="43" w16cid:durableId="860363906">
    <w:abstractNumId w:val="4"/>
  </w:num>
  <w:num w:numId="44" w16cid:durableId="1564222398">
    <w:abstractNumId w:val="75"/>
  </w:num>
  <w:num w:numId="45" w16cid:durableId="1535921521">
    <w:abstractNumId w:val="75"/>
  </w:num>
  <w:num w:numId="46" w16cid:durableId="626086360">
    <w:abstractNumId w:val="57"/>
  </w:num>
  <w:num w:numId="47" w16cid:durableId="504781000">
    <w:abstractNumId w:val="64"/>
  </w:num>
  <w:num w:numId="48" w16cid:durableId="792554259">
    <w:abstractNumId w:val="56"/>
  </w:num>
  <w:num w:numId="49" w16cid:durableId="348412104">
    <w:abstractNumId w:val="8"/>
  </w:num>
  <w:num w:numId="50" w16cid:durableId="1146126131">
    <w:abstractNumId w:val="49"/>
  </w:num>
  <w:num w:numId="51" w16cid:durableId="176504450">
    <w:abstractNumId w:val="2"/>
  </w:num>
  <w:num w:numId="52" w16cid:durableId="1326782495">
    <w:abstractNumId w:val="21"/>
  </w:num>
  <w:num w:numId="53" w16cid:durableId="66156308">
    <w:abstractNumId w:val="29"/>
  </w:num>
  <w:num w:numId="54" w16cid:durableId="521823596">
    <w:abstractNumId w:val="92"/>
  </w:num>
  <w:num w:numId="55" w16cid:durableId="491412004">
    <w:abstractNumId w:val="24"/>
  </w:num>
  <w:num w:numId="56" w16cid:durableId="1513185689">
    <w:abstractNumId w:val="39"/>
  </w:num>
  <w:num w:numId="57" w16cid:durableId="2099253111">
    <w:abstractNumId w:val="37"/>
  </w:num>
  <w:num w:numId="58" w16cid:durableId="1909151042">
    <w:abstractNumId w:val="27"/>
  </w:num>
  <w:num w:numId="59" w16cid:durableId="329213587">
    <w:abstractNumId w:val="74"/>
  </w:num>
  <w:num w:numId="60" w16cid:durableId="1721899096">
    <w:abstractNumId w:val="81"/>
  </w:num>
  <w:num w:numId="61" w16cid:durableId="364908990">
    <w:abstractNumId w:val="10"/>
  </w:num>
  <w:num w:numId="62" w16cid:durableId="1573154752">
    <w:abstractNumId w:val="19"/>
  </w:num>
  <w:num w:numId="63" w16cid:durableId="1464469883">
    <w:abstractNumId w:val="17"/>
  </w:num>
  <w:num w:numId="64" w16cid:durableId="1785270384">
    <w:abstractNumId w:val="55"/>
  </w:num>
  <w:num w:numId="65" w16cid:durableId="1560170529">
    <w:abstractNumId w:val="90"/>
  </w:num>
  <w:num w:numId="66" w16cid:durableId="1256590491">
    <w:abstractNumId w:val="45"/>
  </w:num>
  <w:num w:numId="67" w16cid:durableId="1132550986">
    <w:abstractNumId w:val="82"/>
  </w:num>
  <w:num w:numId="68" w16cid:durableId="1940677515">
    <w:abstractNumId w:val="43"/>
  </w:num>
  <w:num w:numId="69" w16cid:durableId="621808481">
    <w:abstractNumId w:val="91"/>
  </w:num>
  <w:num w:numId="70" w16cid:durableId="1162115537">
    <w:abstractNumId w:val="26"/>
  </w:num>
  <w:num w:numId="71" w16cid:durableId="524639834">
    <w:abstractNumId w:val="22"/>
  </w:num>
  <w:num w:numId="72" w16cid:durableId="1624968428">
    <w:abstractNumId w:val="66"/>
  </w:num>
  <w:num w:numId="73" w16cid:durableId="1646663125">
    <w:abstractNumId w:val="44"/>
  </w:num>
  <w:num w:numId="74" w16cid:durableId="979649497">
    <w:abstractNumId w:val="3"/>
  </w:num>
  <w:num w:numId="75" w16cid:durableId="371998432">
    <w:abstractNumId w:val="61"/>
  </w:num>
  <w:num w:numId="76" w16cid:durableId="1420444622">
    <w:abstractNumId w:val="31"/>
  </w:num>
  <w:num w:numId="77" w16cid:durableId="2132090206">
    <w:abstractNumId w:val="33"/>
  </w:num>
  <w:num w:numId="78" w16cid:durableId="1633975964">
    <w:abstractNumId w:val="16"/>
  </w:num>
  <w:num w:numId="79" w16cid:durableId="1779518766">
    <w:abstractNumId w:val="9"/>
  </w:num>
  <w:num w:numId="80" w16cid:durableId="468012369">
    <w:abstractNumId w:val="1"/>
  </w:num>
  <w:num w:numId="81" w16cid:durableId="1781951069">
    <w:abstractNumId w:val="30"/>
  </w:num>
  <w:num w:numId="82" w16cid:durableId="759060090">
    <w:abstractNumId w:val="38"/>
  </w:num>
  <w:num w:numId="83" w16cid:durableId="1399859024">
    <w:abstractNumId w:val="70"/>
  </w:num>
  <w:num w:numId="84" w16cid:durableId="1525096489">
    <w:abstractNumId w:val="80"/>
  </w:num>
  <w:num w:numId="85" w16cid:durableId="127163275">
    <w:abstractNumId w:val="63"/>
  </w:num>
  <w:num w:numId="86" w16cid:durableId="742526885">
    <w:abstractNumId w:val="95"/>
  </w:num>
  <w:num w:numId="87" w16cid:durableId="1666666147">
    <w:abstractNumId w:val="68"/>
  </w:num>
  <w:num w:numId="88" w16cid:durableId="78213779">
    <w:abstractNumId w:val="20"/>
  </w:num>
  <w:num w:numId="89" w16cid:durableId="983854270">
    <w:abstractNumId w:val="54"/>
  </w:num>
  <w:num w:numId="90" w16cid:durableId="54744351">
    <w:abstractNumId w:val="25"/>
  </w:num>
  <w:num w:numId="91" w16cid:durableId="998533945">
    <w:abstractNumId w:val="41"/>
  </w:num>
  <w:num w:numId="92" w16cid:durableId="1184369103">
    <w:abstractNumId w:val="67"/>
  </w:num>
  <w:num w:numId="93" w16cid:durableId="1762600710">
    <w:abstractNumId w:val="18"/>
    <w:lvlOverride w:ilvl="0">
      <w:startOverride w:val="82"/>
    </w:lvlOverride>
  </w:num>
  <w:num w:numId="94" w16cid:durableId="1459031909">
    <w:abstractNumId w:val="71"/>
  </w:num>
  <w:num w:numId="95" w16cid:durableId="1346638915">
    <w:abstractNumId w:val="53"/>
    <w:lvlOverride w:ilvl="0">
      <w:startOverride w:val="61"/>
    </w:lvlOverride>
  </w:num>
  <w:num w:numId="96" w16cid:durableId="208419568">
    <w:abstractNumId w:val="42"/>
  </w:num>
  <w:num w:numId="97" w16cid:durableId="1465543515">
    <w:abstractNumId w:val="15"/>
  </w:num>
  <w:num w:numId="98" w16cid:durableId="1480804023">
    <w:abstractNumId w:val="58"/>
  </w:num>
  <w:num w:numId="99" w16cid:durableId="391660598">
    <w:abstractNumId w:val="76"/>
  </w:num>
  <w:num w:numId="100" w16cid:durableId="2293783">
    <w:abstractNumId w:val="14"/>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removePersonalInformation/>
  <w:removeDateAndTime/>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4A8D"/>
    <w:rsid w:val="0000022C"/>
    <w:rsid w:val="000004F4"/>
    <w:rsid w:val="00000661"/>
    <w:rsid w:val="00000B82"/>
    <w:rsid w:val="0000167D"/>
    <w:rsid w:val="000018DB"/>
    <w:rsid w:val="00001EFD"/>
    <w:rsid w:val="00001FFE"/>
    <w:rsid w:val="000020E9"/>
    <w:rsid w:val="000021D4"/>
    <w:rsid w:val="00002250"/>
    <w:rsid w:val="000025F2"/>
    <w:rsid w:val="000026E6"/>
    <w:rsid w:val="000033E3"/>
    <w:rsid w:val="000035C4"/>
    <w:rsid w:val="000038C1"/>
    <w:rsid w:val="000038E0"/>
    <w:rsid w:val="00003CD8"/>
    <w:rsid w:val="00003F6A"/>
    <w:rsid w:val="00004487"/>
    <w:rsid w:val="000047F1"/>
    <w:rsid w:val="00004878"/>
    <w:rsid w:val="00004A4B"/>
    <w:rsid w:val="000053BC"/>
    <w:rsid w:val="000053C9"/>
    <w:rsid w:val="00006137"/>
    <w:rsid w:val="00006840"/>
    <w:rsid w:val="0000731D"/>
    <w:rsid w:val="00007AFF"/>
    <w:rsid w:val="00007B75"/>
    <w:rsid w:val="00007D55"/>
    <w:rsid w:val="00007D88"/>
    <w:rsid w:val="00010105"/>
    <w:rsid w:val="00010B79"/>
    <w:rsid w:val="00010EBF"/>
    <w:rsid w:val="00010FCD"/>
    <w:rsid w:val="00011383"/>
    <w:rsid w:val="00011B3E"/>
    <w:rsid w:val="0001209E"/>
    <w:rsid w:val="000127FE"/>
    <w:rsid w:val="00012AE9"/>
    <w:rsid w:val="00012CBC"/>
    <w:rsid w:val="00013062"/>
    <w:rsid w:val="00013BD6"/>
    <w:rsid w:val="00013C98"/>
    <w:rsid w:val="0001463D"/>
    <w:rsid w:val="00014683"/>
    <w:rsid w:val="000150A9"/>
    <w:rsid w:val="0001515F"/>
    <w:rsid w:val="00015871"/>
    <w:rsid w:val="00015960"/>
    <w:rsid w:val="00015A55"/>
    <w:rsid w:val="00016279"/>
    <w:rsid w:val="000164D5"/>
    <w:rsid w:val="0001665B"/>
    <w:rsid w:val="00016BC1"/>
    <w:rsid w:val="00016E55"/>
    <w:rsid w:val="00017080"/>
    <w:rsid w:val="00017205"/>
    <w:rsid w:val="00017709"/>
    <w:rsid w:val="00017974"/>
    <w:rsid w:val="00017E91"/>
    <w:rsid w:val="0002059F"/>
    <w:rsid w:val="00020BF5"/>
    <w:rsid w:val="000214AB"/>
    <w:rsid w:val="00021709"/>
    <w:rsid w:val="0002199F"/>
    <w:rsid w:val="00021B82"/>
    <w:rsid w:val="00021BFF"/>
    <w:rsid w:val="0002209B"/>
    <w:rsid w:val="0002225E"/>
    <w:rsid w:val="000223B7"/>
    <w:rsid w:val="0002240F"/>
    <w:rsid w:val="00022A8E"/>
    <w:rsid w:val="000233EF"/>
    <w:rsid w:val="000242FA"/>
    <w:rsid w:val="00024635"/>
    <w:rsid w:val="0002482A"/>
    <w:rsid w:val="00024846"/>
    <w:rsid w:val="00024972"/>
    <w:rsid w:val="00024B2B"/>
    <w:rsid w:val="00024F02"/>
    <w:rsid w:val="000253F9"/>
    <w:rsid w:val="00025515"/>
    <w:rsid w:val="000255B1"/>
    <w:rsid w:val="00025D9D"/>
    <w:rsid w:val="00025DA7"/>
    <w:rsid w:val="00025F12"/>
    <w:rsid w:val="000260DB"/>
    <w:rsid w:val="0002610C"/>
    <w:rsid w:val="000264B1"/>
    <w:rsid w:val="0002743E"/>
    <w:rsid w:val="000275AC"/>
    <w:rsid w:val="00027608"/>
    <w:rsid w:val="00027691"/>
    <w:rsid w:val="000277F5"/>
    <w:rsid w:val="00027C42"/>
    <w:rsid w:val="00027C55"/>
    <w:rsid w:val="0003179A"/>
    <w:rsid w:val="0003281F"/>
    <w:rsid w:val="00032945"/>
    <w:rsid w:val="00033261"/>
    <w:rsid w:val="000332B7"/>
    <w:rsid w:val="0003352C"/>
    <w:rsid w:val="00033AFD"/>
    <w:rsid w:val="00033BCA"/>
    <w:rsid w:val="000342A1"/>
    <w:rsid w:val="000351A9"/>
    <w:rsid w:val="0003599F"/>
    <w:rsid w:val="00035A01"/>
    <w:rsid w:val="00035BE8"/>
    <w:rsid w:val="00035DCA"/>
    <w:rsid w:val="000366FC"/>
    <w:rsid w:val="000369F0"/>
    <w:rsid w:val="00036E30"/>
    <w:rsid w:val="0003733F"/>
    <w:rsid w:val="000373B5"/>
    <w:rsid w:val="00037ABB"/>
    <w:rsid w:val="0003865E"/>
    <w:rsid w:val="00040AAE"/>
    <w:rsid w:val="00040E2F"/>
    <w:rsid w:val="000415D6"/>
    <w:rsid w:val="000415EC"/>
    <w:rsid w:val="000415FF"/>
    <w:rsid w:val="00041688"/>
    <w:rsid w:val="000416D0"/>
    <w:rsid w:val="0004195A"/>
    <w:rsid w:val="00042EAB"/>
    <w:rsid w:val="0004387F"/>
    <w:rsid w:val="00043AD5"/>
    <w:rsid w:val="00043B47"/>
    <w:rsid w:val="00043CBE"/>
    <w:rsid w:val="00043E84"/>
    <w:rsid w:val="0004422C"/>
    <w:rsid w:val="000448B0"/>
    <w:rsid w:val="00045063"/>
    <w:rsid w:val="0004539B"/>
    <w:rsid w:val="00045837"/>
    <w:rsid w:val="00045B51"/>
    <w:rsid w:val="00045C7D"/>
    <w:rsid w:val="00045CF5"/>
    <w:rsid w:val="000463D1"/>
    <w:rsid w:val="0004688C"/>
    <w:rsid w:val="000473DC"/>
    <w:rsid w:val="00047596"/>
    <w:rsid w:val="0004764C"/>
    <w:rsid w:val="000477A8"/>
    <w:rsid w:val="00047962"/>
    <w:rsid w:val="00047C30"/>
    <w:rsid w:val="0005032E"/>
    <w:rsid w:val="00050D25"/>
    <w:rsid w:val="00050EFA"/>
    <w:rsid w:val="00051299"/>
    <w:rsid w:val="00051666"/>
    <w:rsid w:val="00051BCD"/>
    <w:rsid w:val="00051DBE"/>
    <w:rsid w:val="00052CA3"/>
    <w:rsid w:val="0005331F"/>
    <w:rsid w:val="0005359F"/>
    <w:rsid w:val="00053DD0"/>
    <w:rsid w:val="00054175"/>
    <w:rsid w:val="00054332"/>
    <w:rsid w:val="0005456C"/>
    <w:rsid w:val="00054B28"/>
    <w:rsid w:val="00054D6E"/>
    <w:rsid w:val="00054FA5"/>
    <w:rsid w:val="0005502B"/>
    <w:rsid w:val="00055303"/>
    <w:rsid w:val="00055AA3"/>
    <w:rsid w:val="00055DC9"/>
    <w:rsid w:val="00056509"/>
    <w:rsid w:val="000569A7"/>
    <w:rsid w:val="00056A31"/>
    <w:rsid w:val="000571D3"/>
    <w:rsid w:val="0005724D"/>
    <w:rsid w:val="000572BD"/>
    <w:rsid w:val="000576E2"/>
    <w:rsid w:val="00057A2C"/>
    <w:rsid w:val="00057A87"/>
    <w:rsid w:val="00057CDF"/>
    <w:rsid w:val="0006051C"/>
    <w:rsid w:val="00060671"/>
    <w:rsid w:val="000609B6"/>
    <w:rsid w:val="00060B21"/>
    <w:rsid w:val="000614AC"/>
    <w:rsid w:val="00061566"/>
    <w:rsid w:val="000629C8"/>
    <w:rsid w:val="00062AA1"/>
    <w:rsid w:val="00062CE9"/>
    <w:rsid w:val="000636B8"/>
    <w:rsid w:val="00064769"/>
    <w:rsid w:val="000648E2"/>
    <w:rsid w:val="00064DD0"/>
    <w:rsid w:val="00064EBA"/>
    <w:rsid w:val="00064F14"/>
    <w:rsid w:val="00065045"/>
    <w:rsid w:val="00065333"/>
    <w:rsid w:val="000659E3"/>
    <w:rsid w:val="00065A01"/>
    <w:rsid w:val="00065F50"/>
    <w:rsid w:val="000677C2"/>
    <w:rsid w:val="00067947"/>
    <w:rsid w:val="0007089F"/>
    <w:rsid w:val="000710FB"/>
    <w:rsid w:val="00071762"/>
    <w:rsid w:val="000719F7"/>
    <w:rsid w:val="00071F05"/>
    <w:rsid w:val="000720D1"/>
    <w:rsid w:val="0007215E"/>
    <w:rsid w:val="00072903"/>
    <w:rsid w:val="00072AD8"/>
    <w:rsid w:val="00072DD5"/>
    <w:rsid w:val="00072E9D"/>
    <w:rsid w:val="00073866"/>
    <w:rsid w:val="00073A62"/>
    <w:rsid w:val="00073CAE"/>
    <w:rsid w:val="0007428F"/>
    <w:rsid w:val="00075143"/>
    <w:rsid w:val="0007572D"/>
    <w:rsid w:val="00075EB5"/>
    <w:rsid w:val="00075FBF"/>
    <w:rsid w:val="0007622A"/>
    <w:rsid w:val="00076364"/>
    <w:rsid w:val="00076B08"/>
    <w:rsid w:val="00076B09"/>
    <w:rsid w:val="00076B17"/>
    <w:rsid w:val="00076C7F"/>
    <w:rsid w:val="00077494"/>
    <w:rsid w:val="00077CEC"/>
    <w:rsid w:val="00077E98"/>
    <w:rsid w:val="00077FB0"/>
    <w:rsid w:val="0008023C"/>
    <w:rsid w:val="0008053D"/>
    <w:rsid w:val="0008066F"/>
    <w:rsid w:val="0008090C"/>
    <w:rsid w:val="00081201"/>
    <w:rsid w:val="000813E7"/>
    <w:rsid w:val="000813FC"/>
    <w:rsid w:val="0008145F"/>
    <w:rsid w:val="00081C44"/>
    <w:rsid w:val="00082538"/>
    <w:rsid w:val="000827BE"/>
    <w:rsid w:val="00082B91"/>
    <w:rsid w:val="00082D90"/>
    <w:rsid w:val="00083160"/>
    <w:rsid w:val="000834F3"/>
    <w:rsid w:val="000835C0"/>
    <w:rsid w:val="00083979"/>
    <w:rsid w:val="000845AC"/>
    <w:rsid w:val="00084FC8"/>
    <w:rsid w:val="000857E7"/>
    <w:rsid w:val="00085A97"/>
    <w:rsid w:val="00085DA8"/>
    <w:rsid w:val="0008669E"/>
    <w:rsid w:val="000867F2"/>
    <w:rsid w:val="00086EBC"/>
    <w:rsid w:val="0008737D"/>
    <w:rsid w:val="00087FE5"/>
    <w:rsid w:val="000902A3"/>
    <w:rsid w:val="00090499"/>
    <w:rsid w:val="000912AE"/>
    <w:rsid w:val="00091382"/>
    <w:rsid w:val="0009139A"/>
    <w:rsid w:val="00091592"/>
    <w:rsid w:val="00091615"/>
    <w:rsid w:val="000917F9"/>
    <w:rsid w:val="00091B18"/>
    <w:rsid w:val="00091C9A"/>
    <w:rsid w:val="00092832"/>
    <w:rsid w:val="00092879"/>
    <w:rsid w:val="00093333"/>
    <w:rsid w:val="0009374D"/>
    <w:rsid w:val="000937EE"/>
    <w:rsid w:val="00093B0D"/>
    <w:rsid w:val="00093DE2"/>
    <w:rsid w:val="00094218"/>
    <w:rsid w:val="00094739"/>
    <w:rsid w:val="0009490F"/>
    <w:rsid w:val="00094C79"/>
    <w:rsid w:val="00094E17"/>
    <w:rsid w:val="00094EA6"/>
    <w:rsid w:val="000951FA"/>
    <w:rsid w:val="00095D39"/>
    <w:rsid w:val="0009608D"/>
    <w:rsid w:val="000A0369"/>
    <w:rsid w:val="000A07AD"/>
    <w:rsid w:val="000A0987"/>
    <w:rsid w:val="000A0C16"/>
    <w:rsid w:val="000A1087"/>
    <w:rsid w:val="000A2619"/>
    <w:rsid w:val="000A3ADC"/>
    <w:rsid w:val="000A3F8C"/>
    <w:rsid w:val="000A3FFA"/>
    <w:rsid w:val="000A4B89"/>
    <w:rsid w:val="000A4EDC"/>
    <w:rsid w:val="000A4EE7"/>
    <w:rsid w:val="000A5A0E"/>
    <w:rsid w:val="000A5AC1"/>
    <w:rsid w:val="000A5D24"/>
    <w:rsid w:val="000A62EF"/>
    <w:rsid w:val="000A64EB"/>
    <w:rsid w:val="000A6EF4"/>
    <w:rsid w:val="000A7497"/>
    <w:rsid w:val="000A75AD"/>
    <w:rsid w:val="000A7842"/>
    <w:rsid w:val="000A7B5F"/>
    <w:rsid w:val="000A7F93"/>
    <w:rsid w:val="000B1915"/>
    <w:rsid w:val="000B1F15"/>
    <w:rsid w:val="000B29D9"/>
    <w:rsid w:val="000B2BB9"/>
    <w:rsid w:val="000B2FCD"/>
    <w:rsid w:val="000B36F3"/>
    <w:rsid w:val="000B39AF"/>
    <w:rsid w:val="000B3AF0"/>
    <w:rsid w:val="000B3AF6"/>
    <w:rsid w:val="000B3C8F"/>
    <w:rsid w:val="000B3E43"/>
    <w:rsid w:val="000B45F4"/>
    <w:rsid w:val="000B4892"/>
    <w:rsid w:val="000B5294"/>
    <w:rsid w:val="000B5348"/>
    <w:rsid w:val="000B5407"/>
    <w:rsid w:val="000B6492"/>
    <w:rsid w:val="000B689E"/>
    <w:rsid w:val="000B68C8"/>
    <w:rsid w:val="000B6C0D"/>
    <w:rsid w:val="000B7B2A"/>
    <w:rsid w:val="000C0192"/>
    <w:rsid w:val="000C020A"/>
    <w:rsid w:val="000C0793"/>
    <w:rsid w:val="000C09B2"/>
    <w:rsid w:val="000C1143"/>
    <w:rsid w:val="000C1595"/>
    <w:rsid w:val="000C1DCA"/>
    <w:rsid w:val="000C1F62"/>
    <w:rsid w:val="000C2074"/>
    <w:rsid w:val="000C2314"/>
    <w:rsid w:val="000C29A6"/>
    <w:rsid w:val="000C2AB1"/>
    <w:rsid w:val="000C328B"/>
    <w:rsid w:val="000C3370"/>
    <w:rsid w:val="000C3A02"/>
    <w:rsid w:val="000C3B9E"/>
    <w:rsid w:val="000C3CAE"/>
    <w:rsid w:val="000C42A2"/>
    <w:rsid w:val="000C45FA"/>
    <w:rsid w:val="000C55D2"/>
    <w:rsid w:val="000C575F"/>
    <w:rsid w:val="000C5D6E"/>
    <w:rsid w:val="000C5FBA"/>
    <w:rsid w:val="000C644F"/>
    <w:rsid w:val="000C69DA"/>
    <w:rsid w:val="000C6B5A"/>
    <w:rsid w:val="000D01C8"/>
    <w:rsid w:val="000D04FA"/>
    <w:rsid w:val="000D07DE"/>
    <w:rsid w:val="000D0C9D"/>
    <w:rsid w:val="000D18E7"/>
    <w:rsid w:val="000D1980"/>
    <w:rsid w:val="000D1EBC"/>
    <w:rsid w:val="000D203C"/>
    <w:rsid w:val="000D2551"/>
    <w:rsid w:val="000D299F"/>
    <w:rsid w:val="000D3412"/>
    <w:rsid w:val="000D407A"/>
    <w:rsid w:val="000D4390"/>
    <w:rsid w:val="000D53DD"/>
    <w:rsid w:val="000D645F"/>
    <w:rsid w:val="000D64BD"/>
    <w:rsid w:val="000D66B1"/>
    <w:rsid w:val="000D6B27"/>
    <w:rsid w:val="000D6D50"/>
    <w:rsid w:val="000D7216"/>
    <w:rsid w:val="000D7BEA"/>
    <w:rsid w:val="000D7FA9"/>
    <w:rsid w:val="000E0929"/>
    <w:rsid w:val="000E0EAB"/>
    <w:rsid w:val="000E11F6"/>
    <w:rsid w:val="000E14DD"/>
    <w:rsid w:val="000E1809"/>
    <w:rsid w:val="000E1DB1"/>
    <w:rsid w:val="000E1E7D"/>
    <w:rsid w:val="000E1ECC"/>
    <w:rsid w:val="000E1F51"/>
    <w:rsid w:val="000E2067"/>
    <w:rsid w:val="000E2178"/>
    <w:rsid w:val="000E2685"/>
    <w:rsid w:val="000E29CD"/>
    <w:rsid w:val="000E2F41"/>
    <w:rsid w:val="000E306A"/>
    <w:rsid w:val="000E36FB"/>
    <w:rsid w:val="000E3E23"/>
    <w:rsid w:val="000E3EB4"/>
    <w:rsid w:val="000E3F7E"/>
    <w:rsid w:val="000E420C"/>
    <w:rsid w:val="000E48F8"/>
    <w:rsid w:val="000E4DEF"/>
    <w:rsid w:val="000E592B"/>
    <w:rsid w:val="000E622B"/>
    <w:rsid w:val="000E6351"/>
    <w:rsid w:val="000E65DD"/>
    <w:rsid w:val="000E6B9B"/>
    <w:rsid w:val="000E7260"/>
    <w:rsid w:val="000E762E"/>
    <w:rsid w:val="000E763B"/>
    <w:rsid w:val="000E7B92"/>
    <w:rsid w:val="000F07F8"/>
    <w:rsid w:val="000F1000"/>
    <w:rsid w:val="000F29A7"/>
    <w:rsid w:val="000F2D7C"/>
    <w:rsid w:val="000F30BD"/>
    <w:rsid w:val="000F375B"/>
    <w:rsid w:val="000F3A11"/>
    <w:rsid w:val="000F4124"/>
    <w:rsid w:val="000F44C1"/>
    <w:rsid w:val="000F46EB"/>
    <w:rsid w:val="000F4847"/>
    <w:rsid w:val="000F4E0B"/>
    <w:rsid w:val="000F5087"/>
    <w:rsid w:val="000F550D"/>
    <w:rsid w:val="000F6004"/>
    <w:rsid w:val="000F6B82"/>
    <w:rsid w:val="000F70FB"/>
    <w:rsid w:val="000F7630"/>
    <w:rsid w:val="000F7848"/>
    <w:rsid w:val="00100056"/>
    <w:rsid w:val="001000EF"/>
    <w:rsid w:val="00100558"/>
    <w:rsid w:val="00100941"/>
    <w:rsid w:val="00100C2F"/>
    <w:rsid w:val="00101102"/>
    <w:rsid w:val="00101312"/>
    <w:rsid w:val="0010161B"/>
    <w:rsid w:val="00101C65"/>
    <w:rsid w:val="001020C6"/>
    <w:rsid w:val="001022F0"/>
    <w:rsid w:val="00103204"/>
    <w:rsid w:val="0010367C"/>
    <w:rsid w:val="00103888"/>
    <w:rsid w:val="001039BF"/>
    <w:rsid w:val="00103A30"/>
    <w:rsid w:val="00104385"/>
    <w:rsid w:val="0010481D"/>
    <w:rsid w:val="00104B17"/>
    <w:rsid w:val="00104D20"/>
    <w:rsid w:val="00106363"/>
    <w:rsid w:val="0010640A"/>
    <w:rsid w:val="001068FA"/>
    <w:rsid w:val="00106AC8"/>
    <w:rsid w:val="00107525"/>
    <w:rsid w:val="00107921"/>
    <w:rsid w:val="00107EE5"/>
    <w:rsid w:val="001100BC"/>
    <w:rsid w:val="00110176"/>
    <w:rsid w:val="001102D5"/>
    <w:rsid w:val="0011060A"/>
    <w:rsid w:val="001106DF"/>
    <w:rsid w:val="00110799"/>
    <w:rsid w:val="0011093D"/>
    <w:rsid w:val="00110D06"/>
    <w:rsid w:val="00110D96"/>
    <w:rsid w:val="00111284"/>
    <w:rsid w:val="0011133A"/>
    <w:rsid w:val="00111ADB"/>
    <w:rsid w:val="00111D68"/>
    <w:rsid w:val="00111E4F"/>
    <w:rsid w:val="00111F8A"/>
    <w:rsid w:val="0011215C"/>
    <w:rsid w:val="00112C32"/>
    <w:rsid w:val="00113796"/>
    <w:rsid w:val="00113C0E"/>
    <w:rsid w:val="00113EBB"/>
    <w:rsid w:val="00114051"/>
    <w:rsid w:val="00114119"/>
    <w:rsid w:val="00114587"/>
    <w:rsid w:val="0011463C"/>
    <w:rsid w:val="00114A86"/>
    <w:rsid w:val="00115104"/>
    <w:rsid w:val="00115E15"/>
    <w:rsid w:val="001166F8"/>
    <w:rsid w:val="00116701"/>
    <w:rsid w:val="00116B54"/>
    <w:rsid w:val="00116D9F"/>
    <w:rsid w:val="001178E3"/>
    <w:rsid w:val="001207B2"/>
    <w:rsid w:val="00120940"/>
    <w:rsid w:val="00120A36"/>
    <w:rsid w:val="00120A6C"/>
    <w:rsid w:val="00120B97"/>
    <w:rsid w:val="00121999"/>
    <w:rsid w:val="00121F7D"/>
    <w:rsid w:val="00122059"/>
    <w:rsid w:val="001222D0"/>
    <w:rsid w:val="0012248E"/>
    <w:rsid w:val="00122A6C"/>
    <w:rsid w:val="001234BF"/>
    <w:rsid w:val="0012384C"/>
    <w:rsid w:val="0012393E"/>
    <w:rsid w:val="001239CB"/>
    <w:rsid w:val="00123A81"/>
    <w:rsid w:val="00123F90"/>
    <w:rsid w:val="00123FD9"/>
    <w:rsid w:val="001240A5"/>
    <w:rsid w:val="001241A9"/>
    <w:rsid w:val="0012488E"/>
    <w:rsid w:val="00124FBD"/>
    <w:rsid w:val="001250BF"/>
    <w:rsid w:val="00125387"/>
    <w:rsid w:val="00126A62"/>
    <w:rsid w:val="00126DFD"/>
    <w:rsid w:val="00126F45"/>
    <w:rsid w:val="001274CA"/>
    <w:rsid w:val="00127706"/>
    <w:rsid w:val="00127EFC"/>
    <w:rsid w:val="00127F7F"/>
    <w:rsid w:val="0013016F"/>
    <w:rsid w:val="00130381"/>
    <w:rsid w:val="001305F1"/>
    <w:rsid w:val="001307F5"/>
    <w:rsid w:val="0013096B"/>
    <w:rsid w:val="00130D7C"/>
    <w:rsid w:val="001315F4"/>
    <w:rsid w:val="001316EC"/>
    <w:rsid w:val="0013316E"/>
    <w:rsid w:val="0013317C"/>
    <w:rsid w:val="001338C6"/>
    <w:rsid w:val="00133A25"/>
    <w:rsid w:val="001340F7"/>
    <w:rsid w:val="00134296"/>
    <w:rsid w:val="00134407"/>
    <w:rsid w:val="0013447B"/>
    <w:rsid w:val="0013498C"/>
    <w:rsid w:val="00135DBD"/>
    <w:rsid w:val="00135E42"/>
    <w:rsid w:val="00136741"/>
    <w:rsid w:val="0013692D"/>
    <w:rsid w:val="001369C4"/>
    <w:rsid w:val="00136C45"/>
    <w:rsid w:val="00136D6B"/>
    <w:rsid w:val="00137073"/>
    <w:rsid w:val="00137BA8"/>
    <w:rsid w:val="00137CF6"/>
    <w:rsid w:val="00137D2E"/>
    <w:rsid w:val="00140270"/>
    <w:rsid w:val="00140658"/>
    <w:rsid w:val="00140D15"/>
    <w:rsid w:val="001412EB"/>
    <w:rsid w:val="001419CC"/>
    <w:rsid w:val="001421E0"/>
    <w:rsid w:val="001429F3"/>
    <w:rsid w:val="00142C37"/>
    <w:rsid w:val="00142DDA"/>
    <w:rsid w:val="00143515"/>
    <w:rsid w:val="00143C9F"/>
    <w:rsid w:val="00144698"/>
    <w:rsid w:val="00144C12"/>
    <w:rsid w:val="0014570D"/>
    <w:rsid w:val="001464FA"/>
    <w:rsid w:val="001469F7"/>
    <w:rsid w:val="00146F39"/>
    <w:rsid w:val="00146F6F"/>
    <w:rsid w:val="0014712F"/>
    <w:rsid w:val="001471ED"/>
    <w:rsid w:val="0014774F"/>
    <w:rsid w:val="00147EBD"/>
    <w:rsid w:val="00150095"/>
    <w:rsid w:val="00151017"/>
    <w:rsid w:val="00151B95"/>
    <w:rsid w:val="00151E70"/>
    <w:rsid w:val="00152F64"/>
    <w:rsid w:val="0015348C"/>
    <w:rsid w:val="001540B1"/>
    <w:rsid w:val="0015437A"/>
    <w:rsid w:val="00154385"/>
    <w:rsid w:val="00154DF3"/>
    <w:rsid w:val="0015555F"/>
    <w:rsid w:val="001555B4"/>
    <w:rsid w:val="00155649"/>
    <w:rsid w:val="001559E1"/>
    <w:rsid w:val="001559F8"/>
    <w:rsid w:val="00155A8E"/>
    <w:rsid w:val="00155AA2"/>
    <w:rsid w:val="00155E69"/>
    <w:rsid w:val="00156BF6"/>
    <w:rsid w:val="00156C41"/>
    <w:rsid w:val="001570D6"/>
    <w:rsid w:val="0015759A"/>
    <w:rsid w:val="00163233"/>
    <w:rsid w:val="001633E2"/>
    <w:rsid w:val="00163738"/>
    <w:rsid w:val="00163DFA"/>
    <w:rsid w:val="00163F80"/>
    <w:rsid w:val="0016425D"/>
    <w:rsid w:val="00165112"/>
    <w:rsid w:val="00165294"/>
    <w:rsid w:val="0016555B"/>
    <w:rsid w:val="001657CE"/>
    <w:rsid w:val="00165B57"/>
    <w:rsid w:val="00165DF9"/>
    <w:rsid w:val="001663DB"/>
    <w:rsid w:val="001663E9"/>
    <w:rsid w:val="00166D72"/>
    <w:rsid w:val="001704C4"/>
    <w:rsid w:val="00170D4E"/>
    <w:rsid w:val="00171228"/>
    <w:rsid w:val="001712C2"/>
    <w:rsid w:val="001714B8"/>
    <w:rsid w:val="0017162F"/>
    <w:rsid w:val="00171760"/>
    <w:rsid w:val="00171CC2"/>
    <w:rsid w:val="00171CF5"/>
    <w:rsid w:val="001721CD"/>
    <w:rsid w:val="00172AEF"/>
    <w:rsid w:val="00172BE1"/>
    <w:rsid w:val="00172CDF"/>
    <w:rsid w:val="00172ED9"/>
    <w:rsid w:val="0017301B"/>
    <w:rsid w:val="00173286"/>
    <w:rsid w:val="00173C63"/>
    <w:rsid w:val="00173DF2"/>
    <w:rsid w:val="001746EB"/>
    <w:rsid w:val="00174AB5"/>
    <w:rsid w:val="00174BA1"/>
    <w:rsid w:val="00175720"/>
    <w:rsid w:val="001759E3"/>
    <w:rsid w:val="001759F0"/>
    <w:rsid w:val="00175DD2"/>
    <w:rsid w:val="0017602A"/>
    <w:rsid w:val="001767A6"/>
    <w:rsid w:val="001767C9"/>
    <w:rsid w:val="00176A64"/>
    <w:rsid w:val="00176F58"/>
    <w:rsid w:val="00177279"/>
    <w:rsid w:val="0017741E"/>
    <w:rsid w:val="001776A1"/>
    <w:rsid w:val="00180B60"/>
    <w:rsid w:val="00180F82"/>
    <w:rsid w:val="00180FF1"/>
    <w:rsid w:val="001810CB"/>
    <w:rsid w:val="0018126B"/>
    <w:rsid w:val="00181899"/>
    <w:rsid w:val="00181D7D"/>
    <w:rsid w:val="00182EF8"/>
    <w:rsid w:val="001833AD"/>
    <w:rsid w:val="0018366C"/>
    <w:rsid w:val="00183A83"/>
    <w:rsid w:val="0018402E"/>
    <w:rsid w:val="00184727"/>
    <w:rsid w:val="001851EC"/>
    <w:rsid w:val="001853E4"/>
    <w:rsid w:val="00185513"/>
    <w:rsid w:val="0018613B"/>
    <w:rsid w:val="00186190"/>
    <w:rsid w:val="0018635C"/>
    <w:rsid w:val="00186779"/>
    <w:rsid w:val="00186A74"/>
    <w:rsid w:val="00186F2D"/>
    <w:rsid w:val="001902B0"/>
    <w:rsid w:val="00190CFE"/>
    <w:rsid w:val="001912EC"/>
    <w:rsid w:val="001914D6"/>
    <w:rsid w:val="001916E8"/>
    <w:rsid w:val="00191F78"/>
    <w:rsid w:val="00191FA8"/>
    <w:rsid w:val="00191FCB"/>
    <w:rsid w:val="00192677"/>
    <w:rsid w:val="00192C4F"/>
    <w:rsid w:val="00192E03"/>
    <w:rsid w:val="00192EDD"/>
    <w:rsid w:val="001931CB"/>
    <w:rsid w:val="001934D6"/>
    <w:rsid w:val="0019365D"/>
    <w:rsid w:val="00193732"/>
    <w:rsid w:val="00193F85"/>
    <w:rsid w:val="0019417D"/>
    <w:rsid w:val="001944ED"/>
    <w:rsid w:val="00194D16"/>
    <w:rsid w:val="00195185"/>
    <w:rsid w:val="00195192"/>
    <w:rsid w:val="0019633A"/>
    <w:rsid w:val="0019676B"/>
    <w:rsid w:val="001969CA"/>
    <w:rsid w:val="00196C74"/>
    <w:rsid w:val="00196C99"/>
    <w:rsid w:val="00197077"/>
    <w:rsid w:val="001970FE"/>
    <w:rsid w:val="0019D3F6"/>
    <w:rsid w:val="001A0263"/>
    <w:rsid w:val="001A09F2"/>
    <w:rsid w:val="001A10EF"/>
    <w:rsid w:val="001A12B7"/>
    <w:rsid w:val="001A1466"/>
    <w:rsid w:val="001A17E4"/>
    <w:rsid w:val="001A1A35"/>
    <w:rsid w:val="001A1DB1"/>
    <w:rsid w:val="001A1F14"/>
    <w:rsid w:val="001A2095"/>
    <w:rsid w:val="001A2370"/>
    <w:rsid w:val="001A2F3C"/>
    <w:rsid w:val="001A32C3"/>
    <w:rsid w:val="001A4D2F"/>
    <w:rsid w:val="001A52FF"/>
    <w:rsid w:val="001A53CC"/>
    <w:rsid w:val="001A5BF1"/>
    <w:rsid w:val="001A5E5B"/>
    <w:rsid w:val="001A5F27"/>
    <w:rsid w:val="001A62DF"/>
    <w:rsid w:val="001A6702"/>
    <w:rsid w:val="001A6742"/>
    <w:rsid w:val="001A752F"/>
    <w:rsid w:val="001A7A6C"/>
    <w:rsid w:val="001A7B61"/>
    <w:rsid w:val="001A7BB3"/>
    <w:rsid w:val="001B1C5B"/>
    <w:rsid w:val="001B26E5"/>
    <w:rsid w:val="001B2839"/>
    <w:rsid w:val="001B2BEE"/>
    <w:rsid w:val="001B2CE0"/>
    <w:rsid w:val="001B2F79"/>
    <w:rsid w:val="001B346A"/>
    <w:rsid w:val="001B34B5"/>
    <w:rsid w:val="001B3B02"/>
    <w:rsid w:val="001B4CD7"/>
    <w:rsid w:val="001B4E12"/>
    <w:rsid w:val="001B5540"/>
    <w:rsid w:val="001B5728"/>
    <w:rsid w:val="001B73F3"/>
    <w:rsid w:val="001B7505"/>
    <w:rsid w:val="001B75AD"/>
    <w:rsid w:val="001B7A8E"/>
    <w:rsid w:val="001B7CCC"/>
    <w:rsid w:val="001C0163"/>
    <w:rsid w:val="001C055F"/>
    <w:rsid w:val="001C0880"/>
    <w:rsid w:val="001C0BEE"/>
    <w:rsid w:val="001C12F8"/>
    <w:rsid w:val="001C2064"/>
    <w:rsid w:val="001C2196"/>
    <w:rsid w:val="001C22C2"/>
    <w:rsid w:val="001C2564"/>
    <w:rsid w:val="001C3018"/>
    <w:rsid w:val="001C3563"/>
    <w:rsid w:val="001C3754"/>
    <w:rsid w:val="001C3801"/>
    <w:rsid w:val="001C40F7"/>
    <w:rsid w:val="001C4905"/>
    <w:rsid w:val="001C49E6"/>
    <w:rsid w:val="001C59F5"/>
    <w:rsid w:val="001C5A46"/>
    <w:rsid w:val="001C5C58"/>
    <w:rsid w:val="001C684B"/>
    <w:rsid w:val="001C6BC8"/>
    <w:rsid w:val="001C6FEB"/>
    <w:rsid w:val="001C7737"/>
    <w:rsid w:val="001C7B73"/>
    <w:rsid w:val="001C7CCB"/>
    <w:rsid w:val="001C7DF2"/>
    <w:rsid w:val="001D0323"/>
    <w:rsid w:val="001D0996"/>
    <w:rsid w:val="001D103E"/>
    <w:rsid w:val="001D134C"/>
    <w:rsid w:val="001D1552"/>
    <w:rsid w:val="001D1701"/>
    <w:rsid w:val="001D2106"/>
    <w:rsid w:val="001D2B6A"/>
    <w:rsid w:val="001D2C4D"/>
    <w:rsid w:val="001D2F39"/>
    <w:rsid w:val="001D30E4"/>
    <w:rsid w:val="001D3313"/>
    <w:rsid w:val="001D34E6"/>
    <w:rsid w:val="001D3530"/>
    <w:rsid w:val="001D4072"/>
    <w:rsid w:val="001D42A5"/>
    <w:rsid w:val="001D4443"/>
    <w:rsid w:val="001D4631"/>
    <w:rsid w:val="001D5C0F"/>
    <w:rsid w:val="001D677F"/>
    <w:rsid w:val="001D7A65"/>
    <w:rsid w:val="001E0081"/>
    <w:rsid w:val="001E02E0"/>
    <w:rsid w:val="001E0955"/>
    <w:rsid w:val="001E2B01"/>
    <w:rsid w:val="001E2C0A"/>
    <w:rsid w:val="001E2C53"/>
    <w:rsid w:val="001E3238"/>
    <w:rsid w:val="001E3338"/>
    <w:rsid w:val="001E33F3"/>
    <w:rsid w:val="001E41E6"/>
    <w:rsid w:val="001E4916"/>
    <w:rsid w:val="001E512C"/>
    <w:rsid w:val="001E5433"/>
    <w:rsid w:val="001E5AE3"/>
    <w:rsid w:val="001E5E62"/>
    <w:rsid w:val="001E6092"/>
    <w:rsid w:val="001E6131"/>
    <w:rsid w:val="001E613A"/>
    <w:rsid w:val="001E62DA"/>
    <w:rsid w:val="001E64CD"/>
    <w:rsid w:val="001E6997"/>
    <w:rsid w:val="001E6B4A"/>
    <w:rsid w:val="001E6F07"/>
    <w:rsid w:val="001E6FC8"/>
    <w:rsid w:val="001E70E5"/>
    <w:rsid w:val="001E7480"/>
    <w:rsid w:val="001E763A"/>
    <w:rsid w:val="001E7BF6"/>
    <w:rsid w:val="001E7D70"/>
    <w:rsid w:val="001F0A6E"/>
    <w:rsid w:val="001F0E2B"/>
    <w:rsid w:val="001F0FAD"/>
    <w:rsid w:val="001F1345"/>
    <w:rsid w:val="001F1716"/>
    <w:rsid w:val="001F1C17"/>
    <w:rsid w:val="001F1F47"/>
    <w:rsid w:val="001F1F58"/>
    <w:rsid w:val="001F1F79"/>
    <w:rsid w:val="001F223B"/>
    <w:rsid w:val="001F285C"/>
    <w:rsid w:val="001F2B92"/>
    <w:rsid w:val="001F345C"/>
    <w:rsid w:val="001F35BC"/>
    <w:rsid w:val="001F3EE6"/>
    <w:rsid w:val="001F419A"/>
    <w:rsid w:val="001F4571"/>
    <w:rsid w:val="001F48E0"/>
    <w:rsid w:val="001F49BD"/>
    <w:rsid w:val="001F4CAD"/>
    <w:rsid w:val="001F4D15"/>
    <w:rsid w:val="001F4D25"/>
    <w:rsid w:val="001F4E4D"/>
    <w:rsid w:val="001F5367"/>
    <w:rsid w:val="001F547C"/>
    <w:rsid w:val="001F5B4D"/>
    <w:rsid w:val="001F5FC2"/>
    <w:rsid w:val="001F638B"/>
    <w:rsid w:val="001F6AE7"/>
    <w:rsid w:val="001F6D81"/>
    <w:rsid w:val="001F7A7B"/>
    <w:rsid w:val="001F7DDA"/>
    <w:rsid w:val="002002F1"/>
    <w:rsid w:val="0020035C"/>
    <w:rsid w:val="0020044E"/>
    <w:rsid w:val="00200704"/>
    <w:rsid w:val="00200E88"/>
    <w:rsid w:val="0020116C"/>
    <w:rsid w:val="0020197F"/>
    <w:rsid w:val="0020232B"/>
    <w:rsid w:val="00202B8B"/>
    <w:rsid w:val="00202CAA"/>
    <w:rsid w:val="00202DC5"/>
    <w:rsid w:val="002036B6"/>
    <w:rsid w:val="0020385B"/>
    <w:rsid w:val="00203EA9"/>
    <w:rsid w:val="00204081"/>
    <w:rsid w:val="00204BB5"/>
    <w:rsid w:val="002053DF"/>
    <w:rsid w:val="002054A4"/>
    <w:rsid w:val="0020570E"/>
    <w:rsid w:val="0020576C"/>
    <w:rsid w:val="00205E3F"/>
    <w:rsid w:val="00206033"/>
    <w:rsid w:val="00206360"/>
    <w:rsid w:val="00206967"/>
    <w:rsid w:val="00206D1C"/>
    <w:rsid w:val="0020739D"/>
    <w:rsid w:val="00207AAB"/>
    <w:rsid w:val="00207B5D"/>
    <w:rsid w:val="00207CE1"/>
    <w:rsid w:val="00207D24"/>
    <w:rsid w:val="00207FB5"/>
    <w:rsid w:val="00210028"/>
    <w:rsid w:val="00210439"/>
    <w:rsid w:val="002105E4"/>
    <w:rsid w:val="00210656"/>
    <w:rsid w:val="00210C8D"/>
    <w:rsid w:val="00210F15"/>
    <w:rsid w:val="00210FAD"/>
    <w:rsid w:val="002113CE"/>
    <w:rsid w:val="0021151B"/>
    <w:rsid w:val="002115A2"/>
    <w:rsid w:val="00211FCA"/>
    <w:rsid w:val="00212465"/>
    <w:rsid w:val="00212B60"/>
    <w:rsid w:val="00214498"/>
    <w:rsid w:val="0021461A"/>
    <w:rsid w:val="002146D7"/>
    <w:rsid w:val="0021478B"/>
    <w:rsid w:val="0021486D"/>
    <w:rsid w:val="00214DEF"/>
    <w:rsid w:val="002156A2"/>
    <w:rsid w:val="002157E8"/>
    <w:rsid w:val="002159F9"/>
    <w:rsid w:val="00216032"/>
    <w:rsid w:val="0021647B"/>
    <w:rsid w:val="0021696A"/>
    <w:rsid w:val="002169DE"/>
    <w:rsid w:val="00217009"/>
    <w:rsid w:val="00217CA1"/>
    <w:rsid w:val="00220429"/>
    <w:rsid w:val="002209C9"/>
    <w:rsid w:val="00220AA9"/>
    <w:rsid w:val="00220DBD"/>
    <w:rsid w:val="00220DCC"/>
    <w:rsid w:val="00222973"/>
    <w:rsid w:val="002229D7"/>
    <w:rsid w:val="00222EA8"/>
    <w:rsid w:val="002231DA"/>
    <w:rsid w:val="00223479"/>
    <w:rsid w:val="00223AAF"/>
    <w:rsid w:val="00223C4F"/>
    <w:rsid w:val="00223D0F"/>
    <w:rsid w:val="00223F93"/>
    <w:rsid w:val="00224368"/>
    <w:rsid w:val="0022455D"/>
    <w:rsid w:val="002245F1"/>
    <w:rsid w:val="00224BC0"/>
    <w:rsid w:val="00225427"/>
    <w:rsid w:val="002258D5"/>
    <w:rsid w:val="00225E33"/>
    <w:rsid w:val="00225EB1"/>
    <w:rsid w:val="00225F18"/>
    <w:rsid w:val="00226006"/>
    <w:rsid w:val="00226346"/>
    <w:rsid w:val="00226F3B"/>
    <w:rsid w:val="002272FF"/>
    <w:rsid w:val="00227EE5"/>
    <w:rsid w:val="00227F68"/>
    <w:rsid w:val="0023041C"/>
    <w:rsid w:val="00230811"/>
    <w:rsid w:val="0023098B"/>
    <w:rsid w:val="00230A53"/>
    <w:rsid w:val="00231314"/>
    <w:rsid w:val="00232380"/>
    <w:rsid w:val="00232B01"/>
    <w:rsid w:val="00232E5C"/>
    <w:rsid w:val="002331B6"/>
    <w:rsid w:val="00233309"/>
    <w:rsid w:val="00233FD6"/>
    <w:rsid w:val="00234224"/>
    <w:rsid w:val="002347B9"/>
    <w:rsid w:val="0023486D"/>
    <w:rsid w:val="002348D2"/>
    <w:rsid w:val="00234D17"/>
    <w:rsid w:val="00234F1B"/>
    <w:rsid w:val="00235B87"/>
    <w:rsid w:val="002363F2"/>
    <w:rsid w:val="0023676B"/>
    <w:rsid w:val="00236DAA"/>
    <w:rsid w:val="002373F1"/>
    <w:rsid w:val="00237A44"/>
    <w:rsid w:val="002404EA"/>
    <w:rsid w:val="00240C22"/>
    <w:rsid w:val="00240DA8"/>
    <w:rsid w:val="00240F0B"/>
    <w:rsid w:val="00241175"/>
    <w:rsid w:val="0024120F"/>
    <w:rsid w:val="00241367"/>
    <w:rsid w:val="00241BF8"/>
    <w:rsid w:val="00242044"/>
    <w:rsid w:val="00242B08"/>
    <w:rsid w:val="00243133"/>
    <w:rsid w:val="00243AEC"/>
    <w:rsid w:val="00244026"/>
    <w:rsid w:val="002444A1"/>
    <w:rsid w:val="00244939"/>
    <w:rsid w:val="00244C0E"/>
    <w:rsid w:val="0024522E"/>
    <w:rsid w:val="00245586"/>
    <w:rsid w:val="00245AF7"/>
    <w:rsid w:val="00245B80"/>
    <w:rsid w:val="0024620B"/>
    <w:rsid w:val="00246A7F"/>
    <w:rsid w:val="00246F3B"/>
    <w:rsid w:val="00247980"/>
    <w:rsid w:val="00247BAE"/>
    <w:rsid w:val="00247CB5"/>
    <w:rsid w:val="00247EC8"/>
    <w:rsid w:val="00250976"/>
    <w:rsid w:val="00250C65"/>
    <w:rsid w:val="00251ACA"/>
    <w:rsid w:val="00251D02"/>
    <w:rsid w:val="0025243F"/>
    <w:rsid w:val="0025299C"/>
    <w:rsid w:val="00252A9F"/>
    <w:rsid w:val="00252CE2"/>
    <w:rsid w:val="00253D64"/>
    <w:rsid w:val="00254999"/>
    <w:rsid w:val="00255276"/>
    <w:rsid w:val="0025550A"/>
    <w:rsid w:val="00255611"/>
    <w:rsid w:val="00255A6B"/>
    <w:rsid w:val="00255B21"/>
    <w:rsid w:val="002560DE"/>
    <w:rsid w:val="002562C5"/>
    <w:rsid w:val="00256467"/>
    <w:rsid w:val="002566FA"/>
    <w:rsid w:val="00256A9E"/>
    <w:rsid w:val="00256CFA"/>
    <w:rsid w:val="0025747F"/>
    <w:rsid w:val="00257E33"/>
    <w:rsid w:val="002601B2"/>
    <w:rsid w:val="0026076B"/>
    <w:rsid w:val="00260B2D"/>
    <w:rsid w:val="00260C16"/>
    <w:rsid w:val="00261444"/>
    <w:rsid w:val="00261AE3"/>
    <w:rsid w:val="00261BF6"/>
    <w:rsid w:val="00261E69"/>
    <w:rsid w:val="002623CF"/>
    <w:rsid w:val="00262FFC"/>
    <w:rsid w:val="0026362A"/>
    <w:rsid w:val="00263D83"/>
    <w:rsid w:val="0026416E"/>
    <w:rsid w:val="00264DB5"/>
    <w:rsid w:val="0026540C"/>
    <w:rsid w:val="0026580E"/>
    <w:rsid w:val="002659B1"/>
    <w:rsid w:val="0026605E"/>
    <w:rsid w:val="0026616B"/>
    <w:rsid w:val="00266450"/>
    <w:rsid w:val="00266C23"/>
    <w:rsid w:val="00266CE6"/>
    <w:rsid w:val="0026700D"/>
    <w:rsid w:val="00267204"/>
    <w:rsid w:val="0026720F"/>
    <w:rsid w:val="002673B1"/>
    <w:rsid w:val="00267821"/>
    <w:rsid w:val="002678A4"/>
    <w:rsid w:val="00267A32"/>
    <w:rsid w:val="002709F9"/>
    <w:rsid w:val="00270BF9"/>
    <w:rsid w:val="0027110B"/>
    <w:rsid w:val="002718AC"/>
    <w:rsid w:val="00272914"/>
    <w:rsid w:val="00272B42"/>
    <w:rsid w:val="002740D5"/>
    <w:rsid w:val="00274955"/>
    <w:rsid w:val="002754CC"/>
    <w:rsid w:val="002757F5"/>
    <w:rsid w:val="0027595F"/>
    <w:rsid w:val="00275FCF"/>
    <w:rsid w:val="002761A7"/>
    <w:rsid w:val="00276778"/>
    <w:rsid w:val="00276A40"/>
    <w:rsid w:val="00276EDE"/>
    <w:rsid w:val="00277357"/>
    <w:rsid w:val="0027789A"/>
    <w:rsid w:val="00277AE2"/>
    <w:rsid w:val="0028057E"/>
    <w:rsid w:val="002809B6"/>
    <w:rsid w:val="00280CEE"/>
    <w:rsid w:val="00281A0C"/>
    <w:rsid w:val="00281F4D"/>
    <w:rsid w:val="00282AD1"/>
    <w:rsid w:val="00282DE3"/>
    <w:rsid w:val="002832C7"/>
    <w:rsid w:val="00283764"/>
    <w:rsid w:val="002837BA"/>
    <w:rsid w:val="00283AB4"/>
    <w:rsid w:val="00283D22"/>
    <w:rsid w:val="00283DE0"/>
    <w:rsid w:val="00283F01"/>
    <w:rsid w:val="002841EA"/>
    <w:rsid w:val="002848FA"/>
    <w:rsid w:val="002851C7"/>
    <w:rsid w:val="002855D0"/>
    <w:rsid w:val="002857B5"/>
    <w:rsid w:val="00285862"/>
    <w:rsid w:val="00285A41"/>
    <w:rsid w:val="00285EEE"/>
    <w:rsid w:val="0028605C"/>
    <w:rsid w:val="00286532"/>
    <w:rsid w:val="00286B87"/>
    <w:rsid w:val="00286C66"/>
    <w:rsid w:val="00286D6E"/>
    <w:rsid w:val="0028715C"/>
    <w:rsid w:val="00290980"/>
    <w:rsid w:val="00290F46"/>
    <w:rsid w:val="0029104B"/>
    <w:rsid w:val="00291A66"/>
    <w:rsid w:val="00291B2A"/>
    <w:rsid w:val="00291B6D"/>
    <w:rsid w:val="00292A18"/>
    <w:rsid w:val="00293FFF"/>
    <w:rsid w:val="0029440E"/>
    <w:rsid w:val="002944D0"/>
    <w:rsid w:val="00294594"/>
    <w:rsid w:val="00294AF9"/>
    <w:rsid w:val="00295073"/>
    <w:rsid w:val="0029549C"/>
    <w:rsid w:val="002967A8"/>
    <w:rsid w:val="002968D7"/>
    <w:rsid w:val="00296A06"/>
    <w:rsid w:val="00296BA3"/>
    <w:rsid w:val="00296C8D"/>
    <w:rsid w:val="00296F0E"/>
    <w:rsid w:val="00296FC8"/>
    <w:rsid w:val="00297143"/>
    <w:rsid w:val="00297B50"/>
    <w:rsid w:val="00297C46"/>
    <w:rsid w:val="002A04DF"/>
    <w:rsid w:val="002A0530"/>
    <w:rsid w:val="002A0779"/>
    <w:rsid w:val="002A0AC0"/>
    <w:rsid w:val="002A1174"/>
    <w:rsid w:val="002A12A4"/>
    <w:rsid w:val="002A13BD"/>
    <w:rsid w:val="002A1518"/>
    <w:rsid w:val="002A1B07"/>
    <w:rsid w:val="002A1B42"/>
    <w:rsid w:val="002A1B45"/>
    <w:rsid w:val="002A2C34"/>
    <w:rsid w:val="002A2E26"/>
    <w:rsid w:val="002A32A3"/>
    <w:rsid w:val="002A33B8"/>
    <w:rsid w:val="002A34BA"/>
    <w:rsid w:val="002A364D"/>
    <w:rsid w:val="002A3694"/>
    <w:rsid w:val="002A46CA"/>
    <w:rsid w:val="002A4782"/>
    <w:rsid w:val="002A5539"/>
    <w:rsid w:val="002A656A"/>
    <w:rsid w:val="002A669B"/>
    <w:rsid w:val="002A699C"/>
    <w:rsid w:val="002A6C7E"/>
    <w:rsid w:val="002A6D30"/>
    <w:rsid w:val="002A6D55"/>
    <w:rsid w:val="002A6FFC"/>
    <w:rsid w:val="002A74DC"/>
    <w:rsid w:val="002A75AE"/>
    <w:rsid w:val="002B0587"/>
    <w:rsid w:val="002B06C5"/>
    <w:rsid w:val="002B08E8"/>
    <w:rsid w:val="002B104D"/>
    <w:rsid w:val="002B1AE9"/>
    <w:rsid w:val="002B2085"/>
    <w:rsid w:val="002B251E"/>
    <w:rsid w:val="002B2B10"/>
    <w:rsid w:val="002B326A"/>
    <w:rsid w:val="002B38F4"/>
    <w:rsid w:val="002B3908"/>
    <w:rsid w:val="002B43A2"/>
    <w:rsid w:val="002B4538"/>
    <w:rsid w:val="002B4A61"/>
    <w:rsid w:val="002B4F15"/>
    <w:rsid w:val="002B5781"/>
    <w:rsid w:val="002B5815"/>
    <w:rsid w:val="002B5908"/>
    <w:rsid w:val="002B5FEA"/>
    <w:rsid w:val="002B6107"/>
    <w:rsid w:val="002B660A"/>
    <w:rsid w:val="002B69DE"/>
    <w:rsid w:val="002B6D0B"/>
    <w:rsid w:val="002B7384"/>
    <w:rsid w:val="002B740C"/>
    <w:rsid w:val="002B7485"/>
    <w:rsid w:val="002B75C9"/>
    <w:rsid w:val="002B7D85"/>
    <w:rsid w:val="002C017F"/>
    <w:rsid w:val="002C0CD9"/>
    <w:rsid w:val="002C0E21"/>
    <w:rsid w:val="002C10DA"/>
    <w:rsid w:val="002C1275"/>
    <w:rsid w:val="002C175C"/>
    <w:rsid w:val="002C1CFD"/>
    <w:rsid w:val="002C2368"/>
    <w:rsid w:val="002C23F8"/>
    <w:rsid w:val="002C29C1"/>
    <w:rsid w:val="002C2A9B"/>
    <w:rsid w:val="002C2B9A"/>
    <w:rsid w:val="002C2C11"/>
    <w:rsid w:val="002C31EA"/>
    <w:rsid w:val="002C31F3"/>
    <w:rsid w:val="002C33C9"/>
    <w:rsid w:val="002C411D"/>
    <w:rsid w:val="002C417A"/>
    <w:rsid w:val="002C42ED"/>
    <w:rsid w:val="002C4C52"/>
    <w:rsid w:val="002C4EA8"/>
    <w:rsid w:val="002C59E3"/>
    <w:rsid w:val="002C5D26"/>
    <w:rsid w:val="002C5DCF"/>
    <w:rsid w:val="002C5E6A"/>
    <w:rsid w:val="002C6430"/>
    <w:rsid w:val="002C6558"/>
    <w:rsid w:val="002C6814"/>
    <w:rsid w:val="002C6C4C"/>
    <w:rsid w:val="002C72A4"/>
    <w:rsid w:val="002D0342"/>
    <w:rsid w:val="002D07A5"/>
    <w:rsid w:val="002D0CAC"/>
    <w:rsid w:val="002D0DF9"/>
    <w:rsid w:val="002D19A9"/>
    <w:rsid w:val="002D1E71"/>
    <w:rsid w:val="002D1FC3"/>
    <w:rsid w:val="002D2898"/>
    <w:rsid w:val="002D331A"/>
    <w:rsid w:val="002D3D3C"/>
    <w:rsid w:val="002D4783"/>
    <w:rsid w:val="002D482A"/>
    <w:rsid w:val="002D4C7B"/>
    <w:rsid w:val="002D4D71"/>
    <w:rsid w:val="002D4E81"/>
    <w:rsid w:val="002D513B"/>
    <w:rsid w:val="002D52D3"/>
    <w:rsid w:val="002D553D"/>
    <w:rsid w:val="002D5BDD"/>
    <w:rsid w:val="002D5C01"/>
    <w:rsid w:val="002D6126"/>
    <w:rsid w:val="002D61D5"/>
    <w:rsid w:val="002D6E13"/>
    <w:rsid w:val="002D6F8B"/>
    <w:rsid w:val="002D6FAB"/>
    <w:rsid w:val="002E0395"/>
    <w:rsid w:val="002E03E0"/>
    <w:rsid w:val="002E077D"/>
    <w:rsid w:val="002E0B9E"/>
    <w:rsid w:val="002E0FC1"/>
    <w:rsid w:val="002E1E9F"/>
    <w:rsid w:val="002E302A"/>
    <w:rsid w:val="002E30F5"/>
    <w:rsid w:val="002E43A9"/>
    <w:rsid w:val="002E465B"/>
    <w:rsid w:val="002E5ECF"/>
    <w:rsid w:val="002E629F"/>
    <w:rsid w:val="002E65EB"/>
    <w:rsid w:val="002E7005"/>
    <w:rsid w:val="002E738D"/>
    <w:rsid w:val="002E7439"/>
    <w:rsid w:val="002F017E"/>
    <w:rsid w:val="002F081C"/>
    <w:rsid w:val="002F0E24"/>
    <w:rsid w:val="002F12D5"/>
    <w:rsid w:val="002F1743"/>
    <w:rsid w:val="002F20D7"/>
    <w:rsid w:val="002F283C"/>
    <w:rsid w:val="002F285B"/>
    <w:rsid w:val="002F2CBF"/>
    <w:rsid w:val="002F3CBE"/>
    <w:rsid w:val="002F43DA"/>
    <w:rsid w:val="002F4449"/>
    <w:rsid w:val="002F4EE4"/>
    <w:rsid w:val="002F4F9D"/>
    <w:rsid w:val="002F5210"/>
    <w:rsid w:val="002F5311"/>
    <w:rsid w:val="002F633F"/>
    <w:rsid w:val="002F669B"/>
    <w:rsid w:val="002F66C9"/>
    <w:rsid w:val="002F676B"/>
    <w:rsid w:val="002F6B38"/>
    <w:rsid w:val="002F6E7A"/>
    <w:rsid w:val="002F6F38"/>
    <w:rsid w:val="002F78B7"/>
    <w:rsid w:val="002F7D7F"/>
    <w:rsid w:val="0030007F"/>
    <w:rsid w:val="0030010A"/>
    <w:rsid w:val="0030036B"/>
    <w:rsid w:val="003004DF"/>
    <w:rsid w:val="00300B02"/>
    <w:rsid w:val="00300DA1"/>
    <w:rsid w:val="00301371"/>
    <w:rsid w:val="00301946"/>
    <w:rsid w:val="00301ABD"/>
    <w:rsid w:val="00301B2B"/>
    <w:rsid w:val="00301FF5"/>
    <w:rsid w:val="0030245B"/>
    <w:rsid w:val="00302461"/>
    <w:rsid w:val="003029EC"/>
    <w:rsid w:val="00302D1F"/>
    <w:rsid w:val="0030339F"/>
    <w:rsid w:val="00303750"/>
    <w:rsid w:val="00303D53"/>
    <w:rsid w:val="00304736"/>
    <w:rsid w:val="00305206"/>
    <w:rsid w:val="00305227"/>
    <w:rsid w:val="00305923"/>
    <w:rsid w:val="00305ED8"/>
    <w:rsid w:val="003061BF"/>
    <w:rsid w:val="003069A9"/>
    <w:rsid w:val="00307961"/>
    <w:rsid w:val="00310359"/>
    <w:rsid w:val="00310797"/>
    <w:rsid w:val="003107E0"/>
    <w:rsid w:val="00311842"/>
    <w:rsid w:val="0031194F"/>
    <w:rsid w:val="00311FF6"/>
    <w:rsid w:val="00312608"/>
    <w:rsid w:val="003126A0"/>
    <w:rsid w:val="003127B2"/>
    <w:rsid w:val="00312DD6"/>
    <w:rsid w:val="00312DFD"/>
    <w:rsid w:val="0031385B"/>
    <w:rsid w:val="003142C8"/>
    <w:rsid w:val="0031448E"/>
    <w:rsid w:val="003146C4"/>
    <w:rsid w:val="003146CD"/>
    <w:rsid w:val="00314F9B"/>
    <w:rsid w:val="003155CA"/>
    <w:rsid w:val="00315960"/>
    <w:rsid w:val="00315F07"/>
    <w:rsid w:val="00316158"/>
    <w:rsid w:val="003161F6"/>
    <w:rsid w:val="00316788"/>
    <w:rsid w:val="003168A1"/>
    <w:rsid w:val="00316D39"/>
    <w:rsid w:val="00317456"/>
    <w:rsid w:val="0031FBBF"/>
    <w:rsid w:val="00320E76"/>
    <w:rsid w:val="003213B2"/>
    <w:rsid w:val="00321639"/>
    <w:rsid w:val="00321788"/>
    <w:rsid w:val="00321E92"/>
    <w:rsid w:val="003223BD"/>
    <w:rsid w:val="0032272D"/>
    <w:rsid w:val="0032279A"/>
    <w:rsid w:val="00322C41"/>
    <w:rsid w:val="003231C3"/>
    <w:rsid w:val="003233CD"/>
    <w:rsid w:val="003239C2"/>
    <w:rsid w:val="00324277"/>
    <w:rsid w:val="003249F5"/>
    <w:rsid w:val="00326680"/>
    <w:rsid w:val="003267AD"/>
    <w:rsid w:val="003270D2"/>
    <w:rsid w:val="00327475"/>
    <w:rsid w:val="00327E24"/>
    <w:rsid w:val="00330069"/>
    <w:rsid w:val="00330089"/>
    <w:rsid w:val="003307A6"/>
    <w:rsid w:val="003308FF"/>
    <w:rsid w:val="003309BD"/>
    <w:rsid w:val="00330AB5"/>
    <w:rsid w:val="00330EAB"/>
    <w:rsid w:val="0033125B"/>
    <w:rsid w:val="003318FD"/>
    <w:rsid w:val="00331C33"/>
    <w:rsid w:val="00332751"/>
    <w:rsid w:val="00332AC7"/>
    <w:rsid w:val="00332E21"/>
    <w:rsid w:val="003331F3"/>
    <w:rsid w:val="00333BFD"/>
    <w:rsid w:val="00334545"/>
    <w:rsid w:val="00334A6B"/>
    <w:rsid w:val="00334ABC"/>
    <w:rsid w:val="003350CC"/>
    <w:rsid w:val="003351F0"/>
    <w:rsid w:val="00335FCC"/>
    <w:rsid w:val="00336755"/>
    <w:rsid w:val="00336FF6"/>
    <w:rsid w:val="00337398"/>
    <w:rsid w:val="00337664"/>
    <w:rsid w:val="003377B9"/>
    <w:rsid w:val="0034078F"/>
    <w:rsid w:val="00340DF4"/>
    <w:rsid w:val="0034115F"/>
    <w:rsid w:val="00341248"/>
    <w:rsid w:val="00341D5D"/>
    <w:rsid w:val="00341F48"/>
    <w:rsid w:val="00342481"/>
    <w:rsid w:val="00342490"/>
    <w:rsid w:val="003434D1"/>
    <w:rsid w:val="003439D4"/>
    <w:rsid w:val="00343AC7"/>
    <w:rsid w:val="00343EFB"/>
    <w:rsid w:val="00344216"/>
    <w:rsid w:val="003448E7"/>
    <w:rsid w:val="00344C5E"/>
    <w:rsid w:val="00344D07"/>
    <w:rsid w:val="00344F9E"/>
    <w:rsid w:val="003450E0"/>
    <w:rsid w:val="003452EF"/>
    <w:rsid w:val="00345567"/>
    <w:rsid w:val="0034594F"/>
    <w:rsid w:val="0034599E"/>
    <w:rsid w:val="00345BC3"/>
    <w:rsid w:val="00345EA3"/>
    <w:rsid w:val="00345ECE"/>
    <w:rsid w:val="00345F1E"/>
    <w:rsid w:val="003461A3"/>
    <w:rsid w:val="00346366"/>
    <w:rsid w:val="0034702D"/>
    <w:rsid w:val="003472F3"/>
    <w:rsid w:val="00347DDB"/>
    <w:rsid w:val="00350125"/>
    <w:rsid w:val="00350BED"/>
    <w:rsid w:val="00351016"/>
    <w:rsid w:val="003513B8"/>
    <w:rsid w:val="00351402"/>
    <w:rsid w:val="00351C10"/>
    <w:rsid w:val="00351EDA"/>
    <w:rsid w:val="003532D9"/>
    <w:rsid w:val="00353464"/>
    <w:rsid w:val="0035349A"/>
    <w:rsid w:val="003538F1"/>
    <w:rsid w:val="00353928"/>
    <w:rsid w:val="00353B0F"/>
    <w:rsid w:val="00353BCE"/>
    <w:rsid w:val="00353D75"/>
    <w:rsid w:val="003541FE"/>
    <w:rsid w:val="00354708"/>
    <w:rsid w:val="003548F4"/>
    <w:rsid w:val="003558B0"/>
    <w:rsid w:val="0035613F"/>
    <w:rsid w:val="00356323"/>
    <w:rsid w:val="00356B1A"/>
    <w:rsid w:val="00356BD4"/>
    <w:rsid w:val="0035789C"/>
    <w:rsid w:val="00357991"/>
    <w:rsid w:val="0036077E"/>
    <w:rsid w:val="003608EE"/>
    <w:rsid w:val="00360B9F"/>
    <w:rsid w:val="00360C2C"/>
    <w:rsid w:val="00361078"/>
    <w:rsid w:val="00362834"/>
    <w:rsid w:val="00362945"/>
    <w:rsid w:val="00362AA8"/>
    <w:rsid w:val="00362F29"/>
    <w:rsid w:val="003630CC"/>
    <w:rsid w:val="003637B4"/>
    <w:rsid w:val="00363B94"/>
    <w:rsid w:val="0036469F"/>
    <w:rsid w:val="00364D62"/>
    <w:rsid w:val="00364E7F"/>
    <w:rsid w:val="0036596D"/>
    <w:rsid w:val="00365A47"/>
    <w:rsid w:val="003666C2"/>
    <w:rsid w:val="00366DC1"/>
    <w:rsid w:val="00366FC1"/>
    <w:rsid w:val="0036757F"/>
    <w:rsid w:val="00367744"/>
    <w:rsid w:val="0037091F"/>
    <w:rsid w:val="00370981"/>
    <w:rsid w:val="00370B8D"/>
    <w:rsid w:val="0037183F"/>
    <w:rsid w:val="00372208"/>
    <w:rsid w:val="0037275D"/>
    <w:rsid w:val="003727F7"/>
    <w:rsid w:val="00372909"/>
    <w:rsid w:val="00372AE9"/>
    <w:rsid w:val="0037304C"/>
    <w:rsid w:val="00373628"/>
    <w:rsid w:val="00373A2C"/>
    <w:rsid w:val="00373B1D"/>
    <w:rsid w:val="00373DD1"/>
    <w:rsid w:val="003744A2"/>
    <w:rsid w:val="00374C16"/>
    <w:rsid w:val="00374D4D"/>
    <w:rsid w:val="00374EF0"/>
    <w:rsid w:val="00375843"/>
    <w:rsid w:val="00376031"/>
    <w:rsid w:val="00376465"/>
    <w:rsid w:val="00376765"/>
    <w:rsid w:val="00377672"/>
    <w:rsid w:val="00377769"/>
    <w:rsid w:val="00377D14"/>
    <w:rsid w:val="00380074"/>
    <w:rsid w:val="003806EA"/>
    <w:rsid w:val="00380859"/>
    <w:rsid w:val="00380CCF"/>
    <w:rsid w:val="00381DEB"/>
    <w:rsid w:val="00382114"/>
    <w:rsid w:val="0038223F"/>
    <w:rsid w:val="0038247C"/>
    <w:rsid w:val="00382676"/>
    <w:rsid w:val="00382BAD"/>
    <w:rsid w:val="00383186"/>
    <w:rsid w:val="00383996"/>
    <w:rsid w:val="00383BD7"/>
    <w:rsid w:val="003844F1"/>
    <w:rsid w:val="0038474D"/>
    <w:rsid w:val="003848C4"/>
    <w:rsid w:val="00384D4F"/>
    <w:rsid w:val="003851CD"/>
    <w:rsid w:val="00385B17"/>
    <w:rsid w:val="00385D8E"/>
    <w:rsid w:val="00386256"/>
    <w:rsid w:val="0038642C"/>
    <w:rsid w:val="00387F42"/>
    <w:rsid w:val="00390451"/>
    <w:rsid w:val="00390D66"/>
    <w:rsid w:val="00390D69"/>
    <w:rsid w:val="00390EB1"/>
    <w:rsid w:val="003911C7"/>
    <w:rsid w:val="00391290"/>
    <w:rsid w:val="00391417"/>
    <w:rsid w:val="003914B5"/>
    <w:rsid w:val="00391536"/>
    <w:rsid w:val="00391BF1"/>
    <w:rsid w:val="0039226E"/>
    <w:rsid w:val="003926FB"/>
    <w:rsid w:val="00393C56"/>
    <w:rsid w:val="00394347"/>
    <w:rsid w:val="003944AB"/>
    <w:rsid w:val="003953DC"/>
    <w:rsid w:val="0039573B"/>
    <w:rsid w:val="0039582F"/>
    <w:rsid w:val="00395F3D"/>
    <w:rsid w:val="00396035"/>
    <w:rsid w:val="00396896"/>
    <w:rsid w:val="00396ACE"/>
    <w:rsid w:val="00397531"/>
    <w:rsid w:val="00397CAF"/>
    <w:rsid w:val="003A00CC"/>
    <w:rsid w:val="003A01A4"/>
    <w:rsid w:val="003A0E30"/>
    <w:rsid w:val="003A10B9"/>
    <w:rsid w:val="003A193A"/>
    <w:rsid w:val="003A1BD2"/>
    <w:rsid w:val="003A1C3C"/>
    <w:rsid w:val="003A257C"/>
    <w:rsid w:val="003A33AE"/>
    <w:rsid w:val="003A33DA"/>
    <w:rsid w:val="003A3465"/>
    <w:rsid w:val="003A3528"/>
    <w:rsid w:val="003A360A"/>
    <w:rsid w:val="003A38B0"/>
    <w:rsid w:val="003A3B9A"/>
    <w:rsid w:val="003A5319"/>
    <w:rsid w:val="003A5613"/>
    <w:rsid w:val="003A577B"/>
    <w:rsid w:val="003A5B18"/>
    <w:rsid w:val="003A5B80"/>
    <w:rsid w:val="003A5C09"/>
    <w:rsid w:val="003A5D02"/>
    <w:rsid w:val="003A5D6B"/>
    <w:rsid w:val="003A6199"/>
    <w:rsid w:val="003A6281"/>
    <w:rsid w:val="003A6C37"/>
    <w:rsid w:val="003A7461"/>
    <w:rsid w:val="003A765D"/>
    <w:rsid w:val="003A7B0E"/>
    <w:rsid w:val="003A7BC7"/>
    <w:rsid w:val="003A7FB5"/>
    <w:rsid w:val="003B0377"/>
    <w:rsid w:val="003B0950"/>
    <w:rsid w:val="003B09F8"/>
    <w:rsid w:val="003B0C9E"/>
    <w:rsid w:val="003B0F00"/>
    <w:rsid w:val="003B0FC2"/>
    <w:rsid w:val="003B1157"/>
    <w:rsid w:val="003B1576"/>
    <w:rsid w:val="003B23C4"/>
    <w:rsid w:val="003B249E"/>
    <w:rsid w:val="003B2ADF"/>
    <w:rsid w:val="003B30CF"/>
    <w:rsid w:val="003B362A"/>
    <w:rsid w:val="003B3F7F"/>
    <w:rsid w:val="003B441F"/>
    <w:rsid w:val="003B449B"/>
    <w:rsid w:val="003B46BC"/>
    <w:rsid w:val="003B46D4"/>
    <w:rsid w:val="003B4BD2"/>
    <w:rsid w:val="003B4E21"/>
    <w:rsid w:val="003B550E"/>
    <w:rsid w:val="003B59C5"/>
    <w:rsid w:val="003B5BDC"/>
    <w:rsid w:val="003B634D"/>
    <w:rsid w:val="003B6B2D"/>
    <w:rsid w:val="003B6D36"/>
    <w:rsid w:val="003B7A6C"/>
    <w:rsid w:val="003C0131"/>
    <w:rsid w:val="003C02A9"/>
    <w:rsid w:val="003C052D"/>
    <w:rsid w:val="003C0992"/>
    <w:rsid w:val="003C09C3"/>
    <w:rsid w:val="003C14D9"/>
    <w:rsid w:val="003C15F4"/>
    <w:rsid w:val="003C2461"/>
    <w:rsid w:val="003C2E80"/>
    <w:rsid w:val="003C2F6B"/>
    <w:rsid w:val="003C33E8"/>
    <w:rsid w:val="003C3E45"/>
    <w:rsid w:val="003C41CF"/>
    <w:rsid w:val="003C4327"/>
    <w:rsid w:val="003C4368"/>
    <w:rsid w:val="003C4A41"/>
    <w:rsid w:val="003C4BBA"/>
    <w:rsid w:val="003C5516"/>
    <w:rsid w:val="003C5C5E"/>
    <w:rsid w:val="003C5D00"/>
    <w:rsid w:val="003C6249"/>
    <w:rsid w:val="003C679B"/>
    <w:rsid w:val="003C710F"/>
    <w:rsid w:val="003C76DB"/>
    <w:rsid w:val="003C7BAA"/>
    <w:rsid w:val="003D00DE"/>
    <w:rsid w:val="003D0FAD"/>
    <w:rsid w:val="003D12C3"/>
    <w:rsid w:val="003D175A"/>
    <w:rsid w:val="003D1F28"/>
    <w:rsid w:val="003D2441"/>
    <w:rsid w:val="003D2F4D"/>
    <w:rsid w:val="003D2F4F"/>
    <w:rsid w:val="003D3030"/>
    <w:rsid w:val="003D3433"/>
    <w:rsid w:val="003D3753"/>
    <w:rsid w:val="003D381C"/>
    <w:rsid w:val="003D3A40"/>
    <w:rsid w:val="003D3EBC"/>
    <w:rsid w:val="003D3FB3"/>
    <w:rsid w:val="003D4405"/>
    <w:rsid w:val="003D4549"/>
    <w:rsid w:val="003D4EC5"/>
    <w:rsid w:val="003D55DC"/>
    <w:rsid w:val="003D5663"/>
    <w:rsid w:val="003D5DC7"/>
    <w:rsid w:val="003D6427"/>
    <w:rsid w:val="003D6FCC"/>
    <w:rsid w:val="003D72A9"/>
    <w:rsid w:val="003D7457"/>
    <w:rsid w:val="003D7464"/>
    <w:rsid w:val="003E1058"/>
    <w:rsid w:val="003E13D9"/>
    <w:rsid w:val="003E146B"/>
    <w:rsid w:val="003E1A7E"/>
    <w:rsid w:val="003E34B4"/>
    <w:rsid w:val="003E37FF"/>
    <w:rsid w:val="003E3840"/>
    <w:rsid w:val="003E3F58"/>
    <w:rsid w:val="003E4A95"/>
    <w:rsid w:val="003E4C6D"/>
    <w:rsid w:val="003E4F5C"/>
    <w:rsid w:val="003E5977"/>
    <w:rsid w:val="003E5F27"/>
    <w:rsid w:val="003E5F87"/>
    <w:rsid w:val="003E5FF4"/>
    <w:rsid w:val="003E6177"/>
    <w:rsid w:val="003E6A14"/>
    <w:rsid w:val="003E6A41"/>
    <w:rsid w:val="003E6BE5"/>
    <w:rsid w:val="003E6EC8"/>
    <w:rsid w:val="003E7070"/>
    <w:rsid w:val="003E740D"/>
    <w:rsid w:val="003E745F"/>
    <w:rsid w:val="003E7561"/>
    <w:rsid w:val="003E7AF9"/>
    <w:rsid w:val="003F0B84"/>
    <w:rsid w:val="003F0F75"/>
    <w:rsid w:val="003F12A4"/>
    <w:rsid w:val="003F2973"/>
    <w:rsid w:val="003F2CAB"/>
    <w:rsid w:val="003F30CD"/>
    <w:rsid w:val="003F3B24"/>
    <w:rsid w:val="003F3F3A"/>
    <w:rsid w:val="003F4A4F"/>
    <w:rsid w:val="003F4E36"/>
    <w:rsid w:val="003F50FA"/>
    <w:rsid w:val="003F5192"/>
    <w:rsid w:val="003F70C0"/>
    <w:rsid w:val="003F764F"/>
    <w:rsid w:val="003F7DF4"/>
    <w:rsid w:val="00400826"/>
    <w:rsid w:val="00400A67"/>
    <w:rsid w:val="00400CC6"/>
    <w:rsid w:val="00401283"/>
    <w:rsid w:val="004012F3"/>
    <w:rsid w:val="00401A3F"/>
    <w:rsid w:val="00401B51"/>
    <w:rsid w:val="00401F93"/>
    <w:rsid w:val="00402171"/>
    <w:rsid w:val="00402F4B"/>
    <w:rsid w:val="0040331C"/>
    <w:rsid w:val="00403391"/>
    <w:rsid w:val="0040340F"/>
    <w:rsid w:val="00403758"/>
    <w:rsid w:val="004037D7"/>
    <w:rsid w:val="00403D29"/>
    <w:rsid w:val="00403EDC"/>
    <w:rsid w:val="004052AA"/>
    <w:rsid w:val="004054C0"/>
    <w:rsid w:val="00405830"/>
    <w:rsid w:val="00405DE5"/>
    <w:rsid w:val="00406276"/>
    <w:rsid w:val="0040695C"/>
    <w:rsid w:val="00406CE4"/>
    <w:rsid w:val="00407BA8"/>
    <w:rsid w:val="00407F64"/>
    <w:rsid w:val="0040E77B"/>
    <w:rsid w:val="004108FA"/>
    <w:rsid w:val="00410B37"/>
    <w:rsid w:val="00411F8C"/>
    <w:rsid w:val="004122C2"/>
    <w:rsid w:val="00412C68"/>
    <w:rsid w:val="00413019"/>
    <w:rsid w:val="004136A8"/>
    <w:rsid w:val="00413B9B"/>
    <w:rsid w:val="00414060"/>
    <w:rsid w:val="004141DE"/>
    <w:rsid w:val="0041480A"/>
    <w:rsid w:val="00414E07"/>
    <w:rsid w:val="00414E9E"/>
    <w:rsid w:val="00414F87"/>
    <w:rsid w:val="0041609F"/>
    <w:rsid w:val="0041693B"/>
    <w:rsid w:val="00416AA9"/>
    <w:rsid w:val="0041711F"/>
    <w:rsid w:val="004173EE"/>
    <w:rsid w:val="00417733"/>
    <w:rsid w:val="00417925"/>
    <w:rsid w:val="00420A2A"/>
    <w:rsid w:val="004216B6"/>
    <w:rsid w:val="004219DB"/>
    <w:rsid w:val="00421FC6"/>
    <w:rsid w:val="0042296A"/>
    <w:rsid w:val="00422B59"/>
    <w:rsid w:val="00422BCE"/>
    <w:rsid w:val="00423084"/>
    <w:rsid w:val="004233D7"/>
    <w:rsid w:val="0042350D"/>
    <w:rsid w:val="004236E7"/>
    <w:rsid w:val="004238CE"/>
    <w:rsid w:val="00423A3F"/>
    <w:rsid w:val="00424387"/>
    <w:rsid w:val="004243CA"/>
    <w:rsid w:val="00424A2D"/>
    <w:rsid w:val="00424AA1"/>
    <w:rsid w:val="0042564D"/>
    <w:rsid w:val="00425B8D"/>
    <w:rsid w:val="004262D4"/>
    <w:rsid w:val="004263D2"/>
    <w:rsid w:val="0042656A"/>
    <w:rsid w:val="004269EC"/>
    <w:rsid w:val="00426D60"/>
    <w:rsid w:val="00426FE2"/>
    <w:rsid w:val="00427E04"/>
    <w:rsid w:val="00430031"/>
    <w:rsid w:val="004300FB"/>
    <w:rsid w:val="0043048F"/>
    <w:rsid w:val="00430628"/>
    <w:rsid w:val="004308FE"/>
    <w:rsid w:val="00430BC8"/>
    <w:rsid w:val="00430C3E"/>
    <w:rsid w:val="004313D5"/>
    <w:rsid w:val="004329B8"/>
    <w:rsid w:val="00432AEF"/>
    <w:rsid w:val="00432E74"/>
    <w:rsid w:val="00432ED5"/>
    <w:rsid w:val="00432EF7"/>
    <w:rsid w:val="00433848"/>
    <w:rsid w:val="00433D27"/>
    <w:rsid w:val="00434184"/>
    <w:rsid w:val="00434978"/>
    <w:rsid w:val="00434D19"/>
    <w:rsid w:val="004350FF"/>
    <w:rsid w:val="004351DF"/>
    <w:rsid w:val="004353EC"/>
    <w:rsid w:val="00435474"/>
    <w:rsid w:val="004354F2"/>
    <w:rsid w:val="00435855"/>
    <w:rsid w:val="00435C9F"/>
    <w:rsid w:val="00436006"/>
    <w:rsid w:val="0043683E"/>
    <w:rsid w:val="00436FF0"/>
    <w:rsid w:val="00437F20"/>
    <w:rsid w:val="004409A5"/>
    <w:rsid w:val="00441156"/>
    <w:rsid w:val="004413D4"/>
    <w:rsid w:val="00441BD0"/>
    <w:rsid w:val="00441D4F"/>
    <w:rsid w:val="00441FC2"/>
    <w:rsid w:val="004420F2"/>
    <w:rsid w:val="0044251F"/>
    <w:rsid w:val="00442A47"/>
    <w:rsid w:val="00442A8A"/>
    <w:rsid w:val="00442EC6"/>
    <w:rsid w:val="0044358C"/>
    <w:rsid w:val="00443F27"/>
    <w:rsid w:val="004449B3"/>
    <w:rsid w:val="00444FFD"/>
    <w:rsid w:val="00445EC9"/>
    <w:rsid w:val="004461F5"/>
    <w:rsid w:val="004462F1"/>
    <w:rsid w:val="004467E7"/>
    <w:rsid w:val="00446BB2"/>
    <w:rsid w:val="00446CA5"/>
    <w:rsid w:val="00447856"/>
    <w:rsid w:val="00447C83"/>
    <w:rsid w:val="00447D9D"/>
    <w:rsid w:val="00450351"/>
    <w:rsid w:val="00450518"/>
    <w:rsid w:val="00450708"/>
    <w:rsid w:val="00450E06"/>
    <w:rsid w:val="00450F45"/>
    <w:rsid w:val="004514AD"/>
    <w:rsid w:val="004515FC"/>
    <w:rsid w:val="004517E4"/>
    <w:rsid w:val="004523A2"/>
    <w:rsid w:val="00453129"/>
    <w:rsid w:val="0045351B"/>
    <w:rsid w:val="00453D3E"/>
    <w:rsid w:val="00453EF4"/>
    <w:rsid w:val="004540F9"/>
    <w:rsid w:val="004545D9"/>
    <w:rsid w:val="0045482A"/>
    <w:rsid w:val="00454871"/>
    <w:rsid w:val="00454F94"/>
    <w:rsid w:val="004553D9"/>
    <w:rsid w:val="00456357"/>
    <w:rsid w:val="004563C3"/>
    <w:rsid w:val="00456413"/>
    <w:rsid w:val="00456477"/>
    <w:rsid w:val="004568A6"/>
    <w:rsid w:val="00457AD6"/>
    <w:rsid w:val="00457CC7"/>
    <w:rsid w:val="0046007F"/>
    <w:rsid w:val="00461CC4"/>
    <w:rsid w:val="00461D88"/>
    <w:rsid w:val="00461DED"/>
    <w:rsid w:val="00461F01"/>
    <w:rsid w:val="004622E9"/>
    <w:rsid w:val="004627B1"/>
    <w:rsid w:val="00462B8F"/>
    <w:rsid w:val="00462E42"/>
    <w:rsid w:val="0046308D"/>
    <w:rsid w:val="0046310E"/>
    <w:rsid w:val="0046325D"/>
    <w:rsid w:val="004632A3"/>
    <w:rsid w:val="004639AE"/>
    <w:rsid w:val="00463DA8"/>
    <w:rsid w:val="00464140"/>
    <w:rsid w:val="00464AF9"/>
    <w:rsid w:val="0046504E"/>
    <w:rsid w:val="00465525"/>
    <w:rsid w:val="0046573B"/>
    <w:rsid w:val="00465AA4"/>
    <w:rsid w:val="00465EFA"/>
    <w:rsid w:val="0046613E"/>
    <w:rsid w:val="00466295"/>
    <w:rsid w:val="00466945"/>
    <w:rsid w:val="00466BFB"/>
    <w:rsid w:val="00467519"/>
    <w:rsid w:val="00470B10"/>
    <w:rsid w:val="00470E86"/>
    <w:rsid w:val="00471055"/>
    <w:rsid w:val="0047128F"/>
    <w:rsid w:val="00471500"/>
    <w:rsid w:val="0047185B"/>
    <w:rsid w:val="004719A4"/>
    <w:rsid w:val="00471AB9"/>
    <w:rsid w:val="00471E21"/>
    <w:rsid w:val="00471E89"/>
    <w:rsid w:val="0047240B"/>
    <w:rsid w:val="00472784"/>
    <w:rsid w:val="00472A81"/>
    <w:rsid w:val="00472CEA"/>
    <w:rsid w:val="00472F75"/>
    <w:rsid w:val="004732E5"/>
    <w:rsid w:val="00473A67"/>
    <w:rsid w:val="00473C2F"/>
    <w:rsid w:val="00473ED3"/>
    <w:rsid w:val="00473F89"/>
    <w:rsid w:val="0047402B"/>
    <w:rsid w:val="004745D9"/>
    <w:rsid w:val="0047499E"/>
    <w:rsid w:val="004749F4"/>
    <w:rsid w:val="00474A6E"/>
    <w:rsid w:val="00474DDA"/>
    <w:rsid w:val="004750F0"/>
    <w:rsid w:val="00475234"/>
    <w:rsid w:val="00475D5B"/>
    <w:rsid w:val="00476161"/>
    <w:rsid w:val="0047667C"/>
    <w:rsid w:val="00476ED1"/>
    <w:rsid w:val="0047704D"/>
    <w:rsid w:val="004774A2"/>
    <w:rsid w:val="00477EEF"/>
    <w:rsid w:val="0048009A"/>
    <w:rsid w:val="0048013F"/>
    <w:rsid w:val="00480266"/>
    <w:rsid w:val="0048086A"/>
    <w:rsid w:val="00480A9E"/>
    <w:rsid w:val="00480AB3"/>
    <w:rsid w:val="00481A41"/>
    <w:rsid w:val="00481DEA"/>
    <w:rsid w:val="004820E7"/>
    <w:rsid w:val="0048406C"/>
    <w:rsid w:val="00485446"/>
    <w:rsid w:val="004854FD"/>
    <w:rsid w:val="00485F6D"/>
    <w:rsid w:val="00486083"/>
    <w:rsid w:val="00486157"/>
    <w:rsid w:val="00487361"/>
    <w:rsid w:val="004875FD"/>
    <w:rsid w:val="00487E12"/>
    <w:rsid w:val="00490659"/>
    <w:rsid w:val="004908DE"/>
    <w:rsid w:val="00490A02"/>
    <w:rsid w:val="004918C1"/>
    <w:rsid w:val="00492561"/>
    <w:rsid w:val="0049265E"/>
    <w:rsid w:val="0049297E"/>
    <w:rsid w:val="00492C35"/>
    <w:rsid w:val="00493184"/>
    <w:rsid w:val="004932BB"/>
    <w:rsid w:val="00493687"/>
    <w:rsid w:val="00493A15"/>
    <w:rsid w:val="00493A5D"/>
    <w:rsid w:val="00493C18"/>
    <w:rsid w:val="004946A6"/>
    <w:rsid w:val="004956CD"/>
    <w:rsid w:val="00495BD6"/>
    <w:rsid w:val="00495D57"/>
    <w:rsid w:val="004971CA"/>
    <w:rsid w:val="00497682"/>
    <w:rsid w:val="00497EE1"/>
    <w:rsid w:val="004A03FC"/>
    <w:rsid w:val="004A0B40"/>
    <w:rsid w:val="004A1A45"/>
    <w:rsid w:val="004A1BB4"/>
    <w:rsid w:val="004A20B1"/>
    <w:rsid w:val="004A2634"/>
    <w:rsid w:val="004A2B29"/>
    <w:rsid w:val="004A3102"/>
    <w:rsid w:val="004A32DB"/>
    <w:rsid w:val="004A3471"/>
    <w:rsid w:val="004A34B9"/>
    <w:rsid w:val="004A3647"/>
    <w:rsid w:val="004A375E"/>
    <w:rsid w:val="004A39F4"/>
    <w:rsid w:val="004A3C9E"/>
    <w:rsid w:val="004A4079"/>
    <w:rsid w:val="004A4EBC"/>
    <w:rsid w:val="004A53FF"/>
    <w:rsid w:val="004A5718"/>
    <w:rsid w:val="004A61A4"/>
    <w:rsid w:val="004A6A04"/>
    <w:rsid w:val="004A7754"/>
    <w:rsid w:val="004A79A4"/>
    <w:rsid w:val="004A7B4F"/>
    <w:rsid w:val="004B089D"/>
    <w:rsid w:val="004B0BE8"/>
    <w:rsid w:val="004B0DC9"/>
    <w:rsid w:val="004B1DFB"/>
    <w:rsid w:val="004B1FEF"/>
    <w:rsid w:val="004B21CF"/>
    <w:rsid w:val="004B2222"/>
    <w:rsid w:val="004B3E1A"/>
    <w:rsid w:val="004B3F9D"/>
    <w:rsid w:val="004B4B80"/>
    <w:rsid w:val="004B5035"/>
    <w:rsid w:val="004B5250"/>
    <w:rsid w:val="004B5A52"/>
    <w:rsid w:val="004B5BB8"/>
    <w:rsid w:val="004B5D1E"/>
    <w:rsid w:val="004B5EAB"/>
    <w:rsid w:val="004B5FA7"/>
    <w:rsid w:val="004B5FF6"/>
    <w:rsid w:val="004B67D6"/>
    <w:rsid w:val="004B723F"/>
    <w:rsid w:val="004B72FF"/>
    <w:rsid w:val="004B74A1"/>
    <w:rsid w:val="004B7891"/>
    <w:rsid w:val="004B7CD1"/>
    <w:rsid w:val="004B7DD5"/>
    <w:rsid w:val="004C03B7"/>
    <w:rsid w:val="004C0BFD"/>
    <w:rsid w:val="004C1017"/>
    <w:rsid w:val="004C10F8"/>
    <w:rsid w:val="004C1BD3"/>
    <w:rsid w:val="004C1D4B"/>
    <w:rsid w:val="004C218E"/>
    <w:rsid w:val="004C221E"/>
    <w:rsid w:val="004C2EB6"/>
    <w:rsid w:val="004C2EFB"/>
    <w:rsid w:val="004C33CB"/>
    <w:rsid w:val="004C39D6"/>
    <w:rsid w:val="004C3E00"/>
    <w:rsid w:val="004C4064"/>
    <w:rsid w:val="004C4104"/>
    <w:rsid w:val="004C4173"/>
    <w:rsid w:val="004C4336"/>
    <w:rsid w:val="004C4A28"/>
    <w:rsid w:val="004C4A4A"/>
    <w:rsid w:val="004C4A5B"/>
    <w:rsid w:val="004C4CDE"/>
    <w:rsid w:val="004C57D4"/>
    <w:rsid w:val="004C6BDF"/>
    <w:rsid w:val="004C795E"/>
    <w:rsid w:val="004D03B7"/>
    <w:rsid w:val="004D0C6D"/>
    <w:rsid w:val="004D0F59"/>
    <w:rsid w:val="004D110A"/>
    <w:rsid w:val="004D1422"/>
    <w:rsid w:val="004D177A"/>
    <w:rsid w:val="004D1DE6"/>
    <w:rsid w:val="004D1E78"/>
    <w:rsid w:val="004D22D8"/>
    <w:rsid w:val="004D2992"/>
    <w:rsid w:val="004D2AEE"/>
    <w:rsid w:val="004D3958"/>
    <w:rsid w:val="004D3B28"/>
    <w:rsid w:val="004D3C85"/>
    <w:rsid w:val="004D4078"/>
    <w:rsid w:val="004D43C8"/>
    <w:rsid w:val="004D4575"/>
    <w:rsid w:val="004D4768"/>
    <w:rsid w:val="004D4AE0"/>
    <w:rsid w:val="004D53A0"/>
    <w:rsid w:val="004D545B"/>
    <w:rsid w:val="004D5526"/>
    <w:rsid w:val="004D55C8"/>
    <w:rsid w:val="004D55DA"/>
    <w:rsid w:val="004D566B"/>
    <w:rsid w:val="004D58F3"/>
    <w:rsid w:val="004D5A55"/>
    <w:rsid w:val="004D5DB9"/>
    <w:rsid w:val="004D5EF9"/>
    <w:rsid w:val="004D5F56"/>
    <w:rsid w:val="004D64D0"/>
    <w:rsid w:val="004D64E3"/>
    <w:rsid w:val="004D7690"/>
    <w:rsid w:val="004D7D88"/>
    <w:rsid w:val="004E0391"/>
    <w:rsid w:val="004E03E2"/>
    <w:rsid w:val="004E0400"/>
    <w:rsid w:val="004E0631"/>
    <w:rsid w:val="004E0865"/>
    <w:rsid w:val="004E1023"/>
    <w:rsid w:val="004E1089"/>
    <w:rsid w:val="004E1259"/>
    <w:rsid w:val="004E1CA4"/>
    <w:rsid w:val="004E22A4"/>
    <w:rsid w:val="004E3143"/>
    <w:rsid w:val="004E3301"/>
    <w:rsid w:val="004E33BC"/>
    <w:rsid w:val="004E3521"/>
    <w:rsid w:val="004E3641"/>
    <w:rsid w:val="004E36AB"/>
    <w:rsid w:val="004E39BE"/>
    <w:rsid w:val="004E3BE3"/>
    <w:rsid w:val="004E3EC2"/>
    <w:rsid w:val="004E4237"/>
    <w:rsid w:val="004E4670"/>
    <w:rsid w:val="004E4BD5"/>
    <w:rsid w:val="004E4DF8"/>
    <w:rsid w:val="004E5132"/>
    <w:rsid w:val="004E56E0"/>
    <w:rsid w:val="004E58CF"/>
    <w:rsid w:val="004E5BD1"/>
    <w:rsid w:val="004E6E64"/>
    <w:rsid w:val="004E764A"/>
    <w:rsid w:val="004E77F6"/>
    <w:rsid w:val="004E7E58"/>
    <w:rsid w:val="004F0CD0"/>
    <w:rsid w:val="004F0F4E"/>
    <w:rsid w:val="004F17B3"/>
    <w:rsid w:val="004F183B"/>
    <w:rsid w:val="004F2152"/>
    <w:rsid w:val="004F2BAB"/>
    <w:rsid w:val="004F32A3"/>
    <w:rsid w:val="004F395C"/>
    <w:rsid w:val="004F3983"/>
    <w:rsid w:val="004F39DD"/>
    <w:rsid w:val="004F57C3"/>
    <w:rsid w:val="004F5866"/>
    <w:rsid w:val="004F5879"/>
    <w:rsid w:val="004F5C20"/>
    <w:rsid w:val="004F66DD"/>
    <w:rsid w:val="004F688A"/>
    <w:rsid w:val="004F6FC5"/>
    <w:rsid w:val="004F76A7"/>
    <w:rsid w:val="004F7DCF"/>
    <w:rsid w:val="00500054"/>
    <w:rsid w:val="00500358"/>
    <w:rsid w:val="00500673"/>
    <w:rsid w:val="0050087A"/>
    <w:rsid w:val="00500A49"/>
    <w:rsid w:val="005017BB"/>
    <w:rsid w:val="00501C66"/>
    <w:rsid w:val="005038E2"/>
    <w:rsid w:val="00503BAC"/>
    <w:rsid w:val="0050444F"/>
    <w:rsid w:val="0050548C"/>
    <w:rsid w:val="005056E2"/>
    <w:rsid w:val="005058D2"/>
    <w:rsid w:val="00505B27"/>
    <w:rsid w:val="0050606F"/>
    <w:rsid w:val="00506722"/>
    <w:rsid w:val="00506BA6"/>
    <w:rsid w:val="00506E2F"/>
    <w:rsid w:val="005072A8"/>
    <w:rsid w:val="00507526"/>
    <w:rsid w:val="00507EFD"/>
    <w:rsid w:val="00507FE9"/>
    <w:rsid w:val="0051037B"/>
    <w:rsid w:val="00510A0F"/>
    <w:rsid w:val="00510AC0"/>
    <w:rsid w:val="00510E85"/>
    <w:rsid w:val="00511906"/>
    <w:rsid w:val="00511945"/>
    <w:rsid w:val="00511B90"/>
    <w:rsid w:val="00511F29"/>
    <w:rsid w:val="005120A4"/>
    <w:rsid w:val="0051219E"/>
    <w:rsid w:val="0051268B"/>
    <w:rsid w:val="00512DAE"/>
    <w:rsid w:val="0051317E"/>
    <w:rsid w:val="0051416B"/>
    <w:rsid w:val="005146A7"/>
    <w:rsid w:val="00514761"/>
    <w:rsid w:val="00514EAB"/>
    <w:rsid w:val="00515541"/>
    <w:rsid w:val="0051582B"/>
    <w:rsid w:val="00515B5C"/>
    <w:rsid w:val="00515BA1"/>
    <w:rsid w:val="00515FB8"/>
    <w:rsid w:val="005164A6"/>
    <w:rsid w:val="00516765"/>
    <w:rsid w:val="0051703F"/>
    <w:rsid w:val="00517057"/>
    <w:rsid w:val="005204F0"/>
    <w:rsid w:val="0052079E"/>
    <w:rsid w:val="00520835"/>
    <w:rsid w:val="00520B80"/>
    <w:rsid w:val="00521C74"/>
    <w:rsid w:val="00522845"/>
    <w:rsid w:val="0052307C"/>
    <w:rsid w:val="005232FF"/>
    <w:rsid w:val="00523335"/>
    <w:rsid w:val="00523495"/>
    <w:rsid w:val="005236EC"/>
    <w:rsid w:val="00523D5B"/>
    <w:rsid w:val="00524134"/>
    <w:rsid w:val="00524199"/>
    <w:rsid w:val="00524349"/>
    <w:rsid w:val="005244A1"/>
    <w:rsid w:val="00524DFF"/>
    <w:rsid w:val="00524E26"/>
    <w:rsid w:val="00525409"/>
    <w:rsid w:val="00525609"/>
    <w:rsid w:val="005259DF"/>
    <w:rsid w:val="00526014"/>
    <w:rsid w:val="00526C21"/>
    <w:rsid w:val="00526F2D"/>
    <w:rsid w:val="00526F4C"/>
    <w:rsid w:val="005270DE"/>
    <w:rsid w:val="0053012F"/>
    <w:rsid w:val="00531F73"/>
    <w:rsid w:val="005320BE"/>
    <w:rsid w:val="00532571"/>
    <w:rsid w:val="00532679"/>
    <w:rsid w:val="00532E0F"/>
    <w:rsid w:val="00532FE0"/>
    <w:rsid w:val="00533E93"/>
    <w:rsid w:val="00533F34"/>
    <w:rsid w:val="005342DC"/>
    <w:rsid w:val="0053553E"/>
    <w:rsid w:val="00535860"/>
    <w:rsid w:val="00535921"/>
    <w:rsid w:val="00535B25"/>
    <w:rsid w:val="00536F88"/>
    <w:rsid w:val="00537202"/>
    <w:rsid w:val="005373AA"/>
    <w:rsid w:val="005376C3"/>
    <w:rsid w:val="005379FB"/>
    <w:rsid w:val="00537C22"/>
    <w:rsid w:val="00537F1A"/>
    <w:rsid w:val="005404BC"/>
    <w:rsid w:val="00540A3B"/>
    <w:rsid w:val="00540EC6"/>
    <w:rsid w:val="00540FB5"/>
    <w:rsid w:val="005410B8"/>
    <w:rsid w:val="0054150A"/>
    <w:rsid w:val="005416DA"/>
    <w:rsid w:val="005418A3"/>
    <w:rsid w:val="00541C99"/>
    <w:rsid w:val="0054243C"/>
    <w:rsid w:val="00542BD4"/>
    <w:rsid w:val="00543082"/>
    <w:rsid w:val="005435A8"/>
    <w:rsid w:val="00543660"/>
    <w:rsid w:val="005448DE"/>
    <w:rsid w:val="00544D15"/>
    <w:rsid w:val="00546255"/>
    <w:rsid w:val="005462C5"/>
    <w:rsid w:val="00547109"/>
    <w:rsid w:val="005472B1"/>
    <w:rsid w:val="00547527"/>
    <w:rsid w:val="00547AE9"/>
    <w:rsid w:val="00547D78"/>
    <w:rsid w:val="00550335"/>
    <w:rsid w:val="0055039E"/>
    <w:rsid w:val="00550934"/>
    <w:rsid w:val="00551259"/>
    <w:rsid w:val="005515C2"/>
    <w:rsid w:val="0055183F"/>
    <w:rsid w:val="00551875"/>
    <w:rsid w:val="005520D7"/>
    <w:rsid w:val="00552E88"/>
    <w:rsid w:val="00552FEE"/>
    <w:rsid w:val="00553125"/>
    <w:rsid w:val="005535E8"/>
    <w:rsid w:val="0055385F"/>
    <w:rsid w:val="00553CEA"/>
    <w:rsid w:val="00553FAA"/>
    <w:rsid w:val="005544D8"/>
    <w:rsid w:val="005546B3"/>
    <w:rsid w:val="00554723"/>
    <w:rsid w:val="00554D40"/>
    <w:rsid w:val="0055568A"/>
    <w:rsid w:val="00555CA5"/>
    <w:rsid w:val="005560E8"/>
    <w:rsid w:val="005567C2"/>
    <w:rsid w:val="00557077"/>
    <w:rsid w:val="005574CC"/>
    <w:rsid w:val="005575E0"/>
    <w:rsid w:val="00557AD3"/>
    <w:rsid w:val="00557B64"/>
    <w:rsid w:val="00557B94"/>
    <w:rsid w:val="00557E56"/>
    <w:rsid w:val="00557EBB"/>
    <w:rsid w:val="005600CD"/>
    <w:rsid w:val="0056030F"/>
    <w:rsid w:val="0056054F"/>
    <w:rsid w:val="00561824"/>
    <w:rsid w:val="00561C0C"/>
    <w:rsid w:val="00561CAD"/>
    <w:rsid w:val="00561D94"/>
    <w:rsid w:val="00562EA7"/>
    <w:rsid w:val="005642BB"/>
    <w:rsid w:val="0056512E"/>
    <w:rsid w:val="0056533D"/>
    <w:rsid w:val="00565ABB"/>
    <w:rsid w:val="00565FE6"/>
    <w:rsid w:val="005666FB"/>
    <w:rsid w:val="00567957"/>
    <w:rsid w:val="00567F37"/>
    <w:rsid w:val="00570041"/>
    <w:rsid w:val="00570432"/>
    <w:rsid w:val="0057056E"/>
    <w:rsid w:val="005714A2"/>
    <w:rsid w:val="00571912"/>
    <w:rsid w:val="00571BEC"/>
    <w:rsid w:val="00571F04"/>
    <w:rsid w:val="00571F5D"/>
    <w:rsid w:val="00572346"/>
    <w:rsid w:val="00572778"/>
    <w:rsid w:val="00572D82"/>
    <w:rsid w:val="00572DAF"/>
    <w:rsid w:val="00572DFF"/>
    <w:rsid w:val="00573584"/>
    <w:rsid w:val="00573594"/>
    <w:rsid w:val="00573A61"/>
    <w:rsid w:val="00573F89"/>
    <w:rsid w:val="005745C7"/>
    <w:rsid w:val="0057464A"/>
    <w:rsid w:val="00574BBD"/>
    <w:rsid w:val="00575070"/>
    <w:rsid w:val="00575756"/>
    <w:rsid w:val="00575804"/>
    <w:rsid w:val="0057583F"/>
    <w:rsid w:val="00575FA9"/>
    <w:rsid w:val="005768B3"/>
    <w:rsid w:val="00576CD3"/>
    <w:rsid w:val="00576FDF"/>
    <w:rsid w:val="00577297"/>
    <w:rsid w:val="0057763B"/>
    <w:rsid w:val="005805AB"/>
    <w:rsid w:val="005808CB"/>
    <w:rsid w:val="00580A54"/>
    <w:rsid w:val="00580CCC"/>
    <w:rsid w:val="00580DD4"/>
    <w:rsid w:val="005814A0"/>
    <w:rsid w:val="00581FBB"/>
    <w:rsid w:val="005820FF"/>
    <w:rsid w:val="005828DC"/>
    <w:rsid w:val="00582C69"/>
    <w:rsid w:val="00582EE9"/>
    <w:rsid w:val="00583265"/>
    <w:rsid w:val="00583955"/>
    <w:rsid w:val="0058431A"/>
    <w:rsid w:val="00584629"/>
    <w:rsid w:val="00584818"/>
    <w:rsid w:val="00584B94"/>
    <w:rsid w:val="00584FBE"/>
    <w:rsid w:val="00585035"/>
    <w:rsid w:val="005853A6"/>
    <w:rsid w:val="00585459"/>
    <w:rsid w:val="00585850"/>
    <w:rsid w:val="0058599A"/>
    <w:rsid w:val="00585C24"/>
    <w:rsid w:val="00585C3F"/>
    <w:rsid w:val="00585E1C"/>
    <w:rsid w:val="0058654E"/>
    <w:rsid w:val="00587666"/>
    <w:rsid w:val="005876DF"/>
    <w:rsid w:val="00587A11"/>
    <w:rsid w:val="00587F73"/>
    <w:rsid w:val="0059027A"/>
    <w:rsid w:val="0059065B"/>
    <w:rsid w:val="00590B95"/>
    <w:rsid w:val="00590CA5"/>
    <w:rsid w:val="00590D23"/>
    <w:rsid w:val="00590E46"/>
    <w:rsid w:val="005918C1"/>
    <w:rsid w:val="00591903"/>
    <w:rsid w:val="00591A5F"/>
    <w:rsid w:val="00591C28"/>
    <w:rsid w:val="00592887"/>
    <w:rsid w:val="00592897"/>
    <w:rsid w:val="00592A9A"/>
    <w:rsid w:val="00592C5D"/>
    <w:rsid w:val="00592CE4"/>
    <w:rsid w:val="00592E9A"/>
    <w:rsid w:val="005934BF"/>
    <w:rsid w:val="005937B3"/>
    <w:rsid w:val="00593B23"/>
    <w:rsid w:val="00593CC6"/>
    <w:rsid w:val="00593EFD"/>
    <w:rsid w:val="00593FD3"/>
    <w:rsid w:val="0059494C"/>
    <w:rsid w:val="0059610A"/>
    <w:rsid w:val="00596319"/>
    <w:rsid w:val="005963CC"/>
    <w:rsid w:val="0059653A"/>
    <w:rsid w:val="005973D2"/>
    <w:rsid w:val="0059780B"/>
    <w:rsid w:val="005978F0"/>
    <w:rsid w:val="00597B44"/>
    <w:rsid w:val="00597F44"/>
    <w:rsid w:val="005A00A1"/>
    <w:rsid w:val="005A0CF2"/>
    <w:rsid w:val="005A1373"/>
    <w:rsid w:val="005A13A8"/>
    <w:rsid w:val="005A1486"/>
    <w:rsid w:val="005A1AF8"/>
    <w:rsid w:val="005A1B08"/>
    <w:rsid w:val="005A1D8E"/>
    <w:rsid w:val="005A1DA8"/>
    <w:rsid w:val="005A1F79"/>
    <w:rsid w:val="005A2404"/>
    <w:rsid w:val="005A2A14"/>
    <w:rsid w:val="005A2A7F"/>
    <w:rsid w:val="005A2C0E"/>
    <w:rsid w:val="005A2E23"/>
    <w:rsid w:val="005A3203"/>
    <w:rsid w:val="005A32AD"/>
    <w:rsid w:val="005A3493"/>
    <w:rsid w:val="005A3871"/>
    <w:rsid w:val="005A4212"/>
    <w:rsid w:val="005A4F79"/>
    <w:rsid w:val="005A58EC"/>
    <w:rsid w:val="005A5DD8"/>
    <w:rsid w:val="005A6217"/>
    <w:rsid w:val="005A625C"/>
    <w:rsid w:val="005A68F3"/>
    <w:rsid w:val="005A78CD"/>
    <w:rsid w:val="005A7D4E"/>
    <w:rsid w:val="005B02A7"/>
    <w:rsid w:val="005B0460"/>
    <w:rsid w:val="005B066B"/>
    <w:rsid w:val="005B081C"/>
    <w:rsid w:val="005B092B"/>
    <w:rsid w:val="005B1A1E"/>
    <w:rsid w:val="005B2133"/>
    <w:rsid w:val="005B2728"/>
    <w:rsid w:val="005B2D1C"/>
    <w:rsid w:val="005B35C4"/>
    <w:rsid w:val="005B497F"/>
    <w:rsid w:val="005B4C1C"/>
    <w:rsid w:val="005B4FAC"/>
    <w:rsid w:val="005B51A0"/>
    <w:rsid w:val="005B54C3"/>
    <w:rsid w:val="005B56F4"/>
    <w:rsid w:val="005B5C3B"/>
    <w:rsid w:val="005B5C4A"/>
    <w:rsid w:val="005B5F0B"/>
    <w:rsid w:val="005B6945"/>
    <w:rsid w:val="005B6ACD"/>
    <w:rsid w:val="005B6E38"/>
    <w:rsid w:val="005B77C9"/>
    <w:rsid w:val="005B78BA"/>
    <w:rsid w:val="005B7AC1"/>
    <w:rsid w:val="005B7E4B"/>
    <w:rsid w:val="005B7F33"/>
    <w:rsid w:val="005B7FE3"/>
    <w:rsid w:val="005C04F8"/>
    <w:rsid w:val="005C0500"/>
    <w:rsid w:val="005C09B5"/>
    <w:rsid w:val="005C1236"/>
    <w:rsid w:val="005C150D"/>
    <w:rsid w:val="005C19C4"/>
    <w:rsid w:val="005C19ED"/>
    <w:rsid w:val="005C23EF"/>
    <w:rsid w:val="005C2755"/>
    <w:rsid w:val="005C34F0"/>
    <w:rsid w:val="005C3518"/>
    <w:rsid w:val="005C351F"/>
    <w:rsid w:val="005C41E0"/>
    <w:rsid w:val="005C4D8C"/>
    <w:rsid w:val="005C5077"/>
    <w:rsid w:val="005C513B"/>
    <w:rsid w:val="005C53F7"/>
    <w:rsid w:val="005C545E"/>
    <w:rsid w:val="005C572B"/>
    <w:rsid w:val="005C6143"/>
    <w:rsid w:val="005C634B"/>
    <w:rsid w:val="005C6A77"/>
    <w:rsid w:val="005C6B17"/>
    <w:rsid w:val="005CEABF"/>
    <w:rsid w:val="005D0220"/>
    <w:rsid w:val="005D08FF"/>
    <w:rsid w:val="005D0E8D"/>
    <w:rsid w:val="005D171A"/>
    <w:rsid w:val="005D1941"/>
    <w:rsid w:val="005D1A17"/>
    <w:rsid w:val="005D1C9A"/>
    <w:rsid w:val="005D24E6"/>
    <w:rsid w:val="005D282D"/>
    <w:rsid w:val="005D2CAF"/>
    <w:rsid w:val="005D2E51"/>
    <w:rsid w:val="005D301B"/>
    <w:rsid w:val="005D323F"/>
    <w:rsid w:val="005D373D"/>
    <w:rsid w:val="005D43B2"/>
    <w:rsid w:val="005D47E8"/>
    <w:rsid w:val="005D4A08"/>
    <w:rsid w:val="005D4A96"/>
    <w:rsid w:val="005D4DAC"/>
    <w:rsid w:val="005D5300"/>
    <w:rsid w:val="005D5782"/>
    <w:rsid w:val="005D5CEA"/>
    <w:rsid w:val="005D671F"/>
    <w:rsid w:val="005D6826"/>
    <w:rsid w:val="005D68B5"/>
    <w:rsid w:val="005D6FEA"/>
    <w:rsid w:val="005D71B3"/>
    <w:rsid w:val="005D72BE"/>
    <w:rsid w:val="005D7B47"/>
    <w:rsid w:val="005D7D15"/>
    <w:rsid w:val="005D7DC9"/>
    <w:rsid w:val="005E001E"/>
    <w:rsid w:val="005E03AA"/>
    <w:rsid w:val="005E0588"/>
    <w:rsid w:val="005E0766"/>
    <w:rsid w:val="005E080F"/>
    <w:rsid w:val="005E1036"/>
    <w:rsid w:val="005E183E"/>
    <w:rsid w:val="005E1A7F"/>
    <w:rsid w:val="005E25FD"/>
    <w:rsid w:val="005E2636"/>
    <w:rsid w:val="005E2F00"/>
    <w:rsid w:val="005E2FEF"/>
    <w:rsid w:val="005E3A3E"/>
    <w:rsid w:val="005E3E0B"/>
    <w:rsid w:val="005E4184"/>
    <w:rsid w:val="005E43C8"/>
    <w:rsid w:val="005E46A4"/>
    <w:rsid w:val="005E46FA"/>
    <w:rsid w:val="005E47C8"/>
    <w:rsid w:val="005E587A"/>
    <w:rsid w:val="005E5F02"/>
    <w:rsid w:val="005E5FB5"/>
    <w:rsid w:val="005E6C46"/>
    <w:rsid w:val="005E71D1"/>
    <w:rsid w:val="005E72A0"/>
    <w:rsid w:val="005E7888"/>
    <w:rsid w:val="005F0448"/>
    <w:rsid w:val="005F0599"/>
    <w:rsid w:val="005F0649"/>
    <w:rsid w:val="005F0F58"/>
    <w:rsid w:val="005F14D1"/>
    <w:rsid w:val="005F1587"/>
    <w:rsid w:val="005F1AFF"/>
    <w:rsid w:val="005F1FDC"/>
    <w:rsid w:val="005F2062"/>
    <w:rsid w:val="005F20E1"/>
    <w:rsid w:val="005F220D"/>
    <w:rsid w:val="005F277A"/>
    <w:rsid w:val="005F2F8F"/>
    <w:rsid w:val="005F31C5"/>
    <w:rsid w:val="005F362A"/>
    <w:rsid w:val="005F3711"/>
    <w:rsid w:val="005F39BD"/>
    <w:rsid w:val="005F3BB7"/>
    <w:rsid w:val="005F41F0"/>
    <w:rsid w:val="005F4264"/>
    <w:rsid w:val="005F45AE"/>
    <w:rsid w:val="005F4767"/>
    <w:rsid w:val="005F4F60"/>
    <w:rsid w:val="005F51C9"/>
    <w:rsid w:val="005F5E9A"/>
    <w:rsid w:val="005F6441"/>
    <w:rsid w:val="005F6D8B"/>
    <w:rsid w:val="005F6FAA"/>
    <w:rsid w:val="005F70C1"/>
    <w:rsid w:val="005F723C"/>
    <w:rsid w:val="005F7BD3"/>
    <w:rsid w:val="005F7C4C"/>
    <w:rsid w:val="005F7D20"/>
    <w:rsid w:val="005F7E4F"/>
    <w:rsid w:val="005F7F1D"/>
    <w:rsid w:val="005F7FD1"/>
    <w:rsid w:val="0060030D"/>
    <w:rsid w:val="0060054E"/>
    <w:rsid w:val="00600772"/>
    <w:rsid w:val="006009AC"/>
    <w:rsid w:val="006009BE"/>
    <w:rsid w:val="00600A08"/>
    <w:rsid w:val="00600D7C"/>
    <w:rsid w:val="00600EB2"/>
    <w:rsid w:val="0060195D"/>
    <w:rsid w:val="00601A9D"/>
    <w:rsid w:val="00601B1F"/>
    <w:rsid w:val="00601CD9"/>
    <w:rsid w:val="006024B5"/>
    <w:rsid w:val="00602B5A"/>
    <w:rsid w:val="00602EF0"/>
    <w:rsid w:val="006059EA"/>
    <w:rsid w:val="00605B75"/>
    <w:rsid w:val="00605BA2"/>
    <w:rsid w:val="00605D1A"/>
    <w:rsid w:val="00605DE8"/>
    <w:rsid w:val="00605EDD"/>
    <w:rsid w:val="00605F71"/>
    <w:rsid w:val="00606404"/>
    <w:rsid w:val="0060665C"/>
    <w:rsid w:val="006072B1"/>
    <w:rsid w:val="006077A8"/>
    <w:rsid w:val="006100CD"/>
    <w:rsid w:val="00610203"/>
    <w:rsid w:val="00610F86"/>
    <w:rsid w:val="00610F94"/>
    <w:rsid w:val="00611BF5"/>
    <w:rsid w:val="00611C00"/>
    <w:rsid w:val="006122FC"/>
    <w:rsid w:val="0061234E"/>
    <w:rsid w:val="006124B9"/>
    <w:rsid w:val="006126FD"/>
    <w:rsid w:val="006128DD"/>
    <w:rsid w:val="00612FAA"/>
    <w:rsid w:val="00613388"/>
    <w:rsid w:val="00613C83"/>
    <w:rsid w:val="00613EA6"/>
    <w:rsid w:val="00613F58"/>
    <w:rsid w:val="00614942"/>
    <w:rsid w:val="00615244"/>
    <w:rsid w:val="00615261"/>
    <w:rsid w:val="00615365"/>
    <w:rsid w:val="00615937"/>
    <w:rsid w:val="00615A8E"/>
    <w:rsid w:val="00615BBD"/>
    <w:rsid w:val="00615CDE"/>
    <w:rsid w:val="00616283"/>
    <w:rsid w:val="00616E23"/>
    <w:rsid w:val="006176E6"/>
    <w:rsid w:val="006201FF"/>
    <w:rsid w:val="0062069B"/>
    <w:rsid w:val="006207A7"/>
    <w:rsid w:val="0062082E"/>
    <w:rsid w:val="0062084B"/>
    <w:rsid w:val="00620F2A"/>
    <w:rsid w:val="00621088"/>
    <w:rsid w:val="00621F0A"/>
    <w:rsid w:val="006226A4"/>
    <w:rsid w:val="006226FC"/>
    <w:rsid w:val="00622C51"/>
    <w:rsid w:val="0062309F"/>
    <w:rsid w:val="00623130"/>
    <w:rsid w:val="00623458"/>
    <w:rsid w:val="00623817"/>
    <w:rsid w:val="00623F75"/>
    <w:rsid w:val="006242C8"/>
    <w:rsid w:val="006243F5"/>
    <w:rsid w:val="00624517"/>
    <w:rsid w:val="006246ED"/>
    <w:rsid w:val="006248AA"/>
    <w:rsid w:val="00624A6E"/>
    <w:rsid w:val="00625267"/>
    <w:rsid w:val="006259CD"/>
    <w:rsid w:val="00625B3C"/>
    <w:rsid w:val="00625E12"/>
    <w:rsid w:val="006263C1"/>
    <w:rsid w:val="00626635"/>
    <w:rsid w:val="0062683F"/>
    <w:rsid w:val="00626BC3"/>
    <w:rsid w:val="006276C7"/>
    <w:rsid w:val="00627798"/>
    <w:rsid w:val="006279EA"/>
    <w:rsid w:val="00627BE6"/>
    <w:rsid w:val="00630281"/>
    <w:rsid w:val="00630352"/>
    <w:rsid w:val="006306D8"/>
    <w:rsid w:val="006307EB"/>
    <w:rsid w:val="00630A33"/>
    <w:rsid w:val="0063137E"/>
    <w:rsid w:val="006315A9"/>
    <w:rsid w:val="00631CFD"/>
    <w:rsid w:val="00632D81"/>
    <w:rsid w:val="0063314A"/>
    <w:rsid w:val="00633387"/>
    <w:rsid w:val="0063366F"/>
    <w:rsid w:val="0063392B"/>
    <w:rsid w:val="00634407"/>
    <w:rsid w:val="006349CF"/>
    <w:rsid w:val="00634D47"/>
    <w:rsid w:val="00634DC7"/>
    <w:rsid w:val="00635191"/>
    <w:rsid w:val="0063547D"/>
    <w:rsid w:val="006355BD"/>
    <w:rsid w:val="00635872"/>
    <w:rsid w:val="0063591F"/>
    <w:rsid w:val="00635B30"/>
    <w:rsid w:val="0063619F"/>
    <w:rsid w:val="006362C0"/>
    <w:rsid w:val="00636712"/>
    <w:rsid w:val="00636D5B"/>
    <w:rsid w:val="00637000"/>
    <w:rsid w:val="0063706F"/>
    <w:rsid w:val="00637198"/>
    <w:rsid w:val="006372F9"/>
    <w:rsid w:val="006377AC"/>
    <w:rsid w:val="0063786E"/>
    <w:rsid w:val="00637D85"/>
    <w:rsid w:val="00640637"/>
    <w:rsid w:val="006407CC"/>
    <w:rsid w:val="00640D7A"/>
    <w:rsid w:val="00641553"/>
    <w:rsid w:val="00641BDA"/>
    <w:rsid w:val="00641F19"/>
    <w:rsid w:val="00642422"/>
    <w:rsid w:val="0064285F"/>
    <w:rsid w:val="00642D81"/>
    <w:rsid w:val="00642E1E"/>
    <w:rsid w:val="00643203"/>
    <w:rsid w:val="006437A0"/>
    <w:rsid w:val="00643902"/>
    <w:rsid w:val="0064406E"/>
    <w:rsid w:val="00644213"/>
    <w:rsid w:val="0064450A"/>
    <w:rsid w:val="0064480E"/>
    <w:rsid w:val="00644A28"/>
    <w:rsid w:val="00644E59"/>
    <w:rsid w:val="00650679"/>
    <w:rsid w:val="00650D5B"/>
    <w:rsid w:val="00651595"/>
    <w:rsid w:val="0065176C"/>
    <w:rsid w:val="00651A92"/>
    <w:rsid w:val="00651AED"/>
    <w:rsid w:val="00652158"/>
    <w:rsid w:val="00653941"/>
    <w:rsid w:val="0065394A"/>
    <w:rsid w:val="00653C37"/>
    <w:rsid w:val="00653D84"/>
    <w:rsid w:val="00653F7A"/>
    <w:rsid w:val="0065415E"/>
    <w:rsid w:val="0065593A"/>
    <w:rsid w:val="00655FD8"/>
    <w:rsid w:val="00656325"/>
    <w:rsid w:val="00656553"/>
    <w:rsid w:val="0065735F"/>
    <w:rsid w:val="006577A6"/>
    <w:rsid w:val="0065794D"/>
    <w:rsid w:val="00657CD0"/>
    <w:rsid w:val="00657CFC"/>
    <w:rsid w:val="00660095"/>
    <w:rsid w:val="006605D3"/>
    <w:rsid w:val="00660856"/>
    <w:rsid w:val="006608C2"/>
    <w:rsid w:val="00660E1C"/>
    <w:rsid w:val="00660EE2"/>
    <w:rsid w:val="00661333"/>
    <w:rsid w:val="00661476"/>
    <w:rsid w:val="00661661"/>
    <w:rsid w:val="006625A9"/>
    <w:rsid w:val="00662CDE"/>
    <w:rsid w:val="0066370C"/>
    <w:rsid w:val="00663713"/>
    <w:rsid w:val="00663944"/>
    <w:rsid w:val="00663A39"/>
    <w:rsid w:val="00663D8A"/>
    <w:rsid w:val="0066409B"/>
    <w:rsid w:val="00664728"/>
    <w:rsid w:val="00664AFE"/>
    <w:rsid w:val="00664F8E"/>
    <w:rsid w:val="00665620"/>
    <w:rsid w:val="00665869"/>
    <w:rsid w:val="00666190"/>
    <w:rsid w:val="00666A14"/>
    <w:rsid w:val="00666A8B"/>
    <w:rsid w:val="0066709A"/>
    <w:rsid w:val="0066712B"/>
    <w:rsid w:val="0066717A"/>
    <w:rsid w:val="006673D2"/>
    <w:rsid w:val="0066757B"/>
    <w:rsid w:val="006676CB"/>
    <w:rsid w:val="00667C5D"/>
    <w:rsid w:val="00667C8F"/>
    <w:rsid w:val="006705C5"/>
    <w:rsid w:val="00670809"/>
    <w:rsid w:val="00670862"/>
    <w:rsid w:val="00670F23"/>
    <w:rsid w:val="00670F69"/>
    <w:rsid w:val="00671AD7"/>
    <w:rsid w:val="00671DF4"/>
    <w:rsid w:val="006720AA"/>
    <w:rsid w:val="006720E2"/>
    <w:rsid w:val="00672313"/>
    <w:rsid w:val="006725D2"/>
    <w:rsid w:val="00672A4B"/>
    <w:rsid w:val="0067319A"/>
    <w:rsid w:val="0067409F"/>
    <w:rsid w:val="00674530"/>
    <w:rsid w:val="00674862"/>
    <w:rsid w:val="00674E67"/>
    <w:rsid w:val="006757D9"/>
    <w:rsid w:val="00675E34"/>
    <w:rsid w:val="00676C6E"/>
    <w:rsid w:val="00676C9E"/>
    <w:rsid w:val="006770BB"/>
    <w:rsid w:val="006770F4"/>
    <w:rsid w:val="00677201"/>
    <w:rsid w:val="00677224"/>
    <w:rsid w:val="00677315"/>
    <w:rsid w:val="00677453"/>
    <w:rsid w:val="00680431"/>
    <w:rsid w:val="00680729"/>
    <w:rsid w:val="006808F1"/>
    <w:rsid w:val="0068095B"/>
    <w:rsid w:val="00680FEA"/>
    <w:rsid w:val="0068173A"/>
    <w:rsid w:val="00681B89"/>
    <w:rsid w:val="00681D67"/>
    <w:rsid w:val="00681EFC"/>
    <w:rsid w:val="00681F8A"/>
    <w:rsid w:val="006820DD"/>
    <w:rsid w:val="00682B34"/>
    <w:rsid w:val="006830B3"/>
    <w:rsid w:val="00683A75"/>
    <w:rsid w:val="00683F9A"/>
    <w:rsid w:val="006844A1"/>
    <w:rsid w:val="006844BC"/>
    <w:rsid w:val="00684A8D"/>
    <w:rsid w:val="00684EAC"/>
    <w:rsid w:val="00685BB7"/>
    <w:rsid w:val="00685CCF"/>
    <w:rsid w:val="0068661F"/>
    <w:rsid w:val="0068697A"/>
    <w:rsid w:val="00686AB2"/>
    <w:rsid w:val="00686C74"/>
    <w:rsid w:val="00686E6C"/>
    <w:rsid w:val="00686E71"/>
    <w:rsid w:val="00686E7C"/>
    <w:rsid w:val="00687447"/>
    <w:rsid w:val="0068757D"/>
    <w:rsid w:val="00687635"/>
    <w:rsid w:val="006901D7"/>
    <w:rsid w:val="006906B0"/>
    <w:rsid w:val="00691877"/>
    <w:rsid w:val="00691F5B"/>
    <w:rsid w:val="006920CE"/>
    <w:rsid w:val="00692B6F"/>
    <w:rsid w:val="00692D83"/>
    <w:rsid w:val="00693942"/>
    <w:rsid w:val="0069462D"/>
    <w:rsid w:val="006948E0"/>
    <w:rsid w:val="00694BB4"/>
    <w:rsid w:val="00695A20"/>
    <w:rsid w:val="00696330"/>
    <w:rsid w:val="00696444"/>
    <w:rsid w:val="006964AA"/>
    <w:rsid w:val="0069671F"/>
    <w:rsid w:val="00696AD5"/>
    <w:rsid w:val="006972F8"/>
    <w:rsid w:val="0069768E"/>
    <w:rsid w:val="00697919"/>
    <w:rsid w:val="006A014D"/>
    <w:rsid w:val="006A01D0"/>
    <w:rsid w:val="006A13A0"/>
    <w:rsid w:val="006A141F"/>
    <w:rsid w:val="006A2055"/>
    <w:rsid w:val="006A2A95"/>
    <w:rsid w:val="006A2D0C"/>
    <w:rsid w:val="006A3301"/>
    <w:rsid w:val="006A3391"/>
    <w:rsid w:val="006A3C87"/>
    <w:rsid w:val="006A3D0C"/>
    <w:rsid w:val="006A4050"/>
    <w:rsid w:val="006A40F0"/>
    <w:rsid w:val="006A4235"/>
    <w:rsid w:val="006A4C4C"/>
    <w:rsid w:val="006A4D75"/>
    <w:rsid w:val="006A4DA6"/>
    <w:rsid w:val="006A4DD8"/>
    <w:rsid w:val="006A4EFD"/>
    <w:rsid w:val="006A54B0"/>
    <w:rsid w:val="006A54B7"/>
    <w:rsid w:val="006A561A"/>
    <w:rsid w:val="006A5692"/>
    <w:rsid w:val="006A589F"/>
    <w:rsid w:val="006A5EAC"/>
    <w:rsid w:val="006A6C99"/>
    <w:rsid w:val="006A6F28"/>
    <w:rsid w:val="006A6FBE"/>
    <w:rsid w:val="006A73E1"/>
    <w:rsid w:val="006A76B9"/>
    <w:rsid w:val="006A7824"/>
    <w:rsid w:val="006B094E"/>
    <w:rsid w:val="006B125D"/>
    <w:rsid w:val="006B1E23"/>
    <w:rsid w:val="006B1EEA"/>
    <w:rsid w:val="006B1F14"/>
    <w:rsid w:val="006B1FED"/>
    <w:rsid w:val="006B205B"/>
    <w:rsid w:val="006B29D3"/>
    <w:rsid w:val="006B2BC4"/>
    <w:rsid w:val="006B2CC6"/>
    <w:rsid w:val="006B2F7D"/>
    <w:rsid w:val="006B3A34"/>
    <w:rsid w:val="006B3EC7"/>
    <w:rsid w:val="006B4921"/>
    <w:rsid w:val="006B5249"/>
    <w:rsid w:val="006B5667"/>
    <w:rsid w:val="006B5AAD"/>
    <w:rsid w:val="006B6CD7"/>
    <w:rsid w:val="006B7347"/>
    <w:rsid w:val="006B7569"/>
    <w:rsid w:val="006B79F4"/>
    <w:rsid w:val="006B7DCA"/>
    <w:rsid w:val="006C0347"/>
    <w:rsid w:val="006C04D5"/>
    <w:rsid w:val="006C088D"/>
    <w:rsid w:val="006C129A"/>
    <w:rsid w:val="006C169C"/>
    <w:rsid w:val="006C1C63"/>
    <w:rsid w:val="006C1E54"/>
    <w:rsid w:val="006C1EEE"/>
    <w:rsid w:val="006C27BF"/>
    <w:rsid w:val="006C2BEB"/>
    <w:rsid w:val="006C2DEE"/>
    <w:rsid w:val="006C3246"/>
    <w:rsid w:val="006C331E"/>
    <w:rsid w:val="006C342A"/>
    <w:rsid w:val="006C3515"/>
    <w:rsid w:val="006C3EFA"/>
    <w:rsid w:val="006C46AC"/>
    <w:rsid w:val="006C49DB"/>
    <w:rsid w:val="006C4BF5"/>
    <w:rsid w:val="006C4FEB"/>
    <w:rsid w:val="006C50C0"/>
    <w:rsid w:val="006C5914"/>
    <w:rsid w:val="006C5DB2"/>
    <w:rsid w:val="006C5EDF"/>
    <w:rsid w:val="006C64E0"/>
    <w:rsid w:val="006C675F"/>
    <w:rsid w:val="006C72C7"/>
    <w:rsid w:val="006C7700"/>
    <w:rsid w:val="006C7CAE"/>
    <w:rsid w:val="006D065C"/>
    <w:rsid w:val="006D0BCA"/>
    <w:rsid w:val="006D14C9"/>
    <w:rsid w:val="006D1AFA"/>
    <w:rsid w:val="006D1B12"/>
    <w:rsid w:val="006D1DE0"/>
    <w:rsid w:val="006D262A"/>
    <w:rsid w:val="006D26A8"/>
    <w:rsid w:val="006D2771"/>
    <w:rsid w:val="006D3852"/>
    <w:rsid w:val="006D3AC5"/>
    <w:rsid w:val="006D441E"/>
    <w:rsid w:val="006D4872"/>
    <w:rsid w:val="006D4D8C"/>
    <w:rsid w:val="006D540D"/>
    <w:rsid w:val="006D5A3B"/>
    <w:rsid w:val="006D60AA"/>
    <w:rsid w:val="006D6250"/>
    <w:rsid w:val="006D6B85"/>
    <w:rsid w:val="006D6E9C"/>
    <w:rsid w:val="006D7051"/>
    <w:rsid w:val="006D7287"/>
    <w:rsid w:val="006D793A"/>
    <w:rsid w:val="006D7F9A"/>
    <w:rsid w:val="006E0936"/>
    <w:rsid w:val="006E1617"/>
    <w:rsid w:val="006E1AB1"/>
    <w:rsid w:val="006E1C5C"/>
    <w:rsid w:val="006E1D3A"/>
    <w:rsid w:val="006E222C"/>
    <w:rsid w:val="006E34B8"/>
    <w:rsid w:val="006E3B53"/>
    <w:rsid w:val="006E3F0B"/>
    <w:rsid w:val="006E41D5"/>
    <w:rsid w:val="006E42A0"/>
    <w:rsid w:val="006E46CE"/>
    <w:rsid w:val="006E49FD"/>
    <w:rsid w:val="006E4DE1"/>
    <w:rsid w:val="006E50AF"/>
    <w:rsid w:val="006E682A"/>
    <w:rsid w:val="006E6BA0"/>
    <w:rsid w:val="006E6BDD"/>
    <w:rsid w:val="006E7291"/>
    <w:rsid w:val="006E7B23"/>
    <w:rsid w:val="006EB22A"/>
    <w:rsid w:val="006F00CE"/>
    <w:rsid w:val="006F0225"/>
    <w:rsid w:val="006F1372"/>
    <w:rsid w:val="006F1E15"/>
    <w:rsid w:val="006F2549"/>
    <w:rsid w:val="006F2F56"/>
    <w:rsid w:val="006F2FE1"/>
    <w:rsid w:val="006F2FFE"/>
    <w:rsid w:val="006F3070"/>
    <w:rsid w:val="006F5057"/>
    <w:rsid w:val="006F5F57"/>
    <w:rsid w:val="006F5FB4"/>
    <w:rsid w:val="006F6157"/>
    <w:rsid w:val="006F617E"/>
    <w:rsid w:val="006F61D6"/>
    <w:rsid w:val="006F63A9"/>
    <w:rsid w:val="006F6816"/>
    <w:rsid w:val="006F6C40"/>
    <w:rsid w:val="006F6CDA"/>
    <w:rsid w:val="006F75AD"/>
    <w:rsid w:val="006F776F"/>
    <w:rsid w:val="006F7849"/>
    <w:rsid w:val="007009F8"/>
    <w:rsid w:val="00701423"/>
    <w:rsid w:val="00701783"/>
    <w:rsid w:val="00702137"/>
    <w:rsid w:val="00702408"/>
    <w:rsid w:val="00702521"/>
    <w:rsid w:val="0070267D"/>
    <w:rsid w:val="00703B57"/>
    <w:rsid w:val="00703CFA"/>
    <w:rsid w:val="00704367"/>
    <w:rsid w:val="00704491"/>
    <w:rsid w:val="0070473D"/>
    <w:rsid w:val="00704A4D"/>
    <w:rsid w:val="0070584B"/>
    <w:rsid w:val="00707141"/>
    <w:rsid w:val="00707585"/>
    <w:rsid w:val="007078BF"/>
    <w:rsid w:val="00707C13"/>
    <w:rsid w:val="00707ED7"/>
    <w:rsid w:val="00707EDA"/>
    <w:rsid w:val="00707F58"/>
    <w:rsid w:val="00710B09"/>
    <w:rsid w:val="00710C23"/>
    <w:rsid w:val="00710FC1"/>
    <w:rsid w:val="00711625"/>
    <w:rsid w:val="00711A56"/>
    <w:rsid w:val="00711B0C"/>
    <w:rsid w:val="00712313"/>
    <w:rsid w:val="007123E2"/>
    <w:rsid w:val="00712EDF"/>
    <w:rsid w:val="00713778"/>
    <w:rsid w:val="007138F9"/>
    <w:rsid w:val="00713953"/>
    <w:rsid w:val="007141A6"/>
    <w:rsid w:val="0071455D"/>
    <w:rsid w:val="007146CF"/>
    <w:rsid w:val="00714F01"/>
    <w:rsid w:val="00715A68"/>
    <w:rsid w:val="00715E20"/>
    <w:rsid w:val="00715FB8"/>
    <w:rsid w:val="00716042"/>
    <w:rsid w:val="00716A3B"/>
    <w:rsid w:val="00717546"/>
    <w:rsid w:val="00717C37"/>
    <w:rsid w:val="00717C65"/>
    <w:rsid w:val="00720077"/>
    <w:rsid w:val="00720469"/>
    <w:rsid w:val="007214D7"/>
    <w:rsid w:val="00722247"/>
    <w:rsid w:val="00722661"/>
    <w:rsid w:val="00722766"/>
    <w:rsid w:val="007229D2"/>
    <w:rsid w:val="00723E22"/>
    <w:rsid w:val="00723FC6"/>
    <w:rsid w:val="00724410"/>
    <w:rsid w:val="007246C0"/>
    <w:rsid w:val="00724AEF"/>
    <w:rsid w:val="00724BFE"/>
    <w:rsid w:val="00724E5B"/>
    <w:rsid w:val="0072519C"/>
    <w:rsid w:val="007252F5"/>
    <w:rsid w:val="00725389"/>
    <w:rsid w:val="00725684"/>
    <w:rsid w:val="007258B5"/>
    <w:rsid w:val="007259D0"/>
    <w:rsid w:val="00725CE1"/>
    <w:rsid w:val="007270AA"/>
    <w:rsid w:val="00727A70"/>
    <w:rsid w:val="0073010D"/>
    <w:rsid w:val="0073024C"/>
    <w:rsid w:val="0073043E"/>
    <w:rsid w:val="00730834"/>
    <w:rsid w:val="0073089A"/>
    <w:rsid w:val="00730922"/>
    <w:rsid w:val="007311EA"/>
    <w:rsid w:val="007315BC"/>
    <w:rsid w:val="00731896"/>
    <w:rsid w:val="00732126"/>
    <w:rsid w:val="00732207"/>
    <w:rsid w:val="0073253A"/>
    <w:rsid w:val="00732911"/>
    <w:rsid w:val="00732E71"/>
    <w:rsid w:val="0073326C"/>
    <w:rsid w:val="0073327D"/>
    <w:rsid w:val="00733405"/>
    <w:rsid w:val="00734198"/>
    <w:rsid w:val="00734230"/>
    <w:rsid w:val="0073454F"/>
    <w:rsid w:val="00734985"/>
    <w:rsid w:val="00734E51"/>
    <w:rsid w:val="007355BF"/>
    <w:rsid w:val="00735638"/>
    <w:rsid w:val="0073568E"/>
    <w:rsid w:val="00735F22"/>
    <w:rsid w:val="0073666D"/>
    <w:rsid w:val="007368DC"/>
    <w:rsid w:val="0073691B"/>
    <w:rsid w:val="007369C6"/>
    <w:rsid w:val="007369E5"/>
    <w:rsid w:val="00736BDC"/>
    <w:rsid w:val="00737126"/>
    <w:rsid w:val="007371B8"/>
    <w:rsid w:val="007376E6"/>
    <w:rsid w:val="00737848"/>
    <w:rsid w:val="00737B0D"/>
    <w:rsid w:val="00737D3E"/>
    <w:rsid w:val="007415C1"/>
    <w:rsid w:val="007415D3"/>
    <w:rsid w:val="00741B59"/>
    <w:rsid w:val="00741D31"/>
    <w:rsid w:val="00742226"/>
    <w:rsid w:val="00742887"/>
    <w:rsid w:val="007434FA"/>
    <w:rsid w:val="0074355C"/>
    <w:rsid w:val="00744919"/>
    <w:rsid w:val="007451C8"/>
    <w:rsid w:val="00745559"/>
    <w:rsid w:val="00745C8D"/>
    <w:rsid w:val="00745F50"/>
    <w:rsid w:val="00746958"/>
    <w:rsid w:val="00747B33"/>
    <w:rsid w:val="00747C06"/>
    <w:rsid w:val="00747CE4"/>
    <w:rsid w:val="007500C3"/>
    <w:rsid w:val="00750483"/>
    <w:rsid w:val="00751755"/>
    <w:rsid w:val="0075334F"/>
    <w:rsid w:val="0075354C"/>
    <w:rsid w:val="007537E8"/>
    <w:rsid w:val="007540A7"/>
    <w:rsid w:val="00754AB9"/>
    <w:rsid w:val="007552BE"/>
    <w:rsid w:val="00755B4A"/>
    <w:rsid w:val="00755C78"/>
    <w:rsid w:val="0075681E"/>
    <w:rsid w:val="007568BC"/>
    <w:rsid w:val="00756941"/>
    <w:rsid w:val="00756FE3"/>
    <w:rsid w:val="007573AA"/>
    <w:rsid w:val="007577B2"/>
    <w:rsid w:val="00757A90"/>
    <w:rsid w:val="00761241"/>
    <w:rsid w:val="007612F0"/>
    <w:rsid w:val="00761348"/>
    <w:rsid w:val="00761355"/>
    <w:rsid w:val="00761562"/>
    <w:rsid w:val="007628B7"/>
    <w:rsid w:val="00762FFB"/>
    <w:rsid w:val="00763361"/>
    <w:rsid w:val="00763A46"/>
    <w:rsid w:val="00763EFD"/>
    <w:rsid w:val="007643FB"/>
    <w:rsid w:val="00764479"/>
    <w:rsid w:val="00764A81"/>
    <w:rsid w:val="00764B7B"/>
    <w:rsid w:val="0076517A"/>
    <w:rsid w:val="007657A4"/>
    <w:rsid w:val="007657AE"/>
    <w:rsid w:val="00765B54"/>
    <w:rsid w:val="0076652C"/>
    <w:rsid w:val="00766C76"/>
    <w:rsid w:val="00767119"/>
    <w:rsid w:val="00767807"/>
    <w:rsid w:val="007703A1"/>
    <w:rsid w:val="00770926"/>
    <w:rsid w:val="00770F69"/>
    <w:rsid w:val="00771366"/>
    <w:rsid w:val="00771946"/>
    <w:rsid w:val="00771BD9"/>
    <w:rsid w:val="00771C20"/>
    <w:rsid w:val="00772303"/>
    <w:rsid w:val="0077293B"/>
    <w:rsid w:val="00772990"/>
    <w:rsid w:val="00772C73"/>
    <w:rsid w:val="00773516"/>
    <w:rsid w:val="007737AD"/>
    <w:rsid w:val="0077380B"/>
    <w:rsid w:val="007744B1"/>
    <w:rsid w:val="00774DD3"/>
    <w:rsid w:val="00775BF3"/>
    <w:rsid w:val="007762AA"/>
    <w:rsid w:val="00776356"/>
    <w:rsid w:val="0077717D"/>
    <w:rsid w:val="00777193"/>
    <w:rsid w:val="00777AFA"/>
    <w:rsid w:val="00777B40"/>
    <w:rsid w:val="00777D59"/>
    <w:rsid w:val="00777DD8"/>
    <w:rsid w:val="00780304"/>
    <w:rsid w:val="00780382"/>
    <w:rsid w:val="00782153"/>
    <w:rsid w:val="00783711"/>
    <w:rsid w:val="007838B3"/>
    <w:rsid w:val="00783937"/>
    <w:rsid w:val="00783C6B"/>
    <w:rsid w:val="007847EA"/>
    <w:rsid w:val="007851FE"/>
    <w:rsid w:val="007854B2"/>
    <w:rsid w:val="00785611"/>
    <w:rsid w:val="00785645"/>
    <w:rsid w:val="00786DC3"/>
    <w:rsid w:val="00786E3F"/>
    <w:rsid w:val="00787245"/>
    <w:rsid w:val="0078752B"/>
    <w:rsid w:val="0078755A"/>
    <w:rsid w:val="007878A7"/>
    <w:rsid w:val="0079024A"/>
    <w:rsid w:val="00790A43"/>
    <w:rsid w:val="00790EEE"/>
    <w:rsid w:val="00791269"/>
    <w:rsid w:val="00791692"/>
    <w:rsid w:val="007918B5"/>
    <w:rsid w:val="00791EA4"/>
    <w:rsid w:val="00791F8A"/>
    <w:rsid w:val="00792568"/>
    <w:rsid w:val="007925D9"/>
    <w:rsid w:val="007927DD"/>
    <w:rsid w:val="007929DD"/>
    <w:rsid w:val="007934A0"/>
    <w:rsid w:val="00793867"/>
    <w:rsid w:val="00793958"/>
    <w:rsid w:val="00793A35"/>
    <w:rsid w:val="00793AD9"/>
    <w:rsid w:val="00793AE6"/>
    <w:rsid w:val="00793FA1"/>
    <w:rsid w:val="007943E0"/>
    <w:rsid w:val="00794C97"/>
    <w:rsid w:val="00794EDF"/>
    <w:rsid w:val="0079546D"/>
    <w:rsid w:val="00795F44"/>
    <w:rsid w:val="0079633D"/>
    <w:rsid w:val="00796675"/>
    <w:rsid w:val="00796A05"/>
    <w:rsid w:val="00796B89"/>
    <w:rsid w:val="00797456"/>
    <w:rsid w:val="00797CFA"/>
    <w:rsid w:val="00797DC1"/>
    <w:rsid w:val="007A00CF"/>
    <w:rsid w:val="007A12D7"/>
    <w:rsid w:val="007A1534"/>
    <w:rsid w:val="007A1540"/>
    <w:rsid w:val="007A189B"/>
    <w:rsid w:val="007A1E6C"/>
    <w:rsid w:val="007A21E2"/>
    <w:rsid w:val="007A2DED"/>
    <w:rsid w:val="007A337E"/>
    <w:rsid w:val="007A3381"/>
    <w:rsid w:val="007A398B"/>
    <w:rsid w:val="007A4A29"/>
    <w:rsid w:val="007A4CA7"/>
    <w:rsid w:val="007A522C"/>
    <w:rsid w:val="007A5373"/>
    <w:rsid w:val="007A538E"/>
    <w:rsid w:val="007A5595"/>
    <w:rsid w:val="007A5B71"/>
    <w:rsid w:val="007A5CB2"/>
    <w:rsid w:val="007A61AF"/>
    <w:rsid w:val="007A6384"/>
    <w:rsid w:val="007A662A"/>
    <w:rsid w:val="007A6663"/>
    <w:rsid w:val="007A6D59"/>
    <w:rsid w:val="007A6D93"/>
    <w:rsid w:val="007A719F"/>
    <w:rsid w:val="007A7216"/>
    <w:rsid w:val="007A7C1A"/>
    <w:rsid w:val="007B0487"/>
    <w:rsid w:val="007B071B"/>
    <w:rsid w:val="007B0BAF"/>
    <w:rsid w:val="007B0BC0"/>
    <w:rsid w:val="007B1082"/>
    <w:rsid w:val="007B11D8"/>
    <w:rsid w:val="007B13FB"/>
    <w:rsid w:val="007B1807"/>
    <w:rsid w:val="007B1A4A"/>
    <w:rsid w:val="007B1AA3"/>
    <w:rsid w:val="007B233A"/>
    <w:rsid w:val="007B24D0"/>
    <w:rsid w:val="007B2602"/>
    <w:rsid w:val="007B2812"/>
    <w:rsid w:val="007B2C82"/>
    <w:rsid w:val="007B3143"/>
    <w:rsid w:val="007B323E"/>
    <w:rsid w:val="007B35B9"/>
    <w:rsid w:val="007B3AB4"/>
    <w:rsid w:val="007B3BDE"/>
    <w:rsid w:val="007B47A4"/>
    <w:rsid w:val="007B4874"/>
    <w:rsid w:val="007B48D3"/>
    <w:rsid w:val="007B4A05"/>
    <w:rsid w:val="007B5059"/>
    <w:rsid w:val="007B5060"/>
    <w:rsid w:val="007B554C"/>
    <w:rsid w:val="007B58E2"/>
    <w:rsid w:val="007B652A"/>
    <w:rsid w:val="007B6DEF"/>
    <w:rsid w:val="007B70A4"/>
    <w:rsid w:val="007B73B9"/>
    <w:rsid w:val="007B75BB"/>
    <w:rsid w:val="007B771F"/>
    <w:rsid w:val="007B77FD"/>
    <w:rsid w:val="007B7942"/>
    <w:rsid w:val="007B7BC6"/>
    <w:rsid w:val="007C0946"/>
    <w:rsid w:val="007C0D21"/>
    <w:rsid w:val="007C0D70"/>
    <w:rsid w:val="007C0E5B"/>
    <w:rsid w:val="007C0EB3"/>
    <w:rsid w:val="007C1A1D"/>
    <w:rsid w:val="007C26C5"/>
    <w:rsid w:val="007C3623"/>
    <w:rsid w:val="007C3F3E"/>
    <w:rsid w:val="007C3F83"/>
    <w:rsid w:val="007C4893"/>
    <w:rsid w:val="007C5747"/>
    <w:rsid w:val="007C6051"/>
    <w:rsid w:val="007C609C"/>
    <w:rsid w:val="007C6265"/>
    <w:rsid w:val="007C698B"/>
    <w:rsid w:val="007C6A6D"/>
    <w:rsid w:val="007D033E"/>
    <w:rsid w:val="007D0AAD"/>
    <w:rsid w:val="007D0B5D"/>
    <w:rsid w:val="007D0DA2"/>
    <w:rsid w:val="007D1249"/>
    <w:rsid w:val="007D137A"/>
    <w:rsid w:val="007D1B8D"/>
    <w:rsid w:val="007D1C03"/>
    <w:rsid w:val="007D25AB"/>
    <w:rsid w:val="007D2792"/>
    <w:rsid w:val="007D27D1"/>
    <w:rsid w:val="007D39ED"/>
    <w:rsid w:val="007D3B4D"/>
    <w:rsid w:val="007D3D72"/>
    <w:rsid w:val="007D405A"/>
    <w:rsid w:val="007D41AA"/>
    <w:rsid w:val="007D4F80"/>
    <w:rsid w:val="007D5252"/>
    <w:rsid w:val="007D5385"/>
    <w:rsid w:val="007D5B08"/>
    <w:rsid w:val="007D6A37"/>
    <w:rsid w:val="007D6BCF"/>
    <w:rsid w:val="007D6C96"/>
    <w:rsid w:val="007D6D3D"/>
    <w:rsid w:val="007D7244"/>
    <w:rsid w:val="007D75CD"/>
    <w:rsid w:val="007D78D3"/>
    <w:rsid w:val="007D7B3B"/>
    <w:rsid w:val="007D7B91"/>
    <w:rsid w:val="007D7D06"/>
    <w:rsid w:val="007D7F51"/>
    <w:rsid w:val="007E05F4"/>
    <w:rsid w:val="007E0A17"/>
    <w:rsid w:val="007E1205"/>
    <w:rsid w:val="007E1CF4"/>
    <w:rsid w:val="007E20B3"/>
    <w:rsid w:val="007E2476"/>
    <w:rsid w:val="007E29A9"/>
    <w:rsid w:val="007E2B3C"/>
    <w:rsid w:val="007E3540"/>
    <w:rsid w:val="007E36B3"/>
    <w:rsid w:val="007E3B35"/>
    <w:rsid w:val="007E3CCE"/>
    <w:rsid w:val="007E3E0B"/>
    <w:rsid w:val="007E417E"/>
    <w:rsid w:val="007E4336"/>
    <w:rsid w:val="007E4750"/>
    <w:rsid w:val="007E4847"/>
    <w:rsid w:val="007E4DDF"/>
    <w:rsid w:val="007E4ECE"/>
    <w:rsid w:val="007E5469"/>
    <w:rsid w:val="007E5A48"/>
    <w:rsid w:val="007E6A61"/>
    <w:rsid w:val="007E6C7A"/>
    <w:rsid w:val="007E7A1A"/>
    <w:rsid w:val="007E7D1F"/>
    <w:rsid w:val="007E7DE6"/>
    <w:rsid w:val="007E7F22"/>
    <w:rsid w:val="007F00DC"/>
    <w:rsid w:val="007F0D04"/>
    <w:rsid w:val="007F0F08"/>
    <w:rsid w:val="007F1923"/>
    <w:rsid w:val="007F19E0"/>
    <w:rsid w:val="007F2045"/>
    <w:rsid w:val="007F253F"/>
    <w:rsid w:val="007F26D0"/>
    <w:rsid w:val="007F2AEE"/>
    <w:rsid w:val="007F2B7B"/>
    <w:rsid w:val="007F3179"/>
    <w:rsid w:val="007F40E4"/>
    <w:rsid w:val="007F4125"/>
    <w:rsid w:val="007F4292"/>
    <w:rsid w:val="007F45FA"/>
    <w:rsid w:val="007F466C"/>
    <w:rsid w:val="007F49F0"/>
    <w:rsid w:val="007F4A45"/>
    <w:rsid w:val="007F4C8F"/>
    <w:rsid w:val="007F503F"/>
    <w:rsid w:val="007F526C"/>
    <w:rsid w:val="007F5CD9"/>
    <w:rsid w:val="007F5D6A"/>
    <w:rsid w:val="007F5DB2"/>
    <w:rsid w:val="007F5DF1"/>
    <w:rsid w:val="007F6899"/>
    <w:rsid w:val="0080045D"/>
    <w:rsid w:val="00800536"/>
    <w:rsid w:val="008014A1"/>
    <w:rsid w:val="00801AAB"/>
    <w:rsid w:val="00801E7F"/>
    <w:rsid w:val="0080203F"/>
    <w:rsid w:val="00802252"/>
    <w:rsid w:val="00802752"/>
    <w:rsid w:val="00802D7D"/>
    <w:rsid w:val="00803166"/>
    <w:rsid w:val="008031EF"/>
    <w:rsid w:val="008042FD"/>
    <w:rsid w:val="00804815"/>
    <w:rsid w:val="00804A0E"/>
    <w:rsid w:val="00804A5B"/>
    <w:rsid w:val="008062C4"/>
    <w:rsid w:val="008066EA"/>
    <w:rsid w:val="00807065"/>
    <w:rsid w:val="00807294"/>
    <w:rsid w:val="00810246"/>
    <w:rsid w:val="0081040D"/>
    <w:rsid w:val="008107FB"/>
    <w:rsid w:val="00810E8C"/>
    <w:rsid w:val="0081116C"/>
    <w:rsid w:val="00811BAA"/>
    <w:rsid w:val="0081258B"/>
    <w:rsid w:val="00812939"/>
    <w:rsid w:val="00812A9E"/>
    <w:rsid w:val="0081317D"/>
    <w:rsid w:val="008132A4"/>
    <w:rsid w:val="00814031"/>
    <w:rsid w:val="00814190"/>
    <w:rsid w:val="008144A4"/>
    <w:rsid w:val="00814B27"/>
    <w:rsid w:val="00814C63"/>
    <w:rsid w:val="00815863"/>
    <w:rsid w:val="008158AD"/>
    <w:rsid w:val="00815CB6"/>
    <w:rsid w:val="0081672D"/>
    <w:rsid w:val="00816812"/>
    <w:rsid w:val="00816E4D"/>
    <w:rsid w:val="0081784D"/>
    <w:rsid w:val="00820178"/>
    <w:rsid w:val="0082062B"/>
    <w:rsid w:val="008207B4"/>
    <w:rsid w:val="00820804"/>
    <w:rsid w:val="00820913"/>
    <w:rsid w:val="00820EAB"/>
    <w:rsid w:val="008212FD"/>
    <w:rsid w:val="00821B7F"/>
    <w:rsid w:val="00821BE2"/>
    <w:rsid w:val="008222F6"/>
    <w:rsid w:val="00822DD3"/>
    <w:rsid w:val="00822E25"/>
    <w:rsid w:val="008232ED"/>
    <w:rsid w:val="008246C5"/>
    <w:rsid w:val="00824A0F"/>
    <w:rsid w:val="00824A7A"/>
    <w:rsid w:val="0082512D"/>
    <w:rsid w:val="00825673"/>
    <w:rsid w:val="00826931"/>
    <w:rsid w:val="0082693F"/>
    <w:rsid w:val="00826D6F"/>
    <w:rsid w:val="00827082"/>
    <w:rsid w:val="00830814"/>
    <w:rsid w:val="00830834"/>
    <w:rsid w:val="00830918"/>
    <w:rsid w:val="00830AFC"/>
    <w:rsid w:val="00830D69"/>
    <w:rsid w:val="0083148F"/>
    <w:rsid w:val="008318BC"/>
    <w:rsid w:val="00831C7C"/>
    <w:rsid w:val="0083209D"/>
    <w:rsid w:val="00832696"/>
    <w:rsid w:val="0083281D"/>
    <w:rsid w:val="00833E02"/>
    <w:rsid w:val="00834483"/>
    <w:rsid w:val="00834784"/>
    <w:rsid w:val="0083508C"/>
    <w:rsid w:val="008355DD"/>
    <w:rsid w:val="008358AE"/>
    <w:rsid w:val="00835E10"/>
    <w:rsid w:val="00835F53"/>
    <w:rsid w:val="0083601B"/>
    <w:rsid w:val="008360C3"/>
    <w:rsid w:val="00836154"/>
    <w:rsid w:val="00836408"/>
    <w:rsid w:val="008373DF"/>
    <w:rsid w:val="00837597"/>
    <w:rsid w:val="008378D0"/>
    <w:rsid w:val="00837A05"/>
    <w:rsid w:val="00837C24"/>
    <w:rsid w:val="00837C73"/>
    <w:rsid w:val="00840038"/>
    <w:rsid w:val="0084035B"/>
    <w:rsid w:val="008404D9"/>
    <w:rsid w:val="008406D4"/>
    <w:rsid w:val="00840A51"/>
    <w:rsid w:val="00840B5C"/>
    <w:rsid w:val="00840D2F"/>
    <w:rsid w:val="00841584"/>
    <w:rsid w:val="00841F51"/>
    <w:rsid w:val="0084222E"/>
    <w:rsid w:val="008426AC"/>
    <w:rsid w:val="00842736"/>
    <w:rsid w:val="008427DA"/>
    <w:rsid w:val="00842AEF"/>
    <w:rsid w:val="00842F74"/>
    <w:rsid w:val="0084333C"/>
    <w:rsid w:val="0084426D"/>
    <w:rsid w:val="00844704"/>
    <w:rsid w:val="00844A82"/>
    <w:rsid w:val="00844C41"/>
    <w:rsid w:val="00845052"/>
    <w:rsid w:val="008452DA"/>
    <w:rsid w:val="008454C0"/>
    <w:rsid w:val="00845835"/>
    <w:rsid w:val="00845B3A"/>
    <w:rsid w:val="00846541"/>
    <w:rsid w:val="00846A59"/>
    <w:rsid w:val="00846A9B"/>
    <w:rsid w:val="00846DB7"/>
    <w:rsid w:val="00846FF6"/>
    <w:rsid w:val="0084756A"/>
    <w:rsid w:val="008479A5"/>
    <w:rsid w:val="00847CFA"/>
    <w:rsid w:val="0085049D"/>
    <w:rsid w:val="0085094C"/>
    <w:rsid w:val="0085095F"/>
    <w:rsid w:val="00850D4D"/>
    <w:rsid w:val="00851002"/>
    <w:rsid w:val="008519E8"/>
    <w:rsid w:val="008520E7"/>
    <w:rsid w:val="00852203"/>
    <w:rsid w:val="00852229"/>
    <w:rsid w:val="00852B9E"/>
    <w:rsid w:val="00852BCA"/>
    <w:rsid w:val="00852E0F"/>
    <w:rsid w:val="008531DE"/>
    <w:rsid w:val="00853BCD"/>
    <w:rsid w:val="00853F70"/>
    <w:rsid w:val="00854536"/>
    <w:rsid w:val="00855979"/>
    <w:rsid w:val="00855EB8"/>
    <w:rsid w:val="0085603C"/>
    <w:rsid w:val="00856116"/>
    <w:rsid w:val="00856119"/>
    <w:rsid w:val="00856A2A"/>
    <w:rsid w:val="00856CED"/>
    <w:rsid w:val="008578B5"/>
    <w:rsid w:val="00857AEA"/>
    <w:rsid w:val="00860192"/>
    <w:rsid w:val="008604A7"/>
    <w:rsid w:val="008605F7"/>
    <w:rsid w:val="00860BAF"/>
    <w:rsid w:val="00860EF6"/>
    <w:rsid w:val="008616D9"/>
    <w:rsid w:val="00862583"/>
    <w:rsid w:val="00863686"/>
    <w:rsid w:val="0086370F"/>
    <w:rsid w:val="00863792"/>
    <w:rsid w:val="0086388A"/>
    <w:rsid w:val="00864362"/>
    <w:rsid w:val="008643CB"/>
    <w:rsid w:val="00864C1B"/>
    <w:rsid w:val="00864DAE"/>
    <w:rsid w:val="00865163"/>
    <w:rsid w:val="00865911"/>
    <w:rsid w:val="0086679C"/>
    <w:rsid w:val="00866D1D"/>
    <w:rsid w:val="00866F49"/>
    <w:rsid w:val="008678EA"/>
    <w:rsid w:val="008701BD"/>
    <w:rsid w:val="008708BE"/>
    <w:rsid w:val="00870FD2"/>
    <w:rsid w:val="00871339"/>
    <w:rsid w:val="00871672"/>
    <w:rsid w:val="00871902"/>
    <w:rsid w:val="008721AB"/>
    <w:rsid w:val="0087257B"/>
    <w:rsid w:val="008726BA"/>
    <w:rsid w:val="00872708"/>
    <w:rsid w:val="00873052"/>
    <w:rsid w:val="00873452"/>
    <w:rsid w:val="00873970"/>
    <w:rsid w:val="00873D2A"/>
    <w:rsid w:val="008746E5"/>
    <w:rsid w:val="008748E0"/>
    <w:rsid w:val="00874D67"/>
    <w:rsid w:val="00874DAB"/>
    <w:rsid w:val="008751EF"/>
    <w:rsid w:val="00875311"/>
    <w:rsid w:val="008764B2"/>
    <w:rsid w:val="00877151"/>
    <w:rsid w:val="0087767D"/>
    <w:rsid w:val="008777D9"/>
    <w:rsid w:val="008778D5"/>
    <w:rsid w:val="00880543"/>
    <w:rsid w:val="00880F19"/>
    <w:rsid w:val="008810F3"/>
    <w:rsid w:val="0088146E"/>
    <w:rsid w:val="0088147C"/>
    <w:rsid w:val="0088148C"/>
    <w:rsid w:val="00881D07"/>
    <w:rsid w:val="00881D4B"/>
    <w:rsid w:val="00881ECA"/>
    <w:rsid w:val="00882712"/>
    <w:rsid w:val="00882E94"/>
    <w:rsid w:val="00883849"/>
    <w:rsid w:val="00883A80"/>
    <w:rsid w:val="00883E64"/>
    <w:rsid w:val="008842C6"/>
    <w:rsid w:val="0088516D"/>
    <w:rsid w:val="00886E13"/>
    <w:rsid w:val="008874F3"/>
    <w:rsid w:val="0088770D"/>
    <w:rsid w:val="0088785A"/>
    <w:rsid w:val="00887B99"/>
    <w:rsid w:val="00887CBA"/>
    <w:rsid w:val="00887E05"/>
    <w:rsid w:val="0089058D"/>
    <w:rsid w:val="00890CCE"/>
    <w:rsid w:val="008910BD"/>
    <w:rsid w:val="00891317"/>
    <w:rsid w:val="00891C4B"/>
    <w:rsid w:val="00892529"/>
    <w:rsid w:val="008925B9"/>
    <w:rsid w:val="00892B61"/>
    <w:rsid w:val="00892DBF"/>
    <w:rsid w:val="00892E25"/>
    <w:rsid w:val="00892F93"/>
    <w:rsid w:val="0089331D"/>
    <w:rsid w:val="0089348B"/>
    <w:rsid w:val="00893922"/>
    <w:rsid w:val="00893BFA"/>
    <w:rsid w:val="0089416F"/>
    <w:rsid w:val="0089429F"/>
    <w:rsid w:val="008943A1"/>
    <w:rsid w:val="00895537"/>
    <w:rsid w:val="008956F9"/>
    <w:rsid w:val="00895CA5"/>
    <w:rsid w:val="00895E91"/>
    <w:rsid w:val="00895F22"/>
    <w:rsid w:val="00895F54"/>
    <w:rsid w:val="00896AD9"/>
    <w:rsid w:val="00896D23"/>
    <w:rsid w:val="008A05F8"/>
    <w:rsid w:val="008A0C00"/>
    <w:rsid w:val="008A0C70"/>
    <w:rsid w:val="008A0E2F"/>
    <w:rsid w:val="008A1177"/>
    <w:rsid w:val="008A1B44"/>
    <w:rsid w:val="008A29AF"/>
    <w:rsid w:val="008A3E3C"/>
    <w:rsid w:val="008A3FAF"/>
    <w:rsid w:val="008A4C01"/>
    <w:rsid w:val="008A4EB2"/>
    <w:rsid w:val="008A5019"/>
    <w:rsid w:val="008A5043"/>
    <w:rsid w:val="008A55C3"/>
    <w:rsid w:val="008A59BF"/>
    <w:rsid w:val="008A6AF3"/>
    <w:rsid w:val="008A7346"/>
    <w:rsid w:val="008A73CF"/>
    <w:rsid w:val="008A753D"/>
    <w:rsid w:val="008A7B99"/>
    <w:rsid w:val="008B05C6"/>
    <w:rsid w:val="008B111F"/>
    <w:rsid w:val="008B11AF"/>
    <w:rsid w:val="008B2602"/>
    <w:rsid w:val="008B28E2"/>
    <w:rsid w:val="008B2D93"/>
    <w:rsid w:val="008B2DBD"/>
    <w:rsid w:val="008B375C"/>
    <w:rsid w:val="008B4193"/>
    <w:rsid w:val="008B44D9"/>
    <w:rsid w:val="008B53D7"/>
    <w:rsid w:val="008B54F7"/>
    <w:rsid w:val="008B5824"/>
    <w:rsid w:val="008B641F"/>
    <w:rsid w:val="008B6A76"/>
    <w:rsid w:val="008B6A7B"/>
    <w:rsid w:val="008B7A72"/>
    <w:rsid w:val="008B7CD1"/>
    <w:rsid w:val="008B7CF1"/>
    <w:rsid w:val="008B7D0F"/>
    <w:rsid w:val="008B7D4F"/>
    <w:rsid w:val="008C0190"/>
    <w:rsid w:val="008C01ED"/>
    <w:rsid w:val="008C06D1"/>
    <w:rsid w:val="008C1294"/>
    <w:rsid w:val="008C2041"/>
    <w:rsid w:val="008C210C"/>
    <w:rsid w:val="008C27D6"/>
    <w:rsid w:val="008C2957"/>
    <w:rsid w:val="008C2C9F"/>
    <w:rsid w:val="008C3224"/>
    <w:rsid w:val="008C3474"/>
    <w:rsid w:val="008C3823"/>
    <w:rsid w:val="008C4357"/>
    <w:rsid w:val="008C457E"/>
    <w:rsid w:val="008C4615"/>
    <w:rsid w:val="008C4B80"/>
    <w:rsid w:val="008C58B9"/>
    <w:rsid w:val="008C5BC3"/>
    <w:rsid w:val="008C5F43"/>
    <w:rsid w:val="008C640A"/>
    <w:rsid w:val="008C646A"/>
    <w:rsid w:val="008C69E0"/>
    <w:rsid w:val="008C6FE9"/>
    <w:rsid w:val="008C70B2"/>
    <w:rsid w:val="008C75D5"/>
    <w:rsid w:val="008D02BB"/>
    <w:rsid w:val="008D0300"/>
    <w:rsid w:val="008D0AD1"/>
    <w:rsid w:val="008D14DF"/>
    <w:rsid w:val="008D1553"/>
    <w:rsid w:val="008D161F"/>
    <w:rsid w:val="008D1D0E"/>
    <w:rsid w:val="008D1D50"/>
    <w:rsid w:val="008D280C"/>
    <w:rsid w:val="008D29D8"/>
    <w:rsid w:val="008D2C44"/>
    <w:rsid w:val="008D2D63"/>
    <w:rsid w:val="008D3026"/>
    <w:rsid w:val="008D30B7"/>
    <w:rsid w:val="008D30FE"/>
    <w:rsid w:val="008D41DF"/>
    <w:rsid w:val="008D4415"/>
    <w:rsid w:val="008D585B"/>
    <w:rsid w:val="008D5957"/>
    <w:rsid w:val="008D5BEB"/>
    <w:rsid w:val="008D6284"/>
    <w:rsid w:val="008D6366"/>
    <w:rsid w:val="008D6618"/>
    <w:rsid w:val="008D6C06"/>
    <w:rsid w:val="008D6D0E"/>
    <w:rsid w:val="008D6D91"/>
    <w:rsid w:val="008D6F43"/>
    <w:rsid w:val="008D7088"/>
    <w:rsid w:val="008D767A"/>
    <w:rsid w:val="008D790F"/>
    <w:rsid w:val="008D7DB5"/>
    <w:rsid w:val="008E011F"/>
    <w:rsid w:val="008E02DC"/>
    <w:rsid w:val="008E0438"/>
    <w:rsid w:val="008E0483"/>
    <w:rsid w:val="008E11BF"/>
    <w:rsid w:val="008E1431"/>
    <w:rsid w:val="008E166D"/>
    <w:rsid w:val="008E1A38"/>
    <w:rsid w:val="008E2D09"/>
    <w:rsid w:val="008E310D"/>
    <w:rsid w:val="008E32CE"/>
    <w:rsid w:val="008E365B"/>
    <w:rsid w:val="008E42BE"/>
    <w:rsid w:val="008E4637"/>
    <w:rsid w:val="008E498C"/>
    <w:rsid w:val="008E52A5"/>
    <w:rsid w:val="008E58C9"/>
    <w:rsid w:val="008E5908"/>
    <w:rsid w:val="008E61D4"/>
    <w:rsid w:val="008E6341"/>
    <w:rsid w:val="008E691B"/>
    <w:rsid w:val="008E6A58"/>
    <w:rsid w:val="008E756D"/>
    <w:rsid w:val="008E7B5B"/>
    <w:rsid w:val="008E7C32"/>
    <w:rsid w:val="008F028D"/>
    <w:rsid w:val="008F05CC"/>
    <w:rsid w:val="008F0A1C"/>
    <w:rsid w:val="008F0E9D"/>
    <w:rsid w:val="008F0F6C"/>
    <w:rsid w:val="008F15BF"/>
    <w:rsid w:val="008F2A4E"/>
    <w:rsid w:val="008F2CE9"/>
    <w:rsid w:val="008F2DF5"/>
    <w:rsid w:val="008F2F0D"/>
    <w:rsid w:val="008F2F64"/>
    <w:rsid w:val="008F3029"/>
    <w:rsid w:val="008F3103"/>
    <w:rsid w:val="008F4386"/>
    <w:rsid w:val="008F44DA"/>
    <w:rsid w:val="008F451E"/>
    <w:rsid w:val="008F45C0"/>
    <w:rsid w:val="008F48B9"/>
    <w:rsid w:val="008F4DAE"/>
    <w:rsid w:val="008F527E"/>
    <w:rsid w:val="008F53F5"/>
    <w:rsid w:val="008F5C8F"/>
    <w:rsid w:val="008F5CDC"/>
    <w:rsid w:val="008F5E5A"/>
    <w:rsid w:val="008F6F41"/>
    <w:rsid w:val="008F73B1"/>
    <w:rsid w:val="008F773C"/>
    <w:rsid w:val="008F79E6"/>
    <w:rsid w:val="008F7BE0"/>
    <w:rsid w:val="008F7CE1"/>
    <w:rsid w:val="009000A3"/>
    <w:rsid w:val="009000EB"/>
    <w:rsid w:val="0090030D"/>
    <w:rsid w:val="00900978"/>
    <w:rsid w:val="009023A6"/>
    <w:rsid w:val="009024A7"/>
    <w:rsid w:val="00902932"/>
    <w:rsid w:val="009029C8"/>
    <w:rsid w:val="00902BC8"/>
    <w:rsid w:val="00903155"/>
    <w:rsid w:val="00903568"/>
    <w:rsid w:val="009038EC"/>
    <w:rsid w:val="00903C25"/>
    <w:rsid w:val="00903F88"/>
    <w:rsid w:val="00904A47"/>
    <w:rsid w:val="00905495"/>
    <w:rsid w:val="00905944"/>
    <w:rsid w:val="00905B65"/>
    <w:rsid w:val="00906214"/>
    <w:rsid w:val="009066CD"/>
    <w:rsid w:val="00906BDD"/>
    <w:rsid w:val="0090702E"/>
    <w:rsid w:val="00907080"/>
    <w:rsid w:val="009076A5"/>
    <w:rsid w:val="009078E7"/>
    <w:rsid w:val="00907E5D"/>
    <w:rsid w:val="0091014F"/>
    <w:rsid w:val="0091138E"/>
    <w:rsid w:val="00911CAB"/>
    <w:rsid w:val="00911CC0"/>
    <w:rsid w:val="00911EF2"/>
    <w:rsid w:val="00912550"/>
    <w:rsid w:val="0091273B"/>
    <w:rsid w:val="00912DC2"/>
    <w:rsid w:val="00913AE3"/>
    <w:rsid w:val="00914084"/>
    <w:rsid w:val="00914140"/>
    <w:rsid w:val="00914547"/>
    <w:rsid w:val="00914E18"/>
    <w:rsid w:val="00914E2D"/>
    <w:rsid w:val="009151FC"/>
    <w:rsid w:val="009154EA"/>
    <w:rsid w:val="00915FE1"/>
    <w:rsid w:val="00916A5E"/>
    <w:rsid w:val="0091701F"/>
    <w:rsid w:val="0091705A"/>
    <w:rsid w:val="0091776E"/>
    <w:rsid w:val="009179E2"/>
    <w:rsid w:val="00917E5A"/>
    <w:rsid w:val="0092087C"/>
    <w:rsid w:val="00920C86"/>
    <w:rsid w:val="00921087"/>
    <w:rsid w:val="00921346"/>
    <w:rsid w:val="009219F8"/>
    <w:rsid w:val="00921E51"/>
    <w:rsid w:val="0092207D"/>
    <w:rsid w:val="0092266D"/>
    <w:rsid w:val="0092335F"/>
    <w:rsid w:val="0092382A"/>
    <w:rsid w:val="00923CD6"/>
    <w:rsid w:val="009240F2"/>
    <w:rsid w:val="009244E2"/>
    <w:rsid w:val="00924DD6"/>
    <w:rsid w:val="0092509F"/>
    <w:rsid w:val="00925266"/>
    <w:rsid w:val="00925716"/>
    <w:rsid w:val="009262AF"/>
    <w:rsid w:val="00926B6B"/>
    <w:rsid w:val="00927298"/>
    <w:rsid w:val="00927AB7"/>
    <w:rsid w:val="00927D8E"/>
    <w:rsid w:val="00927DF4"/>
    <w:rsid w:val="0093008A"/>
    <w:rsid w:val="00930409"/>
    <w:rsid w:val="009304F8"/>
    <w:rsid w:val="00931322"/>
    <w:rsid w:val="0093146D"/>
    <w:rsid w:val="00931496"/>
    <w:rsid w:val="009314D7"/>
    <w:rsid w:val="00931891"/>
    <w:rsid w:val="00931AD5"/>
    <w:rsid w:val="00931E2A"/>
    <w:rsid w:val="0093229D"/>
    <w:rsid w:val="009322DA"/>
    <w:rsid w:val="00932466"/>
    <w:rsid w:val="009324D9"/>
    <w:rsid w:val="00932627"/>
    <w:rsid w:val="009326EB"/>
    <w:rsid w:val="00933827"/>
    <w:rsid w:val="00933C9D"/>
    <w:rsid w:val="00933D41"/>
    <w:rsid w:val="00933DC3"/>
    <w:rsid w:val="00934248"/>
    <w:rsid w:val="00934460"/>
    <w:rsid w:val="00934728"/>
    <w:rsid w:val="009347BD"/>
    <w:rsid w:val="00934AB7"/>
    <w:rsid w:val="00934B13"/>
    <w:rsid w:val="00934BC9"/>
    <w:rsid w:val="00934C2B"/>
    <w:rsid w:val="009352CB"/>
    <w:rsid w:val="009354C0"/>
    <w:rsid w:val="00935644"/>
    <w:rsid w:val="009365DF"/>
    <w:rsid w:val="00936603"/>
    <w:rsid w:val="00937437"/>
    <w:rsid w:val="00937A69"/>
    <w:rsid w:val="00937E8E"/>
    <w:rsid w:val="009405B3"/>
    <w:rsid w:val="00940824"/>
    <w:rsid w:val="00940C26"/>
    <w:rsid w:val="00940CC2"/>
    <w:rsid w:val="00940E0A"/>
    <w:rsid w:val="0094177B"/>
    <w:rsid w:val="009424BB"/>
    <w:rsid w:val="00942910"/>
    <w:rsid w:val="009429C2"/>
    <w:rsid w:val="00942B7F"/>
    <w:rsid w:val="00942B82"/>
    <w:rsid w:val="00943B1A"/>
    <w:rsid w:val="00943B89"/>
    <w:rsid w:val="00943DCC"/>
    <w:rsid w:val="00943EC0"/>
    <w:rsid w:val="0094416B"/>
    <w:rsid w:val="00944609"/>
    <w:rsid w:val="009452F1"/>
    <w:rsid w:val="0094568D"/>
    <w:rsid w:val="0094570C"/>
    <w:rsid w:val="00945B6E"/>
    <w:rsid w:val="0094622F"/>
    <w:rsid w:val="009463ED"/>
    <w:rsid w:val="009463FE"/>
    <w:rsid w:val="00946B47"/>
    <w:rsid w:val="00946C13"/>
    <w:rsid w:val="00946C23"/>
    <w:rsid w:val="00947C04"/>
    <w:rsid w:val="009500A8"/>
    <w:rsid w:val="00950297"/>
    <w:rsid w:val="00950E27"/>
    <w:rsid w:val="0095168C"/>
    <w:rsid w:val="00951909"/>
    <w:rsid w:val="009523CE"/>
    <w:rsid w:val="00952699"/>
    <w:rsid w:val="00952D10"/>
    <w:rsid w:val="00952D87"/>
    <w:rsid w:val="009530DF"/>
    <w:rsid w:val="00953380"/>
    <w:rsid w:val="0095340F"/>
    <w:rsid w:val="00953477"/>
    <w:rsid w:val="00953878"/>
    <w:rsid w:val="0095485A"/>
    <w:rsid w:val="00954C58"/>
    <w:rsid w:val="00954CE5"/>
    <w:rsid w:val="00955036"/>
    <w:rsid w:val="0095561D"/>
    <w:rsid w:val="00955C8B"/>
    <w:rsid w:val="00956149"/>
    <w:rsid w:val="00956362"/>
    <w:rsid w:val="00956533"/>
    <w:rsid w:val="009568C7"/>
    <w:rsid w:val="00957412"/>
    <w:rsid w:val="00957C20"/>
    <w:rsid w:val="00957FA2"/>
    <w:rsid w:val="009603DF"/>
    <w:rsid w:val="009604C9"/>
    <w:rsid w:val="00960F45"/>
    <w:rsid w:val="009612D6"/>
    <w:rsid w:val="0096155A"/>
    <w:rsid w:val="00961641"/>
    <w:rsid w:val="0096278C"/>
    <w:rsid w:val="009628E0"/>
    <w:rsid w:val="00962E7A"/>
    <w:rsid w:val="00963013"/>
    <w:rsid w:val="009639CA"/>
    <w:rsid w:val="00964230"/>
    <w:rsid w:val="00964F95"/>
    <w:rsid w:val="0096508F"/>
    <w:rsid w:val="0096539C"/>
    <w:rsid w:val="009655F9"/>
    <w:rsid w:val="00965B40"/>
    <w:rsid w:val="009661D7"/>
    <w:rsid w:val="00966232"/>
    <w:rsid w:val="009666EB"/>
    <w:rsid w:val="0096724A"/>
    <w:rsid w:val="00967A38"/>
    <w:rsid w:val="00967B65"/>
    <w:rsid w:val="00970218"/>
    <w:rsid w:val="00970338"/>
    <w:rsid w:val="009704FC"/>
    <w:rsid w:val="00971ABC"/>
    <w:rsid w:val="00971E06"/>
    <w:rsid w:val="0097217B"/>
    <w:rsid w:val="00972975"/>
    <w:rsid w:val="0097320A"/>
    <w:rsid w:val="00973342"/>
    <w:rsid w:val="00973A98"/>
    <w:rsid w:val="00973BAC"/>
    <w:rsid w:val="00973E23"/>
    <w:rsid w:val="00975794"/>
    <w:rsid w:val="00975867"/>
    <w:rsid w:val="00975875"/>
    <w:rsid w:val="0097590D"/>
    <w:rsid w:val="00975B3D"/>
    <w:rsid w:val="00975C92"/>
    <w:rsid w:val="00975F0E"/>
    <w:rsid w:val="00975F92"/>
    <w:rsid w:val="0097606D"/>
    <w:rsid w:val="00976074"/>
    <w:rsid w:val="009760E5"/>
    <w:rsid w:val="0097619E"/>
    <w:rsid w:val="0097621D"/>
    <w:rsid w:val="009766E6"/>
    <w:rsid w:val="00976BCE"/>
    <w:rsid w:val="00977777"/>
    <w:rsid w:val="00977944"/>
    <w:rsid w:val="00980735"/>
    <w:rsid w:val="009807A2"/>
    <w:rsid w:val="00980B18"/>
    <w:rsid w:val="00980F4B"/>
    <w:rsid w:val="00981127"/>
    <w:rsid w:val="0098130B"/>
    <w:rsid w:val="00981559"/>
    <w:rsid w:val="009817C3"/>
    <w:rsid w:val="00981ABD"/>
    <w:rsid w:val="00981B71"/>
    <w:rsid w:val="00982108"/>
    <w:rsid w:val="009826F0"/>
    <w:rsid w:val="00982D98"/>
    <w:rsid w:val="00982E4C"/>
    <w:rsid w:val="00982F4D"/>
    <w:rsid w:val="0098362E"/>
    <w:rsid w:val="00983B59"/>
    <w:rsid w:val="00983C82"/>
    <w:rsid w:val="00983D7D"/>
    <w:rsid w:val="009840FA"/>
    <w:rsid w:val="00984B15"/>
    <w:rsid w:val="00984B74"/>
    <w:rsid w:val="009853BA"/>
    <w:rsid w:val="009854BF"/>
    <w:rsid w:val="00985B71"/>
    <w:rsid w:val="00985C8D"/>
    <w:rsid w:val="009862AD"/>
    <w:rsid w:val="0098660E"/>
    <w:rsid w:val="00986671"/>
    <w:rsid w:val="00986FEB"/>
    <w:rsid w:val="009873C3"/>
    <w:rsid w:val="00987CA1"/>
    <w:rsid w:val="00987CA7"/>
    <w:rsid w:val="00987D96"/>
    <w:rsid w:val="009906C2"/>
    <w:rsid w:val="009906F3"/>
    <w:rsid w:val="00990867"/>
    <w:rsid w:val="00990CD7"/>
    <w:rsid w:val="009919FD"/>
    <w:rsid w:val="00991A81"/>
    <w:rsid w:val="00991C22"/>
    <w:rsid w:val="00991F00"/>
    <w:rsid w:val="009920D1"/>
    <w:rsid w:val="009921A9"/>
    <w:rsid w:val="0099287A"/>
    <w:rsid w:val="009928D0"/>
    <w:rsid w:val="00992DE3"/>
    <w:rsid w:val="0099397C"/>
    <w:rsid w:val="009939AF"/>
    <w:rsid w:val="00993CA2"/>
    <w:rsid w:val="00995449"/>
    <w:rsid w:val="00995917"/>
    <w:rsid w:val="00995E47"/>
    <w:rsid w:val="00995EF2"/>
    <w:rsid w:val="00996104"/>
    <w:rsid w:val="00996554"/>
    <w:rsid w:val="00996D0D"/>
    <w:rsid w:val="00996EC0"/>
    <w:rsid w:val="00997489"/>
    <w:rsid w:val="00997841"/>
    <w:rsid w:val="00997F84"/>
    <w:rsid w:val="009A0524"/>
    <w:rsid w:val="009A07ED"/>
    <w:rsid w:val="009A088F"/>
    <w:rsid w:val="009A0A62"/>
    <w:rsid w:val="009A1493"/>
    <w:rsid w:val="009A1525"/>
    <w:rsid w:val="009A157A"/>
    <w:rsid w:val="009A2991"/>
    <w:rsid w:val="009A38CE"/>
    <w:rsid w:val="009A3F0D"/>
    <w:rsid w:val="009A4762"/>
    <w:rsid w:val="009A494A"/>
    <w:rsid w:val="009A4A8A"/>
    <w:rsid w:val="009A4F36"/>
    <w:rsid w:val="009A61C0"/>
    <w:rsid w:val="009A61FD"/>
    <w:rsid w:val="009A6A03"/>
    <w:rsid w:val="009A6B42"/>
    <w:rsid w:val="009A7080"/>
    <w:rsid w:val="009A76AE"/>
    <w:rsid w:val="009A7C81"/>
    <w:rsid w:val="009B1117"/>
    <w:rsid w:val="009B1C2D"/>
    <w:rsid w:val="009B1F43"/>
    <w:rsid w:val="009B2944"/>
    <w:rsid w:val="009B3296"/>
    <w:rsid w:val="009B3420"/>
    <w:rsid w:val="009B39D5"/>
    <w:rsid w:val="009B3B6A"/>
    <w:rsid w:val="009B3C15"/>
    <w:rsid w:val="009B4304"/>
    <w:rsid w:val="009B4696"/>
    <w:rsid w:val="009B4D50"/>
    <w:rsid w:val="009B5915"/>
    <w:rsid w:val="009B5A42"/>
    <w:rsid w:val="009B5B92"/>
    <w:rsid w:val="009B5E6C"/>
    <w:rsid w:val="009B6676"/>
    <w:rsid w:val="009B6B5B"/>
    <w:rsid w:val="009B6BEB"/>
    <w:rsid w:val="009B6BFB"/>
    <w:rsid w:val="009B6C53"/>
    <w:rsid w:val="009B7C68"/>
    <w:rsid w:val="009C01EE"/>
    <w:rsid w:val="009C051A"/>
    <w:rsid w:val="009C0880"/>
    <w:rsid w:val="009C0975"/>
    <w:rsid w:val="009C09A3"/>
    <w:rsid w:val="009C09FC"/>
    <w:rsid w:val="009C0D1A"/>
    <w:rsid w:val="009C1E1C"/>
    <w:rsid w:val="009C20F7"/>
    <w:rsid w:val="009C22DE"/>
    <w:rsid w:val="009C2D1B"/>
    <w:rsid w:val="009C3871"/>
    <w:rsid w:val="009C399F"/>
    <w:rsid w:val="009C3FC6"/>
    <w:rsid w:val="009C51CE"/>
    <w:rsid w:val="009C66A3"/>
    <w:rsid w:val="009C6EE3"/>
    <w:rsid w:val="009C711F"/>
    <w:rsid w:val="009C7666"/>
    <w:rsid w:val="009D03D3"/>
    <w:rsid w:val="009D04D5"/>
    <w:rsid w:val="009D0536"/>
    <w:rsid w:val="009D055F"/>
    <w:rsid w:val="009D0888"/>
    <w:rsid w:val="009D0C61"/>
    <w:rsid w:val="009D156A"/>
    <w:rsid w:val="009D16C7"/>
    <w:rsid w:val="009D1DC1"/>
    <w:rsid w:val="009D20C0"/>
    <w:rsid w:val="009D2353"/>
    <w:rsid w:val="009D2D71"/>
    <w:rsid w:val="009D302E"/>
    <w:rsid w:val="009D31BE"/>
    <w:rsid w:val="009D36A2"/>
    <w:rsid w:val="009D3D15"/>
    <w:rsid w:val="009D3EBC"/>
    <w:rsid w:val="009D4A27"/>
    <w:rsid w:val="009D5130"/>
    <w:rsid w:val="009D522D"/>
    <w:rsid w:val="009D5594"/>
    <w:rsid w:val="009D57FA"/>
    <w:rsid w:val="009D6397"/>
    <w:rsid w:val="009D66B3"/>
    <w:rsid w:val="009D6C31"/>
    <w:rsid w:val="009D6D12"/>
    <w:rsid w:val="009D6F5F"/>
    <w:rsid w:val="009D718C"/>
    <w:rsid w:val="009D7656"/>
    <w:rsid w:val="009D7D18"/>
    <w:rsid w:val="009E0350"/>
    <w:rsid w:val="009E06B6"/>
    <w:rsid w:val="009E09C3"/>
    <w:rsid w:val="009E148E"/>
    <w:rsid w:val="009E1860"/>
    <w:rsid w:val="009E18FC"/>
    <w:rsid w:val="009E1CB3"/>
    <w:rsid w:val="009E1CFB"/>
    <w:rsid w:val="009E26F1"/>
    <w:rsid w:val="009E28D0"/>
    <w:rsid w:val="009E2BC1"/>
    <w:rsid w:val="009E312D"/>
    <w:rsid w:val="009E34DD"/>
    <w:rsid w:val="009E35F9"/>
    <w:rsid w:val="009E41E1"/>
    <w:rsid w:val="009E459A"/>
    <w:rsid w:val="009E47A7"/>
    <w:rsid w:val="009E4F74"/>
    <w:rsid w:val="009E51AA"/>
    <w:rsid w:val="009E51C9"/>
    <w:rsid w:val="009E5715"/>
    <w:rsid w:val="009E5E02"/>
    <w:rsid w:val="009E6894"/>
    <w:rsid w:val="009E68C3"/>
    <w:rsid w:val="009E6B06"/>
    <w:rsid w:val="009E6B7D"/>
    <w:rsid w:val="009E6D9B"/>
    <w:rsid w:val="009E6F6B"/>
    <w:rsid w:val="009E71C8"/>
    <w:rsid w:val="009E7243"/>
    <w:rsid w:val="009E75E4"/>
    <w:rsid w:val="009E77FE"/>
    <w:rsid w:val="009E7938"/>
    <w:rsid w:val="009F1117"/>
    <w:rsid w:val="009F114C"/>
    <w:rsid w:val="009F13CC"/>
    <w:rsid w:val="009F1BDE"/>
    <w:rsid w:val="009F22A3"/>
    <w:rsid w:val="009F2455"/>
    <w:rsid w:val="009F2A29"/>
    <w:rsid w:val="009F2C1C"/>
    <w:rsid w:val="009F3372"/>
    <w:rsid w:val="009F3F64"/>
    <w:rsid w:val="009F4D13"/>
    <w:rsid w:val="009F4E52"/>
    <w:rsid w:val="009F4F0B"/>
    <w:rsid w:val="009F532E"/>
    <w:rsid w:val="009F5854"/>
    <w:rsid w:val="009F58FE"/>
    <w:rsid w:val="009F67AB"/>
    <w:rsid w:val="009F70DB"/>
    <w:rsid w:val="009F7897"/>
    <w:rsid w:val="009F7938"/>
    <w:rsid w:val="00A00271"/>
    <w:rsid w:val="00A0055D"/>
    <w:rsid w:val="00A01339"/>
    <w:rsid w:val="00A01EEF"/>
    <w:rsid w:val="00A01F06"/>
    <w:rsid w:val="00A02031"/>
    <w:rsid w:val="00A0216D"/>
    <w:rsid w:val="00A02ABF"/>
    <w:rsid w:val="00A02F20"/>
    <w:rsid w:val="00A038DE"/>
    <w:rsid w:val="00A03B4C"/>
    <w:rsid w:val="00A03E33"/>
    <w:rsid w:val="00A040AC"/>
    <w:rsid w:val="00A041D1"/>
    <w:rsid w:val="00A043A7"/>
    <w:rsid w:val="00A04796"/>
    <w:rsid w:val="00A0497A"/>
    <w:rsid w:val="00A04C84"/>
    <w:rsid w:val="00A04EE1"/>
    <w:rsid w:val="00A05621"/>
    <w:rsid w:val="00A060AF"/>
    <w:rsid w:val="00A0690F"/>
    <w:rsid w:val="00A0709D"/>
    <w:rsid w:val="00A071CF"/>
    <w:rsid w:val="00A07CEF"/>
    <w:rsid w:val="00A110C4"/>
    <w:rsid w:val="00A12889"/>
    <w:rsid w:val="00A12BE5"/>
    <w:rsid w:val="00A12CE2"/>
    <w:rsid w:val="00A12E23"/>
    <w:rsid w:val="00A12EEB"/>
    <w:rsid w:val="00A12FC7"/>
    <w:rsid w:val="00A13068"/>
    <w:rsid w:val="00A140F5"/>
    <w:rsid w:val="00A14C2D"/>
    <w:rsid w:val="00A15100"/>
    <w:rsid w:val="00A152E9"/>
    <w:rsid w:val="00A1570F"/>
    <w:rsid w:val="00A1582B"/>
    <w:rsid w:val="00A15A7D"/>
    <w:rsid w:val="00A15D07"/>
    <w:rsid w:val="00A163ED"/>
    <w:rsid w:val="00A16456"/>
    <w:rsid w:val="00A169BC"/>
    <w:rsid w:val="00A16E12"/>
    <w:rsid w:val="00A16E98"/>
    <w:rsid w:val="00A16F83"/>
    <w:rsid w:val="00A16FB7"/>
    <w:rsid w:val="00A1730D"/>
    <w:rsid w:val="00A17DB9"/>
    <w:rsid w:val="00A2055F"/>
    <w:rsid w:val="00A20BFE"/>
    <w:rsid w:val="00A20F1A"/>
    <w:rsid w:val="00A211CA"/>
    <w:rsid w:val="00A2140F"/>
    <w:rsid w:val="00A214AE"/>
    <w:rsid w:val="00A2190C"/>
    <w:rsid w:val="00A21C2A"/>
    <w:rsid w:val="00A22F95"/>
    <w:rsid w:val="00A231E0"/>
    <w:rsid w:val="00A2325A"/>
    <w:rsid w:val="00A232D9"/>
    <w:rsid w:val="00A2361F"/>
    <w:rsid w:val="00A23871"/>
    <w:rsid w:val="00A23F1E"/>
    <w:rsid w:val="00A2410E"/>
    <w:rsid w:val="00A241F0"/>
    <w:rsid w:val="00A2426C"/>
    <w:rsid w:val="00A24968"/>
    <w:rsid w:val="00A25D29"/>
    <w:rsid w:val="00A25FBE"/>
    <w:rsid w:val="00A26A19"/>
    <w:rsid w:val="00A26A40"/>
    <w:rsid w:val="00A271DC"/>
    <w:rsid w:val="00A27624"/>
    <w:rsid w:val="00A27650"/>
    <w:rsid w:val="00A30194"/>
    <w:rsid w:val="00A30B8A"/>
    <w:rsid w:val="00A30D55"/>
    <w:rsid w:val="00A30E53"/>
    <w:rsid w:val="00A315FA"/>
    <w:rsid w:val="00A32C9B"/>
    <w:rsid w:val="00A32E93"/>
    <w:rsid w:val="00A335C0"/>
    <w:rsid w:val="00A34061"/>
    <w:rsid w:val="00A3442F"/>
    <w:rsid w:val="00A344DD"/>
    <w:rsid w:val="00A34563"/>
    <w:rsid w:val="00A34AED"/>
    <w:rsid w:val="00A350E7"/>
    <w:rsid w:val="00A3532C"/>
    <w:rsid w:val="00A354B3"/>
    <w:rsid w:val="00A35A77"/>
    <w:rsid w:val="00A35AC6"/>
    <w:rsid w:val="00A35AFA"/>
    <w:rsid w:val="00A35DE9"/>
    <w:rsid w:val="00A36264"/>
    <w:rsid w:val="00A363FC"/>
    <w:rsid w:val="00A372AC"/>
    <w:rsid w:val="00A40477"/>
    <w:rsid w:val="00A40ACC"/>
    <w:rsid w:val="00A40FDA"/>
    <w:rsid w:val="00A4118A"/>
    <w:rsid w:val="00A41B43"/>
    <w:rsid w:val="00A41B50"/>
    <w:rsid w:val="00A41C20"/>
    <w:rsid w:val="00A41F9A"/>
    <w:rsid w:val="00A426F2"/>
    <w:rsid w:val="00A42B1C"/>
    <w:rsid w:val="00A43180"/>
    <w:rsid w:val="00A434D5"/>
    <w:rsid w:val="00A43743"/>
    <w:rsid w:val="00A43A33"/>
    <w:rsid w:val="00A442FC"/>
    <w:rsid w:val="00A44748"/>
    <w:rsid w:val="00A447DE"/>
    <w:rsid w:val="00A467E3"/>
    <w:rsid w:val="00A47048"/>
    <w:rsid w:val="00A4775C"/>
    <w:rsid w:val="00A478D0"/>
    <w:rsid w:val="00A47ACC"/>
    <w:rsid w:val="00A510FB"/>
    <w:rsid w:val="00A51E8E"/>
    <w:rsid w:val="00A51EA0"/>
    <w:rsid w:val="00A52CA8"/>
    <w:rsid w:val="00A52E77"/>
    <w:rsid w:val="00A53092"/>
    <w:rsid w:val="00A540D0"/>
    <w:rsid w:val="00A5483F"/>
    <w:rsid w:val="00A5485D"/>
    <w:rsid w:val="00A54E12"/>
    <w:rsid w:val="00A54E78"/>
    <w:rsid w:val="00A55539"/>
    <w:rsid w:val="00A555B0"/>
    <w:rsid w:val="00A556AF"/>
    <w:rsid w:val="00A5581D"/>
    <w:rsid w:val="00A558C4"/>
    <w:rsid w:val="00A559E2"/>
    <w:rsid w:val="00A55A26"/>
    <w:rsid w:val="00A55D7D"/>
    <w:rsid w:val="00A56091"/>
    <w:rsid w:val="00A56DDE"/>
    <w:rsid w:val="00A56DF1"/>
    <w:rsid w:val="00A57C99"/>
    <w:rsid w:val="00A57DAC"/>
    <w:rsid w:val="00A60F5C"/>
    <w:rsid w:val="00A616D6"/>
    <w:rsid w:val="00A61954"/>
    <w:rsid w:val="00A6231D"/>
    <w:rsid w:val="00A62C88"/>
    <w:rsid w:val="00A62FA6"/>
    <w:rsid w:val="00A63E81"/>
    <w:rsid w:val="00A64622"/>
    <w:rsid w:val="00A64656"/>
    <w:rsid w:val="00A6473B"/>
    <w:rsid w:val="00A64FB5"/>
    <w:rsid w:val="00A65400"/>
    <w:rsid w:val="00A655A4"/>
    <w:rsid w:val="00A65845"/>
    <w:rsid w:val="00A65DBD"/>
    <w:rsid w:val="00A66870"/>
    <w:rsid w:val="00A6696C"/>
    <w:rsid w:val="00A67873"/>
    <w:rsid w:val="00A679A0"/>
    <w:rsid w:val="00A67B2F"/>
    <w:rsid w:val="00A70285"/>
    <w:rsid w:val="00A70793"/>
    <w:rsid w:val="00A707DF"/>
    <w:rsid w:val="00A70C46"/>
    <w:rsid w:val="00A71D93"/>
    <w:rsid w:val="00A729E9"/>
    <w:rsid w:val="00A72AB8"/>
    <w:rsid w:val="00A72D66"/>
    <w:rsid w:val="00A73015"/>
    <w:rsid w:val="00A733B0"/>
    <w:rsid w:val="00A73486"/>
    <w:rsid w:val="00A73844"/>
    <w:rsid w:val="00A73EF3"/>
    <w:rsid w:val="00A74D92"/>
    <w:rsid w:val="00A75F0A"/>
    <w:rsid w:val="00A77376"/>
    <w:rsid w:val="00A777D6"/>
    <w:rsid w:val="00A77DF3"/>
    <w:rsid w:val="00A77E73"/>
    <w:rsid w:val="00A77EB4"/>
    <w:rsid w:val="00A80436"/>
    <w:rsid w:val="00A80D41"/>
    <w:rsid w:val="00A80DB2"/>
    <w:rsid w:val="00A814F6"/>
    <w:rsid w:val="00A81E6D"/>
    <w:rsid w:val="00A81F8B"/>
    <w:rsid w:val="00A8237C"/>
    <w:rsid w:val="00A830E0"/>
    <w:rsid w:val="00A83A5A"/>
    <w:rsid w:val="00A83DEB"/>
    <w:rsid w:val="00A83EDE"/>
    <w:rsid w:val="00A84072"/>
    <w:rsid w:val="00A84181"/>
    <w:rsid w:val="00A85026"/>
    <w:rsid w:val="00A851EC"/>
    <w:rsid w:val="00A85747"/>
    <w:rsid w:val="00A8588B"/>
    <w:rsid w:val="00A859C4"/>
    <w:rsid w:val="00A85FC2"/>
    <w:rsid w:val="00A868AD"/>
    <w:rsid w:val="00A86D43"/>
    <w:rsid w:val="00A86E2D"/>
    <w:rsid w:val="00A86EED"/>
    <w:rsid w:val="00A87BF0"/>
    <w:rsid w:val="00A90369"/>
    <w:rsid w:val="00A90781"/>
    <w:rsid w:val="00A908D5"/>
    <w:rsid w:val="00A90AC7"/>
    <w:rsid w:val="00A90B3E"/>
    <w:rsid w:val="00A90E1B"/>
    <w:rsid w:val="00A914A7"/>
    <w:rsid w:val="00A91D27"/>
    <w:rsid w:val="00A920BA"/>
    <w:rsid w:val="00A926B9"/>
    <w:rsid w:val="00A92A92"/>
    <w:rsid w:val="00A92B58"/>
    <w:rsid w:val="00A92FA4"/>
    <w:rsid w:val="00A939E2"/>
    <w:rsid w:val="00A93A56"/>
    <w:rsid w:val="00A93CE9"/>
    <w:rsid w:val="00A94758"/>
    <w:rsid w:val="00A967D4"/>
    <w:rsid w:val="00A96C59"/>
    <w:rsid w:val="00A96DBE"/>
    <w:rsid w:val="00A96EEB"/>
    <w:rsid w:val="00A97193"/>
    <w:rsid w:val="00A97761"/>
    <w:rsid w:val="00A977A3"/>
    <w:rsid w:val="00A97F2D"/>
    <w:rsid w:val="00AA06BC"/>
    <w:rsid w:val="00AA0973"/>
    <w:rsid w:val="00AA0C01"/>
    <w:rsid w:val="00AA0D43"/>
    <w:rsid w:val="00AA119F"/>
    <w:rsid w:val="00AA11F4"/>
    <w:rsid w:val="00AA14D2"/>
    <w:rsid w:val="00AA16DB"/>
    <w:rsid w:val="00AA1707"/>
    <w:rsid w:val="00AA1F2E"/>
    <w:rsid w:val="00AA2429"/>
    <w:rsid w:val="00AA3293"/>
    <w:rsid w:val="00AA3526"/>
    <w:rsid w:val="00AA4179"/>
    <w:rsid w:val="00AA4712"/>
    <w:rsid w:val="00AA4741"/>
    <w:rsid w:val="00AA48AF"/>
    <w:rsid w:val="00AA5300"/>
    <w:rsid w:val="00AA536B"/>
    <w:rsid w:val="00AA5A21"/>
    <w:rsid w:val="00AA5F4F"/>
    <w:rsid w:val="00AA60AC"/>
    <w:rsid w:val="00AA64F4"/>
    <w:rsid w:val="00AA664C"/>
    <w:rsid w:val="00AA6CE5"/>
    <w:rsid w:val="00AA79F8"/>
    <w:rsid w:val="00AA7D4B"/>
    <w:rsid w:val="00AB0E32"/>
    <w:rsid w:val="00AB10CC"/>
    <w:rsid w:val="00AB1BD6"/>
    <w:rsid w:val="00AB290D"/>
    <w:rsid w:val="00AB31ED"/>
    <w:rsid w:val="00AB33F5"/>
    <w:rsid w:val="00AB34EF"/>
    <w:rsid w:val="00AB34F8"/>
    <w:rsid w:val="00AB4472"/>
    <w:rsid w:val="00AB472D"/>
    <w:rsid w:val="00AB4BC4"/>
    <w:rsid w:val="00AB4F39"/>
    <w:rsid w:val="00AB5506"/>
    <w:rsid w:val="00AB5992"/>
    <w:rsid w:val="00AB6721"/>
    <w:rsid w:val="00AB67BC"/>
    <w:rsid w:val="00AB6D17"/>
    <w:rsid w:val="00AB7539"/>
    <w:rsid w:val="00AB79C2"/>
    <w:rsid w:val="00AC0891"/>
    <w:rsid w:val="00AC0A9A"/>
    <w:rsid w:val="00AC0E2E"/>
    <w:rsid w:val="00AC17D8"/>
    <w:rsid w:val="00AC1914"/>
    <w:rsid w:val="00AC1955"/>
    <w:rsid w:val="00AC214B"/>
    <w:rsid w:val="00AC2236"/>
    <w:rsid w:val="00AC24B9"/>
    <w:rsid w:val="00AC278E"/>
    <w:rsid w:val="00AC37C5"/>
    <w:rsid w:val="00AC39E3"/>
    <w:rsid w:val="00AC3C03"/>
    <w:rsid w:val="00AC4591"/>
    <w:rsid w:val="00AC476C"/>
    <w:rsid w:val="00AC4C7E"/>
    <w:rsid w:val="00AC4DCD"/>
    <w:rsid w:val="00AC52C2"/>
    <w:rsid w:val="00AC56FA"/>
    <w:rsid w:val="00AC6216"/>
    <w:rsid w:val="00AC637B"/>
    <w:rsid w:val="00AC6B98"/>
    <w:rsid w:val="00AC6CE2"/>
    <w:rsid w:val="00AC6E26"/>
    <w:rsid w:val="00AC71BB"/>
    <w:rsid w:val="00AC730B"/>
    <w:rsid w:val="00AC759A"/>
    <w:rsid w:val="00AC775C"/>
    <w:rsid w:val="00AC79A2"/>
    <w:rsid w:val="00AC7E38"/>
    <w:rsid w:val="00AD026A"/>
    <w:rsid w:val="00AD0492"/>
    <w:rsid w:val="00AD0906"/>
    <w:rsid w:val="00AD19BF"/>
    <w:rsid w:val="00AD1C90"/>
    <w:rsid w:val="00AD2765"/>
    <w:rsid w:val="00AD28C1"/>
    <w:rsid w:val="00AD2F43"/>
    <w:rsid w:val="00AD30BB"/>
    <w:rsid w:val="00AD336E"/>
    <w:rsid w:val="00AD40CD"/>
    <w:rsid w:val="00AD4292"/>
    <w:rsid w:val="00AD43B3"/>
    <w:rsid w:val="00AD4BFF"/>
    <w:rsid w:val="00AD54BA"/>
    <w:rsid w:val="00AD5F04"/>
    <w:rsid w:val="00AD5FE0"/>
    <w:rsid w:val="00AD618C"/>
    <w:rsid w:val="00AD637C"/>
    <w:rsid w:val="00AD6555"/>
    <w:rsid w:val="00AD6CB6"/>
    <w:rsid w:val="00AD6CEA"/>
    <w:rsid w:val="00AD757D"/>
    <w:rsid w:val="00AD77EB"/>
    <w:rsid w:val="00AD796A"/>
    <w:rsid w:val="00AE058A"/>
    <w:rsid w:val="00AE0AB0"/>
    <w:rsid w:val="00AE0E54"/>
    <w:rsid w:val="00AE129D"/>
    <w:rsid w:val="00AE1A21"/>
    <w:rsid w:val="00AE1EEE"/>
    <w:rsid w:val="00AE26FA"/>
    <w:rsid w:val="00AE28E5"/>
    <w:rsid w:val="00AE335C"/>
    <w:rsid w:val="00AE3CDD"/>
    <w:rsid w:val="00AE3F49"/>
    <w:rsid w:val="00AE4D3F"/>
    <w:rsid w:val="00AE5A20"/>
    <w:rsid w:val="00AE5F83"/>
    <w:rsid w:val="00AE63BB"/>
    <w:rsid w:val="00AE6580"/>
    <w:rsid w:val="00AE65D2"/>
    <w:rsid w:val="00AE673A"/>
    <w:rsid w:val="00AE73BC"/>
    <w:rsid w:val="00AE74DB"/>
    <w:rsid w:val="00AE7946"/>
    <w:rsid w:val="00AE7BE4"/>
    <w:rsid w:val="00AE7D4B"/>
    <w:rsid w:val="00AF0675"/>
    <w:rsid w:val="00AF0810"/>
    <w:rsid w:val="00AF09C9"/>
    <w:rsid w:val="00AF0C3E"/>
    <w:rsid w:val="00AF0DB3"/>
    <w:rsid w:val="00AF0F9E"/>
    <w:rsid w:val="00AF14A6"/>
    <w:rsid w:val="00AF173D"/>
    <w:rsid w:val="00AF17DB"/>
    <w:rsid w:val="00AF18A8"/>
    <w:rsid w:val="00AF1EE7"/>
    <w:rsid w:val="00AF2675"/>
    <w:rsid w:val="00AF2859"/>
    <w:rsid w:val="00AF2AA4"/>
    <w:rsid w:val="00AF318A"/>
    <w:rsid w:val="00AF3356"/>
    <w:rsid w:val="00AF3849"/>
    <w:rsid w:val="00AF3B40"/>
    <w:rsid w:val="00AF40B8"/>
    <w:rsid w:val="00AF4885"/>
    <w:rsid w:val="00AF4C38"/>
    <w:rsid w:val="00AF4EAD"/>
    <w:rsid w:val="00AF519B"/>
    <w:rsid w:val="00AF52E9"/>
    <w:rsid w:val="00AF5307"/>
    <w:rsid w:val="00AF53F1"/>
    <w:rsid w:val="00AF54A9"/>
    <w:rsid w:val="00AF58C9"/>
    <w:rsid w:val="00AF627D"/>
    <w:rsid w:val="00AF636B"/>
    <w:rsid w:val="00AF670B"/>
    <w:rsid w:val="00AF6D79"/>
    <w:rsid w:val="00AF7200"/>
    <w:rsid w:val="00B00EE4"/>
    <w:rsid w:val="00B014DA"/>
    <w:rsid w:val="00B019E1"/>
    <w:rsid w:val="00B01A07"/>
    <w:rsid w:val="00B01D05"/>
    <w:rsid w:val="00B01D10"/>
    <w:rsid w:val="00B02258"/>
    <w:rsid w:val="00B0263C"/>
    <w:rsid w:val="00B03F67"/>
    <w:rsid w:val="00B0527C"/>
    <w:rsid w:val="00B0585D"/>
    <w:rsid w:val="00B0587F"/>
    <w:rsid w:val="00B05982"/>
    <w:rsid w:val="00B06055"/>
    <w:rsid w:val="00B06425"/>
    <w:rsid w:val="00B064A5"/>
    <w:rsid w:val="00B0662D"/>
    <w:rsid w:val="00B066FB"/>
    <w:rsid w:val="00B06810"/>
    <w:rsid w:val="00B06BDF"/>
    <w:rsid w:val="00B07283"/>
    <w:rsid w:val="00B077D4"/>
    <w:rsid w:val="00B07D1B"/>
    <w:rsid w:val="00B07E8D"/>
    <w:rsid w:val="00B1058F"/>
    <w:rsid w:val="00B108E6"/>
    <w:rsid w:val="00B10C74"/>
    <w:rsid w:val="00B10CDE"/>
    <w:rsid w:val="00B10E6B"/>
    <w:rsid w:val="00B11811"/>
    <w:rsid w:val="00B11E80"/>
    <w:rsid w:val="00B11EFB"/>
    <w:rsid w:val="00B1215B"/>
    <w:rsid w:val="00B126C3"/>
    <w:rsid w:val="00B13A8C"/>
    <w:rsid w:val="00B13B9C"/>
    <w:rsid w:val="00B13C2C"/>
    <w:rsid w:val="00B14351"/>
    <w:rsid w:val="00B15775"/>
    <w:rsid w:val="00B15D6C"/>
    <w:rsid w:val="00B15E29"/>
    <w:rsid w:val="00B161EE"/>
    <w:rsid w:val="00B16586"/>
    <w:rsid w:val="00B1674B"/>
    <w:rsid w:val="00B167D1"/>
    <w:rsid w:val="00B1683B"/>
    <w:rsid w:val="00B168C7"/>
    <w:rsid w:val="00B16B95"/>
    <w:rsid w:val="00B16DA4"/>
    <w:rsid w:val="00B16F42"/>
    <w:rsid w:val="00B17363"/>
    <w:rsid w:val="00B1757F"/>
    <w:rsid w:val="00B17807"/>
    <w:rsid w:val="00B17DB8"/>
    <w:rsid w:val="00B20751"/>
    <w:rsid w:val="00B20ED0"/>
    <w:rsid w:val="00B20F02"/>
    <w:rsid w:val="00B21069"/>
    <w:rsid w:val="00B219E7"/>
    <w:rsid w:val="00B21B11"/>
    <w:rsid w:val="00B21B46"/>
    <w:rsid w:val="00B21C41"/>
    <w:rsid w:val="00B21C8F"/>
    <w:rsid w:val="00B21FA2"/>
    <w:rsid w:val="00B22032"/>
    <w:rsid w:val="00B2229B"/>
    <w:rsid w:val="00B2239A"/>
    <w:rsid w:val="00B22405"/>
    <w:rsid w:val="00B23091"/>
    <w:rsid w:val="00B232CD"/>
    <w:rsid w:val="00B24145"/>
    <w:rsid w:val="00B24544"/>
    <w:rsid w:val="00B24765"/>
    <w:rsid w:val="00B2531E"/>
    <w:rsid w:val="00B25328"/>
    <w:rsid w:val="00B25DC7"/>
    <w:rsid w:val="00B26031"/>
    <w:rsid w:val="00B26088"/>
    <w:rsid w:val="00B26476"/>
    <w:rsid w:val="00B26C6D"/>
    <w:rsid w:val="00B278C2"/>
    <w:rsid w:val="00B2DC3F"/>
    <w:rsid w:val="00B3035C"/>
    <w:rsid w:val="00B30B45"/>
    <w:rsid w:val="00B3117A"/>
    <w:rsid w:val="00B31202"/>
    <w:rsid w:val="00B3125A"/>
    <w:rsid w:val="00B3168C"/>
    <w:rsid w:val="00B3184A"/>
    <w:rsid w:val="00B31BB9"/>
    <w:rsid w:val="00B31D0D"/>
    <w:rsid w:val="00B32319"/>
    <w:rsid w:val="00B32548"/>
    <w:rsid w:val="00B32D55"/>
    <w:rsid w:val="00B3304A"/>
    <w:rsid w:val="00B3316B"/>
    <w:rsid w:val="00B3320F"/>
    <w:rsid w:val="00B334FB"/>
    <w:rsid w:val="00B33A46"/>
    <w:rsid w:val="00B33AD1"/>
    <w:rsid w:val="00B34093"/>
    <w:rsid w:val="00B3424B"/>
    <w:rsid w:val="00B345ED"/>
    <w:rsid w:val="00B34DE8"/>
    <w:rsid w:val="00B351D3"/>
    <w:rsid w:val="00B35542"/>
    <w:rsid w:val="00B35F76"/>
    <w:rsid w:val="00B36657"/>
    <w:rsid w:val="00B366D9"/>
    <w:rsid w:val="00B36C31"/>
    <w:rsid w:val="00B36D40"/>
    <w:rsid w:val="00B36E0F"/>
    <w:rsid w:val="00B36F39"/>
    <w:rsid w:val="00B3701D"/>
    <w:rsid w:val="00B378F3"/>
    <w:rsid w:val="00B37E0C"/>
    <w:rsid w:val="00B40148"/>
    <w:rsid w:val="00B401E9"/>
    <w:rsid w:val="00B401FA"/>
    <w:rsid w:val="00B405DF"/>
    <w:rsid w:val="00B4095B"/>
    <w:rsid w:val="00B40FA3"/>
    <w:rsid w:val="00B410E1"/>
    <w:rsid w:val="00B41906"/>
    <w:rsid w:val="00B41D58"/>
    <w:rsid w:val="00B4223F"/>
    <w:rsid w:val="00B42FC4"/>
    <w:rsid w:val="00B433E2"/>
    <w:rsid w:val="00B4375E"/>
    <w:rsid w:val="00B43BA5"/>
    <w:rsid w:val="00B445F7"/>
    <w:rsid w:val="00B44E9F"/>
    <w:rsid w:val="00B45151"/>
    <w:rsid w:val="00B4566C"/>
    <w:rsid w:val="00B4581C"/>
    <w:rsid w:val="00B45BBF"/>
    <w:rsid w:val="00B45D4E"/>
    <w:rsid w:val="00B466B4"/>
    <w:rsid w:val="00B46815"/>
    <w:rsid w:val="00B470D2"/>
    <w:rsid w:val="00B471EE"/>
    <w:rsid w:val="00B47209"/>
    <w:rsid w:val="00B47646"/>
    <w:rsid w:val="00B47DD5"/>
    <w:rsid w:val="00B47EAA"/>
    <w:rsid w:val="00B50227"/>
    <w:rsid w:val="00B50D8A"/>
    <w:rsid w:val="00B51E3B"/>
    <w:rsid w:val="00B52DF4"/>
    <w:rsid w:val="00B5370F"/>
    <w:rsid w:val="00B53E34"/>
    <w:rsid w:val="00B5434F"/>
    <w:rsid w:val="00B54A9F"/>
    <w:rsid w:val="00B54EC7"/>
    <w:rsid w:val="00B551B7"/>
    <w:rsid w:val="00B55786"/>
    <w:rsid w:val="00B558E9"/>
    <w:rsid w:val="00B55B69"/>
    <w:rsid w:val="00B55E56"/>
    <w:rsid w:val="00B56326"/>
    <w:rsid w:val="00B5634B"/>
    <w:rsid w:val="00B570E4"/>
    <w:rsid w:val="00B5712C"/>
    <w:rsid w:val="00B57AE5"/>
    <w:rsid w:val="00B60DDC"/>
    <w:rsid w:val="00B6128E"/>
    <w:rsid w:val="00B61AF6"/>
    <w:rsid w:val="00B61DEA"/>
    <w:rsid w:val="00B62058"/>
    <w:rsid w:val="00B62074"/>
    <w:rsid w:val="00B62413"/>
    <w:rsid w:val="00B627DD"/>
    <w:rsid w:val="00B631AC"/>
    <w:rsid w:val="00B6328B"/>
    <w:rsid w:val="00B635E1"/>
    <w:rsid w:val="00B63A04"/>
    <w:rsid w:val="00B63DC6"/>
    <w:rsid w:val="00B64573"/>
    <w:rsid w:val="00B64658"/>
    <w:rsid w:val="00B64691"/>
    <w:rsid w:val="00B64AA7"/>
    <w:rsid w:val="00B64BDC"/>
    <w:rsid w:val="00B662BE"/>
    <w:rsid w:val="00B6651C"/>
    <w:rsid w:val="00B66C8E"/>
    <w:rsid w:val="00B67087"/>
    <w:rsid w:val="00B67151"/>
    <w:rsid w:val="00B679E0"/>
    <w:rsid w:val="00B7024C"/>
    <w:rsid w:val="00B70326"/>
    <w:rsid w:val="00B705C9"/>
    <w:rsid w:val="00B70DF6"/>
    <w:rsid w:val="00B7185C"/>
    <w:rsid w:val="00B719B3"/>
    <w:rsid w:val="00B71DC3"/>
    <w:rsid w:val="00B71F25"/>
    <w:rsid w:val="00B720AD"/>
    <w:rsid w:val="00B72274"/>
    <w:rsid w:val="00B7245D"/>
    <w:rsid w:val="00B7264F"/>
    <w:rsid w:val="00B726D9"/>
    <w:rsid w:val="00B744C9"/>
    <w:rsid w:val="00B74C70"/>
    <w:rsid w:val="00B74CDF"/>
    <w:rsid w:val="00B750B3"/>
    <w:rsid w:val="00B751A3"/>
    <w:rsid w:val="00B7575C"/>
    <w:rsid w:val="00B7597A"/>
    <w:rsid w:val="00B75BD7"/>
    <w:rsid w:val="00B75D51"/>
    <w:rsid w:val="00B76230"/>
    <w:rsid w:val="00B76574"/>
    <w:rsid w:val="00B765D5"/>
    <w:rsid w:val="00B76974"/>
    <w:rsid w:val="00B770CA"/>
    <w:rsid w:val="00B77540"/>
    <w:rsid w:val="00B7767A"/>
    <w:rsid w:val="00B77EFE"/>
    <w:rsid w:val="00B808B5"/>
    <w:rsid w:val="00B811F8"/>
    <w:rsid w:val="00B81757"/>
    <w:rsid w:val="00B81EAD"/>
    <w:rsid w:val="00B820AF"/>
    <w:rsid w:val="00B820D1"/>
    <w:rsid w:val="00B826A2"/>
    <w:rsid w:val="00B8271F"/>
    <w:rsid w:val="00B82E7C"/>
    <w:rsid w:val="00B82FE1"/>
    <w:rsid w:val="00B831AF"/>
    <w:rsid w:val="00B8328E"/>
    <w:rsid w:val="00B836BC"/>
    <w:rsid w:val="00B83B46"/>
    <w:rsid w:val="00B83F39"/>
    <w:rsid w:val="00B84529"/>
    <w:rsid w:val="00B84826"/>
    <w:rsid w:val="00B849E2"/>
    <w:rsid w:val="00B84DC4"/>
    <w:rsid w:val="00B852DE"/>
    <w:rsid w:val="00B859AE"/>
    <w:rsid w:val="00B85C82"/>
    <w:rsid w:val="00B85CA9"/>
    <w:rsid w:val="00B85D83"/>
    <w:rsid w:val="00B86094"/>
    <w:rsid w:val="00B860A8"/>
    <w:rsid w:val="00B8629C"/>
    <w:rsid w:val="00B86992"/>
    <w:rsid w:val="00B86CA5"/>
    <w:rsid w:val="00B86FD3"/>
    <w:rsid w:val="00B87E16"/>
    <w:rsid w:val="00B87FE9"/>
    <w:rsid w:val="00B9005B"/>
    <w:rsid w:val="00B900CD"/>
    <w:rsid w:val="00B90C77"/>
    <w:rsid w:val="00B910CB"/>
    <w:rsid w:val="00B91114"/>
    <w:rsid w:val="00B919E0"/>
    <w:rsid w:val="00B91CBF"/>
    <w:rsid w:val="00B921E1"/>
    <w:rsid w:val="00B921F3"/>
    <w:rsid w:val="00B923AB"/>
    <w:rsid w:val="00B92D06"/>
    <w:rsid w:val="00B92D0F"/>
    <w:rsid w:val="00B939CD"/>
    <w:rsid w:val="00B9410E"/>
    <w:rsid w:val="00B94445"/>
    <w:rsid w:val="00B9472D"/>
    <w:rsid w:val="00B94A66"/>
    <w:rsid w:val="00B95011"/>
    <w:rsid w:val="00B95B33"/>
    <w:rsid w:val="00B95B88"/>
    <w:rsid w:val="00B967E1"/>
    <w:rsid w:val="00B96AA6"/>
    <w:rsid w:val="00B96C73"/>
    <w:rsid w:val="00B9731D"/>
    <w:rsid w:val="00B97A43"/>
    <w:rsid w:val="00B97A48"/>
    <w:rsid w:val="00B97A6E"/>
    <w:rsid w:val="00B97B5A"/>
    <w:rsid w:val="00BA0097"/>
    <w:rsid w:val="00BA04CB"/>
    <w:rsid w:val="00BA05B1"/>
    <w:rsid w:val="00BA1623"/>
    <w:rsid w:val="00BA246B"/>
    <w:rsid w:val="00BA25BE"/>
    <w:rsid w:val="00BA26A1"/>
    <w:rsid w:val="00BA272C"/>
    <w:rsid w:val="00BA27D2"/>
    <w:rsid w:val="00BA2AF2"/>
    <w:rsid w:val="00BA2E65"/>
    <w:rsid w:val="00BA34E9"/>
    <w:rsid w:val="00BA36BF"/>
    <w:rsid w:val="00BA382C"/>
    <w:rsid w:val="00BA38CE"/>
    <w:rsid w:val="00BA4316"/>
    <w:rsid w:val="00BA4EF6"/>
    <w:rsid w:val="00BA5B65"/>
    <w:rsid w:val="00BA64BF"/>
    <w:rsid w:val="00BA6E17"/>
    <w:rsid w:val="00BA7956"/>
    <w:rsid w:val="00BB06AA"/>
    <w:rsid w:val="00BB1684"/>
    <w:rsid w:val="00BB1C9D"/>
    <w:rsid w:val="00BB1E13"/>
    <w:rsid w:val="00BB2C16"/>
    <w:rsid w:val="00BB2EE8"/>
    <w:rsid w:val="00BB31C9"/>
    <w:rsid w:val="00BB37C9"/>
    <w:rsid w:val="00BB3B8E"/>
    <w:rsid w:val="00BB53CE"/>
    <w:rsid w:val="00BB5C88"/>
    <w:rsid w:val="00BB6545"/>
    <w:rsid w:val="00BB68DA"/>
    <w:rsid w:val="00BB6C30"/>
    <w:rsid w:val="00BB74D0"/>
    <w:rsid w:val="00BB7C53"/>
    <w:rsid w:val="00BB7EC3"/>
    <w:rsid w:val="00BB7FE2"/>
    <w:rsid w:val="00BC09B2"/>
    <w:rsid w:val="00BC0EAE"/>
    <w:rsid w:val="00BC161E"/>
    <w:rsid w:val="00BC1E05"/>
    <w:rsid w:val="00BC2027"/>
    <w:rsid w:val="00BC4019"/>
    <w:rsid w:val="00BC401F"/>
    <w:rsid w:val="00BC40E6"/>
    <w:rsid w:val="00BC460F"/>
    <w:rsid w:val="00BC47EF"/>
    <w:rsid w:val="00BC4838"/>
    <w:rsid w:val="00BC4B45"/>
    <w:rsid w:val="00BC4C6F"/>
    <w:rsid w:val="00BC50C6"/>
    <w:rsid w:val="00BC52EF"/>
    <w:rsid w:val="00BC59D7"/>
    <w:rsid w:val="00BC65FB"/>
    <w:rsid w:val="00BC7782"/>
    <w:rsid w:val="00BC78BE"/>
    <w:rsid w:val="00BD0801"/>
    <w:rsid w:val="00BD0AD1"/>
    <w:rsid w:val="00BD12E0"/>
    <w:rsid w:val="00BD22A2"/>
    <w:rsid w:val="00BD2598"/>
    <w:rsid w:val="00BD2FB4"/>
    <w:rsid w:val="00BD3059"/>
    <w:rsid w:val="00BD3693"/>
    <w:rsid w:val="00BD3E54"/>
    <w:rsid w:val="00BD4208"/>
    <w:rsid w:val="00BD4600"/>
    <w:rsid w:val="00BD46B5"/>
    <w:rsid w:val="00BD4925"/>
    <w:rsid w:val="00BD4B34"/>
    <w:rsid w:val="00BD4B57"/>
    <w:rsid w:val="00BD4E49"/>
    <w:rsid w:val="00BD4F43"/>
    <w:rsid w:val="00BD5665"/>
    <w:rsid w:val="00BD56AD"/>
    <w:rsid w:val="00BD6942"/>
    <w:rsid w:val="00BD7082"/>
    <w:rsid w:val="00BD720D"/>
    <w:rsid w:val="00BD753B"/>
    <w:rsid w:val="00BD7BBB"/>
    <w:rsid w:val="00BD7C51"/>
    <w:rsid w:val="00BE08D5"/>
    <w:rsid w:val="00BE0D08"/>
    <w:rsid w:val="00BE10C0"/>
    <w:rsid w:val="00BE1801"/>
    <w:rsid w:val="00BE1B6D"/>
    <w:rsid w:val="00BE29ED"/>
    <w:rsid w:val="00BE2DE4"/>
    <w:rsid w:val="00BE2E9E"/>
    <w:rsid w:val="00BE3450"/>
    <w:rsid w:val="00BE35AB"/>
    <w:rsid w:val="00BE3A91"/>
    <w:rsid w:val="00BE5009"/>
    <w:rsid w:val="00BE50A2"/>
    <w:rsid w:val="00BE5373"/>
    <w:rsid w:val="00BE5794"/>
    <w:rsid w:val="00BE5995"/>
    <w:rsid w:val="00BE5CAC"/>
    <w:rsid w:val="00BE618D"/>
    <w:rsid w:val="00BE61A2"/>
    <w:rsid w:val="00BE630D"/>
    <w:rsid w:val="00BE63F0"/>
    <w:rsid w:val="00BE64BD"/>
    <w:rsid w:val="00BE6B67"/>
    <w:rsid w:val="00BE6D46"/>
    <w:rsid w:val="00BE6D9D"/>
    <w:rsid w:val="00BF0428"/>
    <w:rsid w:val="00BF06CA"/>
    <w:rsid w:val="00BF072F"/>
    <w:rsid w:val="00BF0BD1"/>
    <w:rsid w:val="00BF13A7"/>
    <w:rsid w:val="00BF14A8"/>
    <w:rsid w:val="00BF1705"/>
    <w:rsid w:val="00BF180E"/>
    <w:rsid w:val="00BF1B5F"/>
    <w:rsid w:val="00BF2ADB"/>
    <w:rsid w:val="00BF38A2"/>
    <w:rsid w:val="00BF3C7E"/>
    <w:rsid w:val="00BF3DF0"/>
    <w:rsid w:val="00BF41BA"/>
    <w:rsid w:val="00BF4767"/>
    <w:rsid w:val="00BF4B54"/>
    <w:rsid w:val="00BF5534"/>
    <w:rsid w:val="00BF59B1"/>
    <w:rsid w:val="00BF60AE"/>
    <w:rsid w:val="00BF61EC"/>
    <w:rsid w:val="00BF6206"/>
    <w:rsid w:val="00BF66DC"/>
    <w:rsid w:val="00BF6AEF"/>
    <w:rsid w:val="00BF6EC1"/>
    <w:rsid w:val="00BF6FEA"/>
    <w:rsid w:val="00BF7118"/>
    <w:rsid w:val="00BF77A0"/>
    <w:rsid w:val="00BF7E0B"/>
    <w:rsid w:val="00BF7E0D"/>
    <w:rsid w:val="00C00662"/>
    <w:rsid w:val="00C0070E"/>
    <w:rsid w:val="00C00ACB"/>
    <w:rsid w:val="00C00B96"/>
    <w:rsid w:val="00C01146"/>
    <w:rsid w:val="00C012E0"/>
    <w:rsid w:val="00C01751"/>
    <w:rsid w:val="00C018B6"/>
    <w:rsid w:val="00C01F67"/>
    <w:rsid w:val="00C02050"/>
    <w:rsid w:val="00C020A7"/>
    <w:rsid w:val="00C02862"/>
    <w:rsid w:val="00C03CBC"/>
    <w:rsid w:val="00C043C2"/>
    <w:rsid w:val="00C04C48"/>
    <w:rsid w:val="00C04D1B"/>
    <w:rsid w:val="00C0504D"/>
    <w:rsid w:val="00C051A8"/>
    <w:rsid w:val="00C054EB"/>
    <w:rsid w:val="00C05A56"/>
    <w:rsid w:val="00C05B7B"/>
    <w:rsid w:val="00C05BCD"/>
    <w:rsid w:val="00C05CE0"/>
    <w:rsid w:val="00C05E87"/>
    <w:rsid w:val="00C0600F"/>
    <w:rsid w:val="00C062A4"/>
    <w:rsid w:val="00C063E0"/>
    <w:rsid w:val="00C07423"/>
    <w:rsid w:val="00C07B71"/>
    <w:rsid w:val="00C07D82"/>
    <w:rsid w:val="00C07FBE"/>
    <w:rsid w:val="00C10002"/>
    <w:rsid w:val="00C103FC"/>
    <w:rsid w:val="00C110C9"/>
    <w:rsid w:val="00C112BB"/>
    <w:rsid w:val="00C12B5A"/>
    <w:rsid w:val="00C13308"/>
    <w:rsid w:val="00C13448"/>
    <w:rsid w:val="00C136A2"/>
    <w:rsid w:val="00C13B9A"/>
    <w:rsid w:val="00C13FA0"/>
    <w:rsid w:val="00C144F4"/>
    <w:rsid w:val="00C14B63"/>
    <w:rsid w:val="00C15599"/>
    <w:rsid w:val="00C16315"/>
    <w:rsid w:val="00C16618"/>
    <w:rsid w:val="00C16AF8"/>
    <w:rsid w:val="00C16C8F"/>
    <w:rsid w:val="00C16D2F"/>
    <w:rsid w:val="00C172F0"/>
    <w:rsid w:val="00C176AF"/>
    <w:rsid w:val="00C2001D"/>
    <w:rsid w:val="00C20108"/>
    <w:rsid w:val="00C20226"/>
    <w:rsid w:val="00C202B9"/>
    <w:rsid w:val="00C20B63"/>
    <w:rsid w:val="00C21085"/>
    <w:rsid w:val="00C217A2"/>
    <w:rsid w:val="00C218A3"/>
    <w:rsid w:val="00C21FE7"/>
    <w:rsid w:val="00C22026"/>
    <w:rsid w:val="00C22587"/>
    <w:rsid w:val="00C2372F"/>
    <w:rsid w:val="00C240F2"/>
    <w:rsid w:val="00C241FC"/>
    <w:rsid w:val="00C24248"/>
    <w:rsid w:val="00C244B3"/>
    <w:rsid w:val="00C24FE6"/>
    <w:rsid w:val="00C257D0"/>
    <w:rsid w:val="00C26083"/>
    <w:rsid w:val="00C26399"/>
    <w:rsid w:val="00C26736"/>
    <w:rsid w:val="00C26BD8"/>
    <w:rsid w:val="00C26E00"/>
    <w:rsid w:val="00C27462"/>
    <w:rsid w:val="00C27674"/>
    <w:rsid w:val="00C3006D"/>
    <w:rsid w:val="00C30251"/>
    <w:rsid w:val="00C309D9"/>
    <w:rsid w:val="00C30D41"/>
    <w:rsid w:val="00C30DB5"/>
    <w:rsid w:val="00C31B0A"/>
    <w:rsid w:val="00C320B5"/>
    <w:rsid w:val="00C326EA"/>
    <w:rsid w:val="00C329CA"/>
    <w:rsid w:val="00C32B8C"/>
    <w:rsid w:val="00C32D21"/>
    <w:rsid w:val="00C331EC"/>
    <w:rsid w:val="00C33606"/>
    <w:rsid w:val="00C33CF4"/>
    <w:rsid w:val="00C33FAA"/>
    <w:rsid w:val="00C3420D"/>
    <w:rsid w:val="00C342A7"/>
    <w:rsid w:val="00C34506"/>
    <w:rsid w:val="00C34A01"/>
    <w:rsid w:val="00C35088"/>
    <w:rsid w:val="00C355BA"/>
    <w:rsid w:val="00C357B9"/>
    <w:rsid w:val="00C35E54"/>
    <w:rsid w:val="00C35EB0"/>
    <w:rsid w:val="00C35FC1"/>
    <w:rsid w:val="00C37A79"/>
    <w:rsid w:val="00C40938"/>
    <w:rsid w:val="00C40959"/>
    <w:rsid w:val="00C40B48"/>
    <w:rsid w:val="00C40BC0"/>
    <w:rsid w:val="00C41856"/>
    <w:rsid w:val="00C419C5"/>
    <w:rsid w:val="00C41BBE"/>
    <w:rsid w:val="00C41D10"/>
    <w:rsid w:val="00C41FA7"/>
    <w:rsid w:val="00C42783"/>
    <w:rsid w:val="00C42D05"/>
    <w:rsid w:val="00C43832"/>
    <w:rsid w:val="00C439FD"/>
    <w:rsid w:val="00C43B45"/>
    <w:rsid w:val="00C43C8C"/>
    <w:rsid w:val="00C43D47"/>
    <w:rsid w:val="00C44018"/>
    <w:rsid w:val="00C444AE"/>
    <w:rsid w:val="00C44731"/>
    <w:rsid w:val="00C44859"/>
    <w:rsid w:val="00C44BE9"/>
    <w:rsid w:val="00C45359"/>
    <w:rsid w:val="00C45475"/>
    <w:rsid w:val="00C45608"/>
    <w:rsid w:val="00C459FF"/>
    <w:rsid w:val="00C45C3A"/>
    <w:rsid w:val="00C4617D"/>
    <w:rsid w:val="00C461DE"/>
    <w:rsid w:val="00C462F0"/>
    <w:rsid w:val="00C4682D"/>
    <w:rsid w:val="00C46997"/>
    <w:rsid w:val="00C46D5E"/>
    <w:rsid w:val="00C46EB4"/>
    <w:rsid w:val="00C47273"/>
    <w:rsid w:val="00C474B4"/>
    <w:rsid w:val="00C47D61"/>
    <w:rsid w:val="00C47E12"/>
    <w:rsid w:val="00C50818"/>
    <w:rsid w:val="00C509E1"/>
    <w:rsid w:val="00C50C25"/>
    <w:rsid w:val="00C50C4E"/>
    <w:rsid w:val="00C512AA"/>
    <w:rsid w:val="00C514DA"/>
    <w:rsid w:val="00C5166B"/>
    <w:rsid w:val="00C51684"/>
    <w:rsid w:val="00C51A34"/>
    <w:rsid w:val="00C51A9E"/>
    <w:rsid w:val="00C526C5"/>
    <w:rsid w:val="00C531C2"/>
    <w:rsid w:val="00C53843"/>
    <w:rsid w:val="00C538BD"/>
    <w:rsid w:val="00C538F1"/>
    <w:rsid w:val="00C53CA1"/>
    <w:rsid w:val="00C53F90"/>
    <w:rsid w:val="00C54066"/>
    <w:rsid w:val="00C545E5"/>
    <w:rsid w:val="00C545F8"/>
    <w:rsid w:val="00C54D4E"/>
    <w:rsid w:val="00C54E27"/>
    <w:rsid w:val="00C5575A"/>
    <w:rsid w:val="00C55F57"/>
    <w:rsid w:val="00C5769B"/>
    <w:rsid w:val="00C577F2"/>
    <w:rsid w:val="00C57DF3"/>
    <w:rsid w:val="00C6088A"/>
    <w:rsid w:val="00C608C4"/>
    <w:rsid w:val="00C609AA"/>
    <w:rsid w:val="00C612FC"/>
    <w:rsid w:val="00C6164A"/>
    <w:rsid w:val="00C61B02"/>
    <w:rsid w:val="00C62422"/>
    <w:rsid w:val="00C62942"/>
    <w:rsid w:val="00C62B91"/>
    <w:rsid w:val="00C63398"/>
    <w:rsid w:val="00C639F9"/>
    <w:rsid w:val="00C63B40"/>
    <w:rsid w:val="00C63C89"/>
    <w:rsid w:val="00C642AD"/>
    <w:rsid w:val="00C644A0"/>
    <w:rsid w:val="00C64787"/>
    <w:rsid w:val="00C64C2D"/>
    <w:rsid w:val="00C64E54"/>
    <w:rsid w:val="00C64EB7"/>
    <w:rsid w:val="00C653E0"/>
    <w:rsid w:val="00C6574D"/>
    <w:rsid w:val="00C6585E"/>
    <w:rsid w:val="00C65C8D"/>
    <w:rsid w:val="00C6616A"/>
    <w:rsid w:val="00C67A41"/>
    <w:rsid w:val="00C67B0D"/>
    <w:rsid w:val="00C67CD7"/>
    <w:rsid w:val="00C700AA"/>
    <w:rsid w:val="00C702D4"/>
    <w:rsid w:val="00C706B4"/>
    <w:rsid w:val="00C70CEB"/>
    <w:rsid w:val="00C71114"/>
    <w:rsid w:val="00C71D06"/>
    <w:rsid w:val="00C722EC"/>
    <w:rsid w:val="00C723C4"/>
    <w:rsid w:val="00C7241B"/>
    <w:rsid w:val="00C7338D"/>
    <w:rsid w:val="00C737F2"/>
    <w:rsid w:val="00C740ED"/>
    <w:rsid w:val="00C74150"/>
    <w:rsid w:val="00C742B6"/>
    <w:rsid w:val="00C74EAB"/>
    <w:rsid w:val="00C74F13"/>
    <w:rsid w:val="00C75B71"/>
    <w:rsid w:val="00C76A25"/>
    <w:rsid w:val="00C76A9F"/>
    <w:rsid w:val="00C77159"/>
    <w:rsid w:val="00C77514"/>
    <w:rsid w:val="00C777EB"/>
    <w:rsid w:val="00C77968"/>
    <w:rsid w:val="00C77D64"/>
    <w:rsid w:val="00C80040"/>
    <w:rsid w:val="00C802C2"/>
    <w:rsid w:val="00C8083D"/>
    <w:rsid w:val="00C81180"/>
    <w:rsid w:val="00C812CE"/>
    <w:rsid w:val="00C81409"/>
    <w:rsid w:val="00C815AE"/>
    <w:rsid w:val="00C817DE"/>
    <w:rsid w:val="00C819D5"/>
    <w:rsid w:val="00C81AE9"/>
    <w:rsid w:val="00C81C15"/>
    <w:rsid w:val="00C81E5E"/>
    <w:rsid w:val="00C82043"/>
    <w:rsid w:val="00C826AC"/>
    <w:rsid w:val="00C82C16"/>
    <w:rsid w:val="00C82CF6"/>
    <w:rsid w:val="00C82F7C"/>
    <w:rsid w:val="00C83995"/>
    <w:rsid w:val="00C83A58"/>
    <w:rsid w:val="00C83C4A"/>
    <w:rsid w:val="00C83D44"/>
    <w:rsid w:val="00C83DC3"/>
    <w:rsid w:val="00C83DE3"/>
    <w:rsid w:val="00C83F1E"/>
    <w:rsid w:val="00C846CF"/>
    <w:rsid w:val="00C84E93"/>
    <w:rsid w:val="00C85127"/>
    <w:rsid w:val="00C85758"/>
    <w:rsid w:val="00C85C7F"/>
    <w:rsid w:val="00C86B9D"/>
    <w:rsid w:val="00C87148"/>
    <w:rsid w:val="00C9028A"/>
    <w:rsid w:val="00C90440"/>
    <w:rsid w:val="00C906C8"/>
    <w:rsid w:val="00C908AF"/>
    <w:rsid w:val="00C90988"/>
    <w:rsid w:val="00C90989"/>
    <w:rsid w:val="00C9114B"/>
    <w:rsid w:val="00C916C9"/>
    <w:rsid w:val="00C91D59"/>
    <w:rsid w:val="00C9281C"/>
    <w:rsid w:val="00C929C6"/>
    <w:rsid w:val="00C931FC"/>
    <w:rsid w:val="00C93365"/>
    <w:rsid w:val="00C93BFE"/>
    <w:rsid w:val="00C93CDA"/>
    <w:rsid w:val="00C93D2F"/>
    <w:rsid w:val="00C94550"/>
    <w:rsid w:val="00C94738"/>
    <w:rsid w:val="00C94AB4"/>
    <w:rsid w:val="00C94F68"/>
    <w:rsid w:val="00C951DA"/>
    <w:rsid w:val="00C95C1C"/>
    <w:rsid w:val="00C9642F"/>
    <w:rsid w:val="00C96FD3"/>
    <w:rsid w:val="00C96FD7"/>
    <w:rsid w:val="00C972F9"/>
    <w:rsid w:val="00C97490"/>
    <w:rsid w:val="00C974FF"/>
    <w:rsid w:val="00C977E0"/>
    <w:rsid w:val="00C97ED5"/>
    <w:rsid w:val="00C97FB8"/>
    <w:rsid w:val="00C97FC6"/>
    <w:rsid w:val="00CA0466"/>
    <w:rsid w:val="00CA046C"/>
    <w:rsid w:val="00CA07F8"/>
    <w:rsid w:val="00CA08F6"/>
    <w:rsid w:val="00CA0906"/>
    <w:rsid w:val="00CA0A5D"/>
    <w:rsid w:val="00CA0B64"/>
    <w:rsid w:val="00CA142B"/>
    <w:rsid w:val="00CA2065"/>
    <w:rsid w:val="00CA26D8"/>
    <w:rsid w:val="00CA2D8A"/>
    <w:rsid w:val="00CA2E32"/>
    <w:rsid w:val="00CA32CA"/>
    <w:rsid w:val="00CA394A"/>
    <w:rsid w:val="00CA3B44"/>
    <w:rsid w:val="00CA3E9A"/>
    <w:rsid w:val="00CA3F8D"/>
    <w:rsid w:val="00CA488A"/>
    <w:rsid w:val="00CA59F2"/>
    <w:rsid w:val="00CA5D0B"/>
    <w:rsid w:val="00CA605F"/>
    <w:rsid w:val="00CA65F1"/>
    <w:rsid w:val="00CA6FB2"/>
    <w:rsid w:val="00CA77A8"/>
    <w:rsid w:val="00CA798B"/>
    <w:rsid w:val="00CA7ECE"/>
    <w:rsid w:val="00CB0E1B"/>
    <w:rsid w:val="00CB0F0C"/>
    <w:rsid w:val="00CB162F"/>
    <w:rsid w:val="00CB212B"/>
    <w:rsid w:val="00CB254B"/>
    <w:rsid w:val="00CB2912"/>
    <w:rsid w:val="00CB39CE"/>
    <w:rsid w:val="00CB3A0D"/>
    <w:rsid w:val="00CB498E"/>
    <w:rsid w:val="00CB4D4B"/>
    <w:rsid w:val="00CB50E7"/>
    <w:rsid w:val="00CB53DB"/>
    <w:rsid w:val="00CB5470"/>
    <w:rsid w:val="00CB57F0"/>
    <w:rsid w:val="00CB5E55"/>
    <w:rsid w:val="00CB655F"/>
    <w:rsid w:val="00CB68E9"/>
    <w:rsid w:val="00CB6970"/>
    <w:rsid w:val="00CB6AC3"/>
    <w:rsid w:val="00CC0B6C"/>
    <w:rsid w:val="00CC0DBC"/>
    <w:rsid w:val="00CC0DFF"/>
    <w:rsid w:val="00CC144F"/>
    <w:rsid w:val="00CC148C"/>
    <w:rsid w:val="00CC17FF"/>
    <w:rsid w:val="00CC20FB"/>
    <w:rsid w:val="00CC2C06"/>
    <w:rsid w:val="00CC31B1"/>
    <w:rsid w:val="00CC334E"/>
    <w:rsid w:val="00CC3659"/>
    <w:rsid w:val="00CC39F3"/>
    <w:rsid w:val="00CC40BE"/>
    <w:rsid w:val="00CC434B"/>
    <w:rsid w:val="00CC4760"/>
    <w:rsid w:val="00CC48B0"/>
    <w:rsid w:val="00CC4AF5"/>
    <w:rsid w:val="00CC4E8F"/>
    <w:rsid w:val="00CC507C"/>
    <w:rsid w:val="00CC51F0"/>
    <w:rsid w:val="00CC5EA5"/>
    <w:rsid w:val="00CC644A"/>
    <w:rsid w:val="00CC645E"/>
    <w:rsid w:val="00CC6CD3"/>
    <w:rsid w:val="00CC70AE"/>
    <w:rsid w:val="00CC7C17"/>
    <w:rsid w:val="00CC7F61"/>
    <w:rsid w:val="00CD01A4"/>
    <w:rsid w:val="00CD17AD"/>
    <w:rsid w:val="00CD2358"/>
    <w:rsid w:val="00CD3016"/>
    <w:rsid w:val="00CD324E"/>
    <w:rsid w:val="00CD34F5"/>
    <w:rsid w:val="00CD37CE"/>
    <w:rsid w:val="00CD3939"/>
    <w:rsid w:val="00CD3C87"/>
    <w:rsid w:val="00CD4564"/>
    <w:rsid w:val="00CD482D"/>
    <w:rsid w:val="00CD4A95"/>
    <w:rsid w:val="00CD515F"/>
    <w:rsid w:val="00CD538B"/>
    <w:rsid w:val="00CD5DF8"/>
    <w:rsid w:val="00CD60DB"/>
    <w:rsid w:val="00CD636F"/>
    <w:rsid w:val="00CD679C"/>
    <w:rsid w:val="00CD69DC"/>
    <w:rsid w:val="00CD6DC5"/>
    <w:rsid w:val="00CD7C30"/>
    <w:rsid w:val="00CD7C6E"/>
    <w:rsid w:val="00CD7E9C"/>
    <w:rsid w:val="00CD7EB8"/>
    <w:rsid w:val="00CE0639"/>
    <w:rsid w:val="00CE06B5"/>
    <w:rsid w:val="00CE0DAA"/>
    <w:rsid w:val="00CE0DFE"/>
    <w:rsid w:val="00CE19AF"/>
    <w:rsid w:val="00CE1D23"/>
    <w:rsid w:val="00CE1F0C"/>
    <w:rsid w:val="00CE1F23"/>
    <w:rsid w:val="00CE2214"/>
    <w:rsid w:val="00CE2485"/>
    <w:rsid w:val="00CE2555"/>
    <w:rsid w:val="00CE2880"/>
    <w:rsid w:val="00CE2B61"/>
    <w:rsid w:val="00CE304B"/>
    <w:rsid w:val="00CE30B8"/>
    <w:rsid w:val="00CE3338"/>
    <w:rsid w:val="00CE433C"/>
    <w:rsid w:val="00CE4772"/>
    <w:rsid w:val="00CE4A50"/>
    <w:rsid w:val="00CE4D9F"/>
    <w:rsid w:val="00CE554A"/>
    <w:rsid w:val="00CE5C83"/>
    <w:rsid w:val="00CE617B"/>
    <w:rsid w:val="00CE6307"/>
    <w:rsid w:val="00CE68FC"/>
    <w:rsid w:val="00CE7017"/>
    <w:rsid w:val="00CE7141"/>
    <w:rsid w:val="00CE7906"/>
    <w:rsid w:val="00CF0015"/>
    <w:rsid w:val="00CF0E24"/>
    <w:rsid w:val="00CF13BD"/>
    <w:rsid w:val="00CF14AA"/>
    <w:rsid w:val="00CF163F"/>
    <w:rsid w:val="00CF1761"/>
    <w:rsid w:val="00CF1807"/>
    <w:rsid w:val="00CF1E7E"/>
    <w:rsid w:val="00CF24E2"/>
    <w:rsid w:val="00CF35F5"/>
    <w:rsid w:val="00CF3878"/>
    <w:rsid w:val="00CF3BD5"/>
    <w:rsid w:val="00CF4205"/>
    <w:rsid w:val="00CF4457"/>
    <w:rsid w:val="00CF4717"/>
    <w:rsid w:val="00CF5274"/>
    <w:rsid w:val="00CF52EE"/>
    <w:rsid w:val="00CF5FE0"/>
    <w:rsid w:val="00CF6115"/>
    <w:rsid w:val="00CF6379"/>
    <w:rsid w:val="00CF6C59"/>
    <w:rsid w:val="00CF6DCB"/>
    <w:rsid w:val="00CF756C"/>
    <w:rsid w:val="00CF7AB9"/>
    <w:rsid w:val="00CF7B7D"/>
    <w:rsid w:val="00CF7D04"/>
    <w:rsid w:val="00D00465"/>
    <w:rsid w:val="00D00578"/>
    <w:rsid w:val="00D009FE"/>
    <w:rsid w:val="00D00E9A"/>
    <w:rsid w:val="00D00F4E"/>
    <w:rsid w:val="00D00FF1"/>
    <w:rsid w:val="00D01675"/>
    <w:rsid w:val="00D01892"/>
    <w:rsid w:val="00D01BF8"/>
    <w:rsid w:val="00D02549"/>
    <w:rsid w:val="00D0263B"/>
    <w:rsid w:val="00D02B77"/>
    <w:rsid w:val="00D0385B"/>
    <w:rsid w:val="00D04B33"/>
    <w:rsid w:val="00D04C69"/>
    <w:rsid w:val="00D0531C"/>
    <w:rsid w:val="00D057C2"/>
    <w:rsid w:val="00D05DB3"/>
    <w:rsid w:val="00D05FCB"/>
    <w:rsid w:val="00D0622F"/>
    <w:rsid w:val="00D066B9"/>
    <w:rsid w:val="00D072E3"/>
    <w:rsid w:val="00D0796B"/>
    <w:rsid w:val="00D07CAC"/>
    <w:rsid w:val="00D100CB"/>
    <w:rsid w:val="00D103FB"/>
    <w:rsid w:val="00D1174B"/>
    <w:rsid w:val="00D130B5"/>
    <w:rsid w:val="00D1333A"/>
    <w:rsid w:val="00D1350A"/>
    <w:rsid w:val="00D14168"/>
    <w:rsid w:val="00D1463E"/>
    <w:rsid w:val="00D14746"/>
    <w:rsid w:val="00D149B2"/>
    <w:rsid w:val="00D14AA6"/>
    <w:rsid w:val="00D15BE7"/>
    <w:rsid w:val="00D15D6F"/>
    <w:rsid w:val="00D15F42"/>
    <w:rsid w:val="00D160EB"/>
    <w:rsid w:val="00D1617D"/>
    <w:rsid w:val="00D1623F"/>
    <w:rsid w:val="00D163C9"/>
    <w:rsid w:val="00D16897"/>
    <w:rsid w:val="00D16D28"/>
    <w:rsid w:val="00D16E22"/>
    <w:rsid w:val="00D17CED"/>
    <w:rsid w:val="00D17E5B"/>
    <w:rsid w:val="00D17F0A"/>
    <w:rsid w:val="00D20063"/>
    <w:rsid w:val="00D20CAA"/>
    <w:rsid w:val="00D20E9E"/>
    <w:rsid w:val="00D20EEB"/>
    <w:rsid w:val="00D2139E"/>
    <w:rsid w:val="00D21538"/>
    <w:rsid w:val="00D21773"/>
    <w:rsid w:val="00D21C37"/>
    <w:rsid w:val="00D21DFE"/>
    <w:rsid w:val="00D221A1"/>
    <w:rsid w:val="00D22F65"/>
    <w:rsid w:val="00D23CE1"/>
    <w:rsid w:val="00D23E20"/>
    <w:rsid w:val="00D244F3"/>
    <w:rsid w:val="00D24CE5"/>
    <w:rsid w:val="00D24E19"/>
    <w:rsid w:val="00D25E81"/>
    <w:rsid w:val="00D26B72"/>
    <w:rsid w:val="00D26FB2"/>
    <w:rsid w:val="00D27068"/>
    <w:rsid w:val="00D272EE"/>
    <w:rsid w:val="00D3010B"/>
    <w:rsid w:val="00D30669"/>
    <w:rsid w:val="00D30F2F"/>
    <w:rsid w:val="00D310D7"/>
    <w:rsid w:val="00D3124F"/>
    <w:rsid w:val="00D312DC"/>
    <w:rsid w:val="00D313CF"/>
    <w:rsid w:val="00D31666"/>
    <w:rsid w:val="00D32008"/>
    <w:rsid w:val="00D32096"/>
    <w:rsid w:val="00D3243A"/>
    <w:rsid w:val="00D3257D"/>
    <w:rsid w:val="00D32621"/>
    <w:rsid w:val="00D33A21"/>
    <w:rsid w:val="00D33E1A"/>
    <w:rsid w:val="00D33EEA"/>
    <w:rsid w:val="00D3452D"/>
    <w:rsid w:val="00D34D6C"/>
    <w:rsid w:val="00D35A7C"/>
    <w:rsid w:val="00D35C92"/>
    <w:rsid w:val="00D36087"/>
    <w:rsid w:val="00D36D8D"/>
    <w:rsid w:val="00D36E32"/>
    <w:rsid w:val="00D36E6C"/>
    <w:rsid w:val="00D37002"/>
    <w:rsid w:val="00D3705A"/>
    <w:rsid w:val="00D377FD"/>
    <w:rsid w:val="00D37824"/>
    <w:rsid w:val="00D37B64"/>
    <w:rsid w:val="00D37CE1"/>
    <w:rsid w:val="00D37FD8"/>
    <w:rsid w:val="00D402DB"/>
    <w:rsid w:val="00D40548"/>
    <w:rsid w:val="00D407B5"/>
    <w:rsid w:val="00D40A8A"/>
    <w:rsid w:val="00D41100"/>
    <w:rsid w:val="00D413EC"/>
    <w:rsid w:val="00D414C5"/>
    <w:rsid w:val="00D41A5F"/>
    <w:rsid w:val="00D41DB2"/>
    <w:rsid w:val="00D42632"/>
    <w:rsid w:val="00D4283E"/>
    <w:rsid w:val="00D42AB3"/>
    <w:rsid w:val="00D430EA"/>
    <w:rsid w:val="00D4316A"/>
    <w:rsid w:val="00D43A0D"/>
    <w:rsid w:val="00D43CC9"/>
    <w:rsid w:val="00D44334"/>
    <w:rsid w:val="00D4494D"/>
    <w:rsid w:val="00D44BBA"/>
    <w:rsid w:val="00D44FDF"/>
    <w:rsid w:val="00D45333"/>
    <w:rsid w:val="00D45CA1"/>
    <w:rsid w:val="00D46257"/>
    <w:rsid w:val="00D47182"/>
    <w:rsid w:val="00D47A27"/>
    <w:rsid w:val="00D47D7D"/>
    <w:rsid w:val="00D50484"/>
    <w:rsid w:val="00D50710"/>
    <w:rsid w:val="00D509C0"/>
    <w:rsid w:val="00D50A81"/>
    <w:rsid w:val="00D50B98"/>
    <w:rsid w:val="00D50E9C"/>
    <w:rsid w:val="00D51190"/>
    <w:rsid w:val="00D514A6"/>
    <w:rsid w:val="00D519BB"/>
    <w:rsid w:val="00D51B80"/>
    <w:rsid w:val="00D51E23"/>
    <w:rsid w:val="00D5335A"/>
    <w:rsid w:val="00D5369E"/>
    <w:rsid w:val="00D5376B"/>
    <w:rsid w:val="00D538E3"/>
    <w:rsid w:val="00D53D1B"/>
    <w:rsid w:val="00D54180"/>
    <w:rsid w:val="00D5422E"/>
    <w:rsid w:val="00D543C2"/>
    <w:rsid w:val="00D544FF"/>
    <w:rsid w:val="00D54A6A"/>
    <w:rsid w:val="00D54B28"/>
    <w:rsid w:val="00D55532"/>
    <w:rsid w:val="00D55C26"/>
    <w:rsid w:val="00D55FD7"/>
    <w:rsid w:val="00D562C6"/>
    <w:rsid w:val="00D56633"/>
    <w:rsid w:val="00D56D0B"/>
    <w:rsid w:val="00D56E95"/>
    <w:rsid w:val="00D57115"/>
    <w:rsid w:val="00D577D2"/>
    <w:rsid w:val="00D57825"/>
    <w:rsid w:val="00D57BA9"/>
    <w:rsid w:val="00D6008F"/>
    <w:rsid w:val="00D60321"/>
    <w:rsid w:val="00D60B02"/>
    <w:rsid w:val="00D613C9"/>
    <w:rsid w:val="00D61592"/>
    <w:rsid w:val="00D62095"/>
    <w:rsid w:val="00D62889"/>
    <w:rsid w:val="00D62B1C"/>
    <w:rsid w:val="00D62BAD"/>
    <w:rsid w:val="00D62C85"/>
    <w:rsid w:val="00D62F66"/>
    <w:rsid w:val="00D63966"/>
    <w:rsid w:val="00D64987"/>
    <w:rsid w:val="00D64A7B"/>
    <w:rsid w:val="00D65B92"/>
    <w:rsid w:val="00D65DF0"/>
    <w:rsid w:val="00D65EF6"/>
    <w:rsid w:val="00D66109"/>
    <w:rsid w:val="00D664CA"/>
    <w:rsid w:val="00D66687"/>
    <w:rsid w:val="00D669D3"/>
    <w:rsid w:val="00D66C29"/>
    <w:rsid w:val="00D66FBF"/>
    <w:rsid w:val="00D672FC"/>
    <w:rsid w:val="00D676FB"/>
    <w:rsid w:val="00D67CCE"/>
    <w:rsid w:val="00D708D7"/>
    <w:rsid w:val="00D71044"/>
    <w:rsid w:val="00D7238C"/>
    <w:rsid w:val="00D72969"/>
    <w:rsid w:val="00D72C9E"/>
    <w:rsid w:val="00D72FC3"/>
    <w:rsid w:val="00D73099"/>
    <w:rsid w:val="00D73409"/>
    <w:rsid w:val="00D73447"/>
    <w:rsid w:val="00D73651"/>
    <w:rsid w:val="00D73897"/>
    <w:rsid w:val="00D7392F"/>
    <w:rsid w:val="00D73B55"/>
    <w:rsid w:val="00D73C61"/>
    <w:rsid w:val="00D74812"/>
    <w:rsid w:val="00D74B5E"/>
    <w:rsid w:val="00D74EA2"/>
    <w:rsid w:val="00D74EAF"/>
    <w:rsid w:val="00D75BF5"/>
    <w:rsid w:val="00D7631D"/>
    <w:rsid w:val="00D76832"/>
    <w:rsid w:val="00D76848"/>
    <w:rsid w:val="00D768D5"/>
    <w:rsid w:val="00D773CA"/>
    <w:rsid w:val="00D7744C"/>
    <w:rsid w:val="00D77858"/>
    <w:rsid w:val="00D77B31"/>
    <w:rsid w:val="00D8038D"/>
    <w:rsid w:val="00D803DD"/>
    <w:rsid w:val="00D8049D"/>
    <w:rsid w:val="00D80B3B"/>
    <w:rsid w:val="00D8153C"/>
    <w:rsid w:val="00D81560"/>
    <w:rsid w:val="00D81745"/>
    <w:rsid w:val="00D81CF4"/>
    <w:rsid w:val="00D81E3B"/>
    <w:rsid w:val="00D82522"/>
    <w:rsid w:val="00D82E7D"/>
    <w:rsid w:val="00D833C0"/>
    <w:rsid w:val="00D83456"/>
    <w:rsid w:val="00D83591"/>
    <w:rsid w:val="00D83EA4"/>
    <w:rsid w:val="00D84463"/>
    <w:rsid w:val="00D844D9"/>
    <w:rsid w:val="00D845CE"/>
    <w:rsid w:val="00D8488F"/>
    <w:rsid w:val="00D848C7"/>
    <w:rsid w:val="00D84A36"/>
    <w:rsid w:val="00D8506A"/>
    <w:rsid w:val="00D85C1F"/>
    <w:rsid w:val="00D86613"/>
    <w:rsid w:val="00D86835"/>
    <w:rsid w:val="00D8698E"/>
    <w:rsid w:val="00D86D11"/>
    <w:rsid w:val="00D878AD"/>
    <w:rsid w:val="00D87942"/>
    <w:rsid w:val="00D90529"/>
    <w:rsid w:val="00D90664"/>
    <w:rsid w:val="00D90CA8"/>
    <w:rsid w:val="00D90F75"/>
    <w:rsid w:val="00D91810"/>
    <w:rsid w:val="00D91E36"/>
    <w:rsid w:val="00D91F43"/>
    <w:rsid w:val="00D92346"/>
    <w:rsid w:val="00D924B6"/>
    <w:rsid w:val="00D925AB"/>
    <w:rsid w:val="00D92ABA"/>
    <w:rsid w:val="00D92B67"/>
    <w:rsid w:val="00D92F9C"/>
    <w:rsid w:val="00D9333F"/>
    <w:rsid w:val="00D93846"/>
    <w:rsid w:val="00D938C2"/>
    <w:rsid w:val="00D93CF5"/>
    <w:rsid w:val="00D93D72"/>
    <w:rsid w:val="00D93F31"/>
    <w:rsid w:val="00D93FC2"/>
    <w:rsid w:val="00D94660"/>
    <w:rsid w:val="00D94E0A"/>
    <w:rsid w:val="00D9521C"/>
    <w:rsid w:val="00D95455"/>
    <w:rsid w:val="00D95A68"/>
    <w:rsid w:val="00D9643E"/>
    <w:rsid w:val="00D96B1D"/>
    <w:rsid w:val="00DA04A5"/>
    <w:rsid w:val="00DA0856"/>
    <w:rsid w:val="00DA1475"/>
    <w:rsid w:val="00DA16FD"/>
    <w:rsid w:val="00DA1761"/>
    <w:rsid w:val="00DA1836"/>
    <w:rsid w:val="00DA1B66"/>
    <w:rsid w:val="00DA1E9B"/>
    <w:rsid w:val="00DA21A2"/>
    <w:rsid w:val="00DA2335"/>
    <w:rsid w:val="00DA2BBD"/>
    <w:rsid w:val="00DA3792"/>
    <w:rsid w:val="00DA3B52"/>
    <w:rsid w:val="00DA3BD8"/>
    <w:rsid w:val="00DA4359"/>
    <w:rsid w:val="00DA43AC"/>
    <w:rsid w:val="00DA48EB"/>
    <w:rsid w:val="00DA4A7B"/>
    <w:rsid w:val="00DA5713"/>
    <w:rsid w:val="00DA57B8"/>
    <w:rsid w:val="00DA5B64"/>
    <w:rsid w:val="00DA61B2"/>
    <w:rsid w:val="00DA63D3"/>
    <w:rsid w:val="00DA651B"/>
    <w:rsid w:val="00DA698F"/>
    <w:rsid w:val="00DA6E5C"/>
    <w:rsid w:val="00DA6F21"/>
    <w:rsid w:val="00DA715D"/>
    <w:rsid w:val="00DA77DC"/>
    <w:rsid w:val="00DA7BD7"/>
    <w:rsid w:val="00DA7CD9"/>
    <w:rsid w:val="00DA7FCE"/>
    <w:rsid w:val="00DA7FDF"/>
    <w:rsid w:val="00DB0157"/>
    <w:rsid w:val="00DB01AF"/>
    <w:rsid w:val="00DB0700"/>
    <w:rsid w:val="00DB0C1A"/>
    <w:rsid w:val="00DB0FD6"/>
    <w:rsid w:val="00DB1331"/>
    <w:rsid w:val="00DB2919"/>
    <w:rsid w:val="00DB30FF"/>
    <w:rsid w:val="00DB3989"/>
    <w:rsid w:val="00DB39C4"/>
    <w:rsid w:val="00DB3A10"/>
    <w:rsid w:val="00DB4F79"/>
    <w:rsid w:val="00DB51FD"/>
    <w:rsid w:val="00DB54EF"/>
    <w:rsid w:val="00DB597C"/>
    <w:rsid w:val="00DB5D58"/>
    <w:rsid w:val="00DB5F66"/>
    <w:rsid w:val="00DB626D"/>
    <w:rsid w:val="00DB66D5"/>
    <w:rsid w:val="00DB66FE"/>
    <w:rsid w:val="00DB6712"/>
    <w:rsid w:val="00DB67D3"/>
    <w:rsid w:val="00DB6942"/>
    <w:rsid w:val="00DB6C48"/>
    <w:rsid w:val="00DB6C60"/>
    <w:rsid w:val="00DB71CD"/>
    <w:rsid w:val="00DB7330"/>
    <w:rsid w:val="00DB7D24"/>
    <w:rsid w:val="00DC096D"/>
    <w:rsid w:val="00DC0A87"/>
    <w:rsid w:val="00DC0B7C"/>
    <w:rsid w:val="00DC0CF6"/>
    <w:rsid w:val="00DC0F1D"/>
    <w:rsid w:val="00DC1120"/>
    <w:rsid w:val="00DC13E3"/>
    <w:rsid w:val="00DC185D"/>
    <w:rsid w:val="00DC1C6F"/>
    <w:rsid w:val="00DC238E"/>
    <w:rsid w:val="00DC2420"/>
    <w:rsid w:val="00DC2587"/>
    <w:rsid w:val="00DC2691"/>
    <w:rsid w:val="00DC28A6"/>
    <w:rsid w:val="00DC2F8F"/>
    <w:rsid w:val="00DC5395"/>
    <w:rsid w:val="00DC5ACE"/>
    <w:rsid w:val="00DC5AD6"/>
    <w:rsid w:val="00DC6161"/>
    <w:rsid w:val="00DC6A07"/>
    <w:rsid w:val="00DC6C06"/>
    <w:rsid w:val="00DC7225"/>
    <w:rsid w:val="00DC72FB"/>
    <w:rsid w:val="00DC75F4"/>
    <w:rsid w:val="00DC7B81"/>
    <w:rsid w:val="00DD1876"/>
    <w:rsid w:val="00DD1E25"/>
    <w:rsid w:val="00DD227F"/>
    <w:rsid w:val="00DD28E3"/>
    <w:rsid w:val="00DD3141"/>
    <w:rsid w:val="00DD3B6B"/>
    <w:rsid w:val="00DD3E3C"/>
    <w:rsid w:val="00DD4447"/>
    <w:rsid w:val="00DD4563"/>
    <w:rsid w:val="00DD46C0"/>
    <w:rsid w:val="00DD486B"/>
    <w:rsid w:val="00DD4FEC"/>
    <w:rsid w:val="00DD5557"/>
    <w:rsid w:val="00DD64C5"/>
    <w:rsid w:val="00DE0467"/>
    <w:rsid w:val="00DE0BBF"/>
    <w:rsid w:val="00DE0D31"/>
    <w:rsid w:val="00DE1057"/>
    <w:rsid w:val="00DE1711"/>
    <w:rsid w:val="00DE2674"/>
    <w:rsid w:val="00DE2A1E"/>
    <w:rsid w:val="00DE2DB9"/>
    <w:rsid w:val="00DE307E"/>
    <w:rsid w:val="00DE3499"/>
    <w:rsid w:val="00DE35EA"/>
    <w:rsid w:val="00DE373D"/>
    <w:rsid w:val="00DE3BD3"/>
    <w:rsid w:val="00DE40A5"/>
    <w:rsid w:val="00DE4241"/>
    <w:rsid w:val="00DE4272"/>
    <w:rsid w:val="00DE4DE9"/>
    <w:rsid w:val="00DE4FD5"/>
    <w:rsid w:val="00DE5268"/>
    <w:rsid w:val="00DE5548"/>
    <w:rsid w:val="00DE5E1C"/>
    <w:rsid w:val="00DE607D"/>
    <w:rsid w:val="00DE6937"/>
    <w:rsid w:val="00DE6C06"/>
    <w:rsid w:val="00DE6F3A"/>
    <w:rsid w:val="00DE763A"/>
    <w:rsid w:val="00DE7970"/>
    <w:rsid w:val="00DE7A43"/>
    <w:rsid w:val="00DF0897"/>
    <w:rsid w:val="00DF0938"/>
    <w:rsid w:val="00DF0A32"/>
    <w:rsid w:val="00DF1024"/>
    <w:rsid w:val="00DF1411"/>
    <w:rsid w:val="00DF182B"/>
    <w:rsid w:val="00DF1F0A"/>
    <w:rsid w:val="00DF2099"/>
    <w:rsid w:val="00DF21C9"/>
    <w:rsid w:val="00DF2955"/>
    <w:rsid w:val="00DF29E7"/>
    <w:rsid w:val="00DF2B70"/>
    <w:rsid w:val="00DF2DB7"/>
    <w:rsid w:val="00DF2EB3"/>
    <w:rsid w:val="00DF2F0B"/>
    <w:rsid w:val="00DF3CC8"/>
    <w:rsid w:val="00DF3D50"/>
    <w:rsid w:val="00DF40C8"/>
    <w:rsid w:val="00DF4756"/>
    <w:rsid w:val="00DF4BC7"/>
    <w:rsid w:val="00DF4CFE"/>
    <w:rsid w:val="00DF4EA0"/>
    <w:rsid w:val="00DF50A5"/>
    <w:rsid w:val="00DF555C"/>
    <w:rsid w:val="00DF55E8"/>
    <w:rsid w:val="00DF58DA"/>
    <w:rsid w:val="00DF6214"/>
    <w:rsid w:val="00DF6577"/>
    <w:rsid w:val="00DF6A78"/>
    <w:rsid w:val="00DF6F31"/>
    <w:rsid w:val="00DF74D6"/>
    <w:rsid w:val="00E0055E"/>
    <w:rsid w:val="00E00FCD"/>
    <w:rsid w:val="00E01579"/>
    <w:rsid w:val="00E01A68"/>
    <w:rsid w:val="00E01D6F"/>
    <w:rsid w:val="00E01FA7"/>
    <w:rsid w:val="00E02176"/>
    <w:rsid w:val="00E02689"/>
    <w:rsid w:val="00E026A1"/>
    <w:rsid w:val="00E02895"/>
    <w:rsid w:val="00E029F7"/>
    <w:rsid w:val="00E02EBD"/>
    <w:rsid w:val="00E03199"/>
    <w:rsid w:val="00E03327"/>
    <w:rsid w:val="00E035AD"/>
    <w:rsid w:val="00E039EE"/>
    <w:rsid w:val="00E03C0C"/>
    <w:rsid w:val="00E0432F"/>
    <w:rsid w:val="00E0443C"/>
    <w:rsid w:val="00E0509C"/>
    <w:rsid w:val="00E05403"/>
    <w:rsid w:val="00E056C1"/>
    <w:rsid w:val="00E05845"/>
    <w:rsid w:val="00E05AA2"/>
    <w:rsid w:val="00E05F5A"/>
    <w:rsid w:val="00E060B6"/>
    <w:rsid w:val="00E06230"/>
    <w:rsid w:val="00E0696A"/>
    <w:rsid w:val="00E06984"/>
    <w:rsid w:val="00E07669"/>
    <w:rsid w:val="00E07777"/>
    <w:rsid w:val="00E07BBF"/>
    <w:rsid w:val="00E07E27"/>
    <w:rsid w:val="00E07F65"/>
    <w:rsid w:val="00E1003A"/>
    <w:rsid w:val="00E10669"/>
    <w:rsid w:val="00E10DCA"/>
    <w:rsid w:val="00E111F2"/>
    <w:rsid w:val="00E11418"/>
    <w:rsid w:val="00E117E9"/>
    <w:rsid w:val="00E1181C"/>
    <w:rsid w:val="00E119AA"/>
    <w:rsid w:val="00E11EC5"/>
    <w:rsid w:val="00E1298C"/>
    <w:rsid w:val="00E12C7A"/>
    <w:rsid w:val="00E13B16"/>
    <w:rsid w:val="00E13CBE"/>
    <w:rsid w:val="00E13FFB"/>
    <w:rsid w:val="00E144B9"/>
    <w:rsid w:val="00E14A27"/>
    <w:rsid w:val="00E14A3C"/>
    <w:rsid w:val="00E14A52"/>
    <w:rsid w:val="00E15AC6"/>
    <w:rsid w:val="00E1652C"/>
    <w:rsid w:val="00E1661C"/>
    <w:rsid w:val="00E16CF8"/>
    <w:rsid w:val="00E16E00"/>
    <w:rsid w:val="00E16ECF"/>
    <w:rsid w:val="00E17A05"/>
    <w:rsid w:val="00E17E52"/>
    <w:rsid w:val="00E20066"/>
    <w:rsid w:val="00E20552"/>
    <w:rsid w:val="00E20AE4"/>
    <w:rsid w:val="00E20B3B"/>
    <w:rsid w:val="00E20C98"/>
    <w:rsid w:val="00E21240"/>
    <w:rsid w:val="00E2308C"/>
    <w:rsid w:val="00E23BAC"/>
    <w:rsid w:val="00E23D60"/>
    <w:rsid w:val="00E24234"/>
    <w:rsid w:val="00E24240"/>
    <w:rsid w:val="00E24B84"/>
    <w:rsid w:val="00E24C0B"/>
    <w:rsid w:val="00E24C5C"/>
    <w:rsid w:val="00E2521D"/>
    <w:rsid w:val="00E253E9"/>
    <w:rsid w:val="00E25781"/>
    <w:rsid w:val="00E25AE6"/>
    <w:rsid w:val="00E2604E"/>
    <w:rsid w:val="00E263C6"/>
    <w:rsid w:val="00E26649"/>
    <w:rsid w:val="00E269E9"/>
    <w:rsid w:val="00E26A56"/>
    <w:rsid w:val="00E271C6"/>
    <w:rsid w:val="00E277AE"/>
    <w:rsid w:val="00E278F0"/>
    <w:rsid w:val="00E302C2"/>
    <w:rsid w:val="00E3032A"/>
    <w:rsid w:val="00E306BF"/>
    <w:rsid w:val="00E31336"/>
    <w:rsid w:val="00E317A0"/>
    <w:rsid w:val="00E31E66"/>
    <w:rsid w:val="00E31E6F"/>
    <w:rsid w:val="00E31F61"/>
    <w:rsid w:val="00E320A2"/>
    <w:rsid w:val="00E322CE"/>
    <w:rsid w:val="00E325A5"/>
    <w:rsid w:val="00E334A7"/>
    <w:rsid w:val="00E335AF"/>
    <w:rsid w:val="00E337F2"/>
    <w:rsid w:val="00E33862"/>
    <w:rsid w:val="00E33C68"/>
    <w:rsid w:val="00E34203"/>
    <w:rsid w:val="00E345B1"/>
    <w:rsid w:val="00E3482D"/>
    <w:rsid w:val="00E35925"/>
    <w:rsid w:val="00E35F8B"/>
    <w:rsid w:val="00E366D9"/>
    <w:rsid w:val="00E3702E"/>
    <w:rsid w:val="00E37680"/>
    <w:rsid w:val="00E3770B"/>
    <w:rsid w:val="00E4090B"/>
    <w:rsid w:val="00E411FB"/>
    <w:rsid w:val="00E41319"/>
    <w:rsid w:val="00E414C0"/>
    <w:rsid w:val="00E417B6"/>
    <w:rsid w:val="00E41CB5"/>
    <w:rsid w:val="00E42998"/>
    <w:rsid w:val="00E42BD8"/>
    <w:rsid w:val="00E433FC"/>
    <w:rsid w:val="00E4402D"/>
    <w:rsid w:val="00E44327"/>
    <w:rsid w:val="00E4512C"/>
    <w:rsid w:val="00E45545"/>
    <w:rsid w:val="00E4557E"/>
    <w:rsid w:val="00E4698E"/>
    <w:rsid w:val="00E4734E"/>
    <w:rsid w:val="00E476C4"/>
    <w:rsid w:val="00E47797"/>
    <w:rsid w:val="00E50999"/>
    <w:rsid w:val="00E50BF5"/>
    <w:rsid w:val="00E50D54"/>
    <w:rsid w:val="00E50DB5"/>
    <w:rsid w:val="00E5123B"/>
    <w:rsid w:val="00E51598"/>
    <w:rsid w:val="00E51770"/>
    <w:rsid w:val="00E51893"/>
    <w:rsid w:val="00E519F5"/>
    <w:rsid w:val="00E51FE1"/>
    <w:rsid w:val="00E528D5"/>
    <w:rsid w:val="00E5356D"/>
    <w:rsid w:val="00E53BA6"/>
    <w:rsid w:val="00E541B9"/>
    <w:rsid w:val="00E543A5"/>
    <w:rsid w:val="00E54441"/>
    <w:rsid w:val="00E546FA"/>
    <w:rsid w:val="00E54DDB"/>
    <w:rsid w:val="00E54F05"/>
    <w:rsid w:val="00E550AE"/>
    <w:rsid w:val="00E551C7"/>
    <w:rsid w:val="00E5528B"/>
    <w:rsid w:val="00E55676"/>
    <w:rsid w:val="00E55D78"/>
    <w:rsid w:val="00E55D7D"/>
    <w:rsid w:val="00E56AC0"/>
    <w:rsid w:val="00E56C72"/>
    <w:rsid w:val="00E56F9C"/>
    <w:rsid w:val="00E57A44"/>
    <w:rsid w:val="00E57EEF"/>
    <w:rsid w:val="00E604B6"/>
    <w:rsid w:val="00E60510"/>
    <w:rsid w:val="00E60DA5"/>
    <w:rsid w:val="00E616C9"/>
    <w:rsid w:val="00E61E54"/>
    <w:rsid w:val="00E62031"/>
    <w:rsid w:val="00E6257A"/>
    <w:rsid w:val="00E62BB0"/>
    <w:rsid w:val="00E636E1"/>
    <w:rsid w:val="00E639B5"/>
    <w:rsid w:val="00E639C9"/>
    <w:rsid w:val="00E64446"/>
    <w:rsid w:val="00E64D08"/>
    <w:rsid w:val="00E66394"/>
    <w:rsid w:val="00E66627"/>
    <w:rsid w:val="00E66A2C"/>
    <w:rsid w:val="00E66B6E"/>
    <w:rsid w:val="00E66BF5"/>
    <w:rsid w:val="00E66E4E"/>
    <w:rsid w:val="00E67215"/>
    <w:rsid w:val="00E675C8"/>
    <w:rsid w:val="00E676D4"/>
    <w:rsid w:val="00E678AC"/>
    <w:rsid w:val="00E67D90"/>
    <w:rsid w:val="00E70030"/>
    <w:rsid w:val="00E702E1"/>
    <w:rsid w:val="00E7030E"/>
    <w:rsid w:val="00E7072B"/>
    <w:rsid w:val="00E70769"/>
    <w:rsid w:val="00E716F3"/>
    <w:rsid w:val="00E71C59"/>
    <w:rsid w:val="00E71F8E"/>
    <w:rsid w:val="00E722C7"/>
    <w:rsid w:val="00E72305"/>
    <w:rsid w:val="00E7254C"/>
    <w:rsid w:val="00E725BA"/>
    <w:rsid w:val="00E72ABE"/>
    <w:rsid w:val="00E72B89"/>
    <w:rsid w:val="00E72DDA"/>
    <w:rsid w:val="00E73223"/>
    <w:rsid w:val="00E73399"/>
    <w:rsid w:val="00E74822"/>
    <w:rsid w:val="00E74A05"/>
    <w:rsid w:val="00E74EA1"/>
    <w:rsid w:val="00E75189"/>
    <w:rsid w:val="00E752FB"/>
    <w:rsid w:val="00E754E0"/>
    <w:rsid w:val="00E76090"/>
    <w:rsid w:val="00E76333"/>
    <w:rsid w:val="00E76856"/>
    <w:rsid w:val="00E776B7"/>
    <w:rsid w:val="00E77AD3"/>
    <w:rsid w:val="00E77BA8"/>
    <w:rsid w:val="00E804F7"/>
    <w:rsid w:val="00E809A5"/>
    <w:rsid w:val="00E80D75"/>
    <w:rsid w:val="00E80F49"/>
    <w:rsid w:val="00E81107"/>
    <w:rsid w:val="00E81A99"/>
    <w:rsid w:val="00E81DEC"/>
    <w:rsid w:val="00E826A1"/>
    <w:rsid w:val="00E82AA5"/>
    <w:rsid w:val="00E82C55"/>
    <w:rsid w:val="00E82CB0"/>
    <w:rsid w:val="00E82CCD"/>
    <w:rsid w:val="00E83066"/>
    <w:rsid w:val="00E83787"/>
    <w:rsid w:val="00E83DB2"/>
    <w:rsid w:val="00E84468"/>
    <w:rsid w:val="00E84549"/>
    <w:rsid w:val="00E84C02"/>
    <w:rsid w:val="00E851C4"/>
    <w:rsid w:val="00E85BBF"/>
    <w:rsid w:val="00E85D05"/>
    <w:rsid w:val="00E86075"/>
    <w:rsid w:val="00E86306"/>
    <w:rsid w:val="00E86622"/>
    <w:rsid w:val="00E8677B"/>
    <w:rsid w:val="00E87228"/>
    <w:rsid w:val="00E87608"/>
    <w:rsid w:val="00E879DD"/>
    <w:rsid w:val="00E901AD"/>
    <w:rsid w:val="00E901DC"/>
    <w:rsid w:val="00E90223"/>
    <w:rsid w:val="00E9143F"/>
    <w:rsid w:val="00E919F0"/>
    <w:rsid w:val="00E91EDF"/>
    <w:rsid w:val="00E92C0E"/>
    <w:rsid w:val="00E92DEA"/>
    <w:rsid w:val="00E9317C"/>
    <w:rsid w:val="00E93CA9"/>
    <w:rsid w:val="00E93D8C"/>
    <w:rsid w:val="00E93F21"/>
    <w:rsid w:val="00E9402D"/>
    <w:rsid w:val="00E942B8"/>
    <w:rsid w:val="00E9437A"/>
    <w:rsid w:val="00E943B2"/>
    <w:rsid w:val="00E94706"/>
    <w:rsid w:val="00E94729"/>
    <w:rsid w:val="00E9482F"/>
    <w:rsid w:val="00E94C41"/>
    <w:rsid w:val="00E94C90"/>
    <w:rsid w:val="00E9572F"/>
    <w:rsid w:val="00E95A45"/>
    <w:rsid w:val="00E9629D"/>
    <w:rsid w:val="00E96813"/>
    <w:rsid w:val="00E96FB7"/>
    <w:rsid w:val="00E970B0"/>
    <w:rsid w:val="00E97158"/>
    <w:rsid w:val="00E97171"/>
    <w:rsid w:val="00E976DB"/>
    <w:rsid w:val="00E9798A"/>
    <w:rsid w:val="00E97D2C"/>
    <w:rsid w:val="00E97D5D"/>
    <w:rsid w:val="00EA05B6"/>
    <w:rsid w:val="00EA13F4"/>
    <w:rsid w:val="00EA1450"/>
    <w:rsid w:val="00EA14ED"/>
    <w:rsid w:val="00EA15E1"/>
    <w:rsid w:val="00EA1BC6"/>
    <w:rsid w:val="00EA1EBD"/>
    <w:rsid w:val="00EA22D5"/>
    <w:rsid w:val="00EA27FB"/>
    <w:rsid w:val="00EA33E9"/>
    <w:rsid w:val="00EA39D0"/>
    <w:rsid w:val="00EA3B0C"/>
    <w:rsid w:val="00EA4600"/>
    <w:rsid w:val="00EA47A3"/>
    <w:rsid w:val="00EA55AE"/>
    <w:rsid w:val="00EA561A"/>
    <w:rsid w:val="00EA5BC2"/>
    <w:rsid w:val="00EA5E99"/>
    <w:rsid w:val="00EA5EF6"/>
    <w:rsid w:val="00EA6035"/>
    <w:rsid w:val="00EA612C"/>
    <w:rsid w:val="00EA61B1"/>
    <w:rsid w:val="00EA63A1"/>
    <w:rsid w:val="00EA649B"/>
    <w:rsid w:val="00EA6570"/>
    <w:rsid w:val="00EA6D85"/>
    <w:rsid w:val="00EA71B5"/>
    <w:rsid w:val="00EA7285"/>
    <w:rsid w:val="00EA742F"/>
    <w:rsid w:val="00EA784D"/>
    <w:rsid w:val="00EA7AB0"/>
    <w:rsid w:val="00EB012E"/>
    <w:rsid w:val="00EB0B00"/>
    <w:rsid w:val="00EB11B3"/>
    <w:rsid w:val="00EB13F1"/>
    <w:rsid w:val="00EB14A0"/>
    <w:rsid w:val="00EB1505"/>
    <w:rsid w:val="00EB16F7"/>
    <w:rsid w:val="00EB1A88"/>
    <w:rsid w:val="00EB2279"/>
    <w:rsid w:val="00EB2B31"/>
    <w:rsid w:val="00EB380C"/>
    <w:rsid w:val="00EB39CC"/>
    <w:rsid w:val="00EB3CFE"/>
    <w:rsid w:val="00EB3E68"/>
    <w:rsid w:val="00EB4655"/>
    <w:rsid w:val="00EB4937"/>
    <w:rsid w:val="00EB4DAC"/>
    <w:rsid w:val="00EB4DB3"/>
    <w:rsid w:val="00EB59A7"/>
    <w:rsid w:val="00EB620F"/>
    <w:rsid w:val="00EB6655"/>
    <w:rsid w:val="00EB6C62"/>
    <w:rsid w:val="00EB6DA1"/>
    <w:rsid w:val="00EB71B8"/>
    <w:rsid w:val="00EB7E82"/>
    <w:rsid w:val="00EB7F39"/>
    <w:rsid w:val="00EC0318"/>
    <w:rsid w:val="00EC0572"/>
    <w:rsid w:val="00EC082C"/>
    <w:rsid w:val="00EC0CF2"/>
    <w:rsid w:val="00EC0DCC"/>
    <w:rsid w:val="00EC0F78"/>
    <w:rsid w:val="00EC13ED"/>
    <w:rsid w:val="00EC1479"/>
    <w:rsid w:val="00EC14E0"/>
    <w:rsid w:val="00EC1912"/>
    <w:rsid w:val="00EC1AB8"/>
    <w:rsid w:val="00EC1B5D"/>
    <w:rsid w:val="00EC1F7C"/>
    <w:rsid w:val="00EC22F3"/>
    <w:rsid w:val="00EC2AD8"/>
    <w:rsid w:val="00EC2D46"/>
    <w:rsid w:val="00EC3516"/>
    <w:rsid w:val="00EC37BB"/>
    <w:rsid w:val="00EC40ED"/>
    <w:rsid w:val="00EC4A2C"/>
    <w:rsid w:val="00EC4BD4"/>
    <w:rsid w:val="00EC4ED5"/>
    <w:rsid w:val="00EC5165"/>
    <w:rsid w:val="00EC526F"/>
    <w:rsid w:val="00EC52F4"/>
    <w:rsid w:val="00EC6608"/>
    <w:rsid w:val="00EC7230"/>
    <w:rsid w:val="00EC7882"/>
    <w:rsid w:val="00EC7D15"/>
    <w:rsid w:val="00ED0443"/>
    <w:rsid w:val="00ED06E8"/>
    <w:rsid w:val="00ED08F7"/>
    <w:rsid w:val="00ED0CCA"/>
    <w:rsid w:val="00ED0CF7"/>
    <w:rsid w:val="00ED124C"/>
    <w:rsid w:val="00ED155F"/>
    <w:rsid w:val="00ED1936"/>
    <w:rsid w:val="00ED1C24"/>
    <w:rsid w:val="00ED1E88"/>
    <w:rsid w:val="00ED2077"/>
    <w:rsid w:val="00ED20B4"/>
    <w:rsid w:val="00ED27E6"/>
    <w:rsid w:val="00ED29BD"/>
    <w:rsid w:val="00ED29E7"/>
    <w:rsid w:val="00ED2D16"/>
    <w:rsid w:val="00ED3D77"/>
    <w:rsid w:val="00ED415D"/>
    <w:rsid w:val="00ED42CC"/>
    <w:rsid w:val="00ED4791"/>
    <w:rsid w:val="00ED4B3A"/>
    <w:rsid w:val="00ED4BC1"/>
    <w:rsid w:val="00ED4D25"/>
    <w:rsid w:val="00ED4EDA"/>
    <w:rsid w:val="00ED4F82"/>
    <w:rsid w:val="00ED57C4"/>
    <w:rsid w:val="00ED5AF0"/>
    <w:rsid w:val="00ED636B"/>
    <w:rsid w:val="00ED63F1"/>
    <w:rsid w:val="00ED6C28"/>
    <w:rsid w:val="00ED6CBC"/>
    <w:rsid w:val="00ED6D81"/>
    <w:rsid w:val="00ED7376"/>
    <w:rsid w:val="00EDFE09"/>
    <w:rsid w:val="00EE0236"/>
    <w:rsid w:val="00EE0F44"/>
    <w:rsid w:val="00EE10D4"/>
    <w:rsid w:val="00EE1533"/>
    <w:rsid w:val="00EE161D"/>
    <w:rsid w:val="00EE18CC"/>
    <w:rsid w:val="00EE1912"/>
    <w:rsid w:val="00EE1AB0"/>
    <w:rsid w:val="00EE20F0"/>
    <w:rsid w:val="00EE2DFA"/>
    <w:rsid w:val="00EE3D53"/>
    <w:rsid w:val="00EE423E"/>
    <w:rsid w:val="00EE469C"/>
    <w:rsid w:val="00EE4845"/>
    <w:rsid w:val="00EE4FAD"/>
    <w:rsid w:val="00EE5D99"/>
    <w:rsid w:val="00EE5F8D"/>
    <w:rsid w:val="00EE605B"/>
    <w:rsid w:val="00EE618C"/>
    <w:rsid w:val="00EE65BC"/>
    <w:rsid w:val="00EE6828"/>
    <w:rsid w:val="00EE68A1"/>
    <w:rsid w:val="00EE6F2E"/>
    <w:rsid w:val="00EE74EF"/>
    <w:rsid w:val="00EE7759"/>
    <w:rsid w:val="00EE793D"/>
    <w:rsid w:val="00EE7D88"/>
    <w:rsid w:val="00EE7EAE"/>
    <w:rsid w:val="00EF0305"/>
    <w:rsid w:val="00EF113E"/>
    <w:rsid w:val="00EF1A4C"/>
    <w:rsid w:val="00EF1C5C"/>
    <w:rsid w:val="00EF1CF7"/>
    <w:rsid w:val="00EF1EA6"/>
    <w:rsid w:val="00EF2941"/>
    <w:rsid w:val="00EF2B6F"/>
    <w:rsid w:val="00EF3298"/>
    <w:rsid w:val="00EF36B5"/>
    <w:rsid w:val="00EF42A2"/>
    <w:rsid w:val="00EF42BA"/>
    <w:rsid w:val="00EF4C5C"/>
    <w:rsid w:val="00EF4DBC"/>
    <w:rsid w:val="00EF4F4D"/>
    <w:rsid w:val="00EF516A"/>
    <w:rsid w:val="00EF5B80"/>
    <w:rsid w:val="00EF63FF"/>
    <w:rsid w:val="00EF653A"/>
    <w:rsid w:val="00EF655C"/>
    <w:rsid w:val="00EF6608"/>
    <w:rsid w:val="00EF6A87"/>
    <w:rsid w:val="00EF704B"/>
    <w:rsid w:val="00EF7289"/>
    <w:rsid w:val="00EF7CE2"/>
    <w:rsid w:val="00F001A8"/>
    <w:rsid w:val="00F01570"/>
    <w:rsid w:val="00F0184A"/>
    <w:rsid w:val="00F019D5"/>
    <w:rsid w:val="00F01CC3"/>
    <w:rsid w:val="00F01F97"/>
    <w:rsid w:val="00F029BB"/>
    <w:rsid w:val="00F02AFE"/>
    <w:rsid w:val="00F02DF9"/>
    <w:rsid w:val="00F032F6"/>
    <w:rsid w:val="00F039DE"/>
    <w:rsid w:val="00F04061"/>
    <w:rsid w:val="00F044AE"/>
    <w:rsid w:val="00F053A8"/>
    <w:rsid w:val="00F05EC7"/>
    <w:rsid w:val="00F05FCB"/>
    <w:rsid w:val="00F06100"/>
    <w:rsid w:val="00F07146"/>
    <w:rsid w:val="00F074F2"/>
    <w:rsid w:val="00F102BB"/>
    <w:rsid w:val="00F10A03"/>
    <w:rsid w:val="00F10CC2"/>
    <w:rsid w:val="00F1193A"/>
    <w:rsid w:val="00F12049"/>
    <w:rsid w:val="00F12470"/>
    <w:rsid w:val="00F12777"/>
    <w:rsid w:val="00F1326C"/>
    <w:rsid w:val="00F13AC1"/>
    <w:rsid w:val="00F146F7"/>
    <w:rsid w:val="00F14CB5"/>
    <w:rsid w:val="00F15779"/>
    <w:rsid w:val="00F16759"/>
    <w:rsid w:val="00F16C26"/>
    <w:rsid w:val="00F16C44"/>
    <w:rsid w:val="00F16C5E"/>
    <w:rsid w:val="00F17108"/>
    <w:rsid w:val="00F209FB"/>
    <w:rsid w:val="00F20DDA"/>
    <w:rsid w:val="00F21279"/>
    <w:rsid w:val="00F220AA"/>
    <w:rsid w:val="00F2278D"/>
    <w:rsid w:val="00F2297B"/>
    <w:rsid w:val="00F22DE8"/>
    <w:rsid w:val="00F22ED9"/>
    <w:rsid w:val="00F2304B"/>
    <w:rsid w:val="00F232D1"/>
    <w:rsid w:val="00F23E92"/>
    <w:rsid w:val="00F24287"/>
    <w:rsid w:val="00F243B2"/>
    <w:rsid w:val="00F24893"/>
    <w:rsid w:val="00F24A5E"/>
    <w:rsid w:val="00F24B80"/>
    <w:rsid w:val="00F24F92"/>
    <w:rsid w:val="00F25328"/>
    <w:rsid w:val="00F25EFA"/>
    <w:rsid w:val="00F2633C"/>
    <w:rsid w:val="00F26752"/>
    <w:rsid w:val="00F30FD1"/>
    <w:rsid w:val="00F3135A"/>
    <w:rsid w:val="00F3156A"/>
    <w:rsid w:val="00F3167C"/>
    <w:rsid w:val="00F31A6C"/>
    <w:rsid w:val="00F31B15"/>
    <w:rsid w:val="00F32039"/>
    <w:rsid w:val="00F32084"/>
    <w:rsid w:val="00F32085"/>
    <w:rsid w:val="00F324E7"/>
    <w:rsid w:val="00F32564"/>
    <w:rsid w:val="00F32676"/>
    <w:rsid w:val="00F328F8"/>
    <w:rsid w:val="00F32DAB"/>
    <w:rsid w:val="00F32FFB"/>
    <w:rsid w:val="00F33283"/>
    <w:rsid w:val="00F346A2"/>
    <w:rsid w:val="00F348D2"/>
    <w:rsid w:val="00F34BC1"/>
    <w:rsid w:val="00F34F4A"/>
    <w:rsid w:val="00F3503A"/>
    <w:rsid w:val="00F3506E"/>
    <w:rsid w:val="00F351D9"/>
    <w:rsid w:val="00F355C1"/>
    <w:rsid w:val="00F356CB"/>
    <w:rsid w:val="00F3572C"/>
    <w:rsid w:val="00F35759"/>
    <w:rsid w:val="00F359B9"/>
    <w:rsid w:val="00F35A3C"/>
    <w:rsid w:val="00F361DD"/>
    <w:rsid w:val="00F3687E"/>
    <w:rsid w:val="00F3702A"/>
    <w:rsid w:val="00F378CB"/>
    <w:rsid w:val="00F37937"/>
    <w:rsid w:val="00F37981"/>
    <w:rsid w:val="00F37F1D"/>
    <w:rsid w:val="00F407E9"/>
    <w:rsid w:val="00F408AE"/>
    <w:rsid w:val="00F41370"/>
    <w:rsid w:val="00F41803"/>
    <w:rsid w:val="00F42624"/>
    <w:rsid w:val="00F42D42"/>
    <w:rsid w:val="00F43892"/>
    <w:rsid w:val="00F44120"/>
    <w:rsid w:val="00F441BF"/>
    <w:rsid w:val="00F44D46"/>
    <w:rsid w:val="00F44EA9"/>
    <w:rsid w:val="00F456AF"/>
    <w:rsid w:val="00F45D6B"/>
    <w:rsid w:val="00F46A02"/>
    <w:rsid w:val="00F46D9A"/>
    <w:rsid w:val="00F47E3E"/>
    <w:rsid w:val="00F50B0B"/>
    <w:rsid w:val="00F5135E"/>
    <w:rsid w:val="00F519D2"/>
    <w:rsid w:val="00F51A8B"/>
    <w:rsid w:val="00F52B31"/>
    <w:rsid w:val="00F53334"/>
    <w:rsid w:val="00F537ED"/>
    <w:rsid w:val="00F54101"/>
    <w:rsid w:val="00F54A39"/>
    <w:rsid w:val="00F55583"/>
    <w:rsid w:val="00F5583C"/>
    <w:rsid w:val="00F5640E"/>
    <w:rsid w:val="00F56ADA"/>
    <w:rsid w:val="00F57BA8"/>
    <w:rsid w:val="00F608A5"/>
    <w:rsid w:val="00F60A73"/>
    <w:rsid w:val="00F60CE1"/>
    <w:rsid w:val="00F60F17"/>
    <w:rsid w:val="00F611DD"/>
    <w:rsid w:val="00F614EC"/>
    <w:rsid w:val="00F61AA8"/>
    <w:rsid w:val="00F61BA3"/>
    <w:rsid w:val="00F62081"/>
    <w:rsid w:val="00F62F77"/>
    <w:rsid w:val="00F631D3"/>
    <w:rsid w:val="00F635D3"/>
    <w:rsid w:val="00F63722"/>
    <w:rsid w:val="00F63CF9"/>
    <w:rsid w:val="00F63D98"/>
    <w:rsid w:val="00F64222"/>
    <w:rsid w:val="00F6476C"/>
    <w:rsid w:val="00F65B35"/>
    <w:rsid w:val="00F65BB9"/>
    <w:rsid w:val="00F66294"/>
    <w:rsid w:val="00F66520"/>
    <w:rsid w:val="00F66657"/>
    <w:rsid w:val="00F66753"/>
    <w:rsid w:val="00F676CB"/>
    <w:rsid w:val="00F67B92"/>
    <w:rsid w:val="00F70139"/>
    <w:rsid w:val="00F70265"/>
    <w:rsid w:val="00F70546"/>
    <w:rsid w:val="00F70794"/>
    <w:rsid w:val="00F7080F"/>
    <w:rsid w:val="00F70826"/>
    <w:rsid w:val="00F70A5C"/>
    <w:rsid w:val="00F70CF3"/>
    <w:rsid w:val="00F70E63"/>
    <w:rsid w:val="00F70F51"/>
    <w:rsid w:val="00F70F94"/>
    <w:rsid w:val="00F71D23"/>
    <w:rsid w:val="00F71D54"/>
    <w:rsid w:val="00F71DC2"/>
    <w:rsid w:val="00F71EC3"/>
    <w:rsid w:val="00F72148"/>
    <w:rsid w:val="00F722F8"/>
    <w:rsid w:val="00F72680"/>
    <w:rsid w:val="00F728DC"/>
    <w:rsid w:val="00F72D59"/>
    <w:rsid w:val="00F72F28"/>
    <w:rsid w:val="00F73457"/>
    <w:rsid w:val="00F735D4"/>
    <w:rsid w:val="00F74669"/>
    <w:rsid w:val="00F74821"/>
    <w:rsid w:val="00F74891"/>
    <w:rsid w:val="00F751BE"/>
    <w:rsid w:val="00F756A0"/>
    <w:rsid w:val="00F7658E"/>
    <w:rsid w:val="00F775D1"/>
    <w:rsid w:val="00F7763E"/>
    <w:rsid w:val="00F7784D"/>
    <w:rsid w:val="00F801A1"/>
    <w:rsid w:val="00F801AA"/>
    <w:rsid w:val="00F80783"/>
    <w:rsid w:val="00F8122E"/>
    <w:rsid w:val="00F81699"/>
    <w:rsid w:val="00F821FF"/>
    <w:rsid w:val="00F82694"/>
    <w:rsid w:val="00F82D09"/>
    <w:rsid w:val="00F832F0"/>
    <w:rsid w:val="00F83603"/>
    <w:rsid w:val="00F83A57"/>
    <w:rsid w:val="00F83C1F"/>
    <w:rsid w:val="00F84243"/>
    <w:rsid w:val="00F84CFA"/>
    <w:rsid w:val="00F85F54"/>
    <w:rsid w:val="00F863D2"/>
    <w:rsid w:val="00F86A14"/>
    <w:rsid w:val="00F86AA6"/>
    <w:rsid w:val="00F86BB5"/>
    <w:rsid w:val="00F872D2"/>
    <w:rsid w:val="00F87646"/>
    <w:rsid w:val="00F87FDF"/>
    <w:rsid w:val="00F90070"/>
    <w:rsid w:val="00F90CD8"/>
    <w:rsid w:val="00F90CF2"/>
    <w:rsid w:val="00F90D2A"/>
    <w:rsid w:val="00F90DB5"/>
    <w:rsid w:val="00F90FDB"/>
    <w:rsid w:val="00F916D7"/>
    <w:rsid w:val="00F91FAB"/>
    <w:rsid w:val="00F92509"/>
    <w:rsid w:val="00F92525"/>
    <w:rsid w:val="00F93B1B"/>
    <w:rsid w:val="00F94226"/>
    <w:rsid w:val="00F956F7"/>
    <w:rsid w:val="00F956F8"/>
    <w:rsid w:val="00F96C84"/>
    <w:rsid w:val="00F96E0C"/>
    <w:rsid w:val="00F96FD5"/>
    <w:rsid w:val="00F9739C"/>
    <w:rsid w:val="00F97A6D"/>
    <w:rsid w:val="00F97AEC"/>
    <w:rsid w:val="00FA03E0"/>
    <w:rsid w:val="00FA08AF"/>
    <w:rsid w:val="00FA0ADE"/>
    <w:rsid w:val="00FA0DC5"/>
    <w:rsid w:val="00FA0F30"/>
    <w:rsid w:val="00FA14E1"/>
    <w:rsid w:val="00FA1B81"/>
    <w:rsid w:val="00FA24C5"/>
    <w:rsid w:val="00FA30D5"/>
    <w:rsid w:val="00FA32A9"/>
    <w:rsid w:val="00FA34C5"/>
    <w:rsid w:val="00FA3DC4"/>
    <w:rsid w:val="00FA3E9B"/>
    <w:rsid w:val="00FA3F33"/>
    <w:rsid w:val="00FA43B2"/>
    <w:rsid w:val="00FA4607"/>
    <w:rsid w:val="00FA53AB"/>
    <w:rsid w:val="00FA5576"/>
    <w:rsid w:val="00FA5A46"/>
    <w:rsid w:val="00FA69C7"/>
    <w:rsid w:val="00FA6E57"/>
    <w:rsid w:val="00FA70BC"/>
    <w:rsid w:val="00FA7418"/>
    <w:rsid w:val="00FA7A48"/>
    <w:rsid w:val="00FB0415"/>
    <w:rsid w:val="00FB064C"/>
    <w:rsid w:val="00FB0C8F"/>
    <w:rsid w:val="00FB109C"/>
    <w:rsid w:val="00FB180E"/>
    <w:rsid w:val="00FB2382"/>
    <w:rsid w:val="00FB23E9"/>
    <w:rsid w:val="00FB24A7"/>
    <w:rsid w:val="00FB2575"/>
    <w:rsid w:val="00FB2830"/>
    <w:rsid w:val="00FB308B"/>
    <w:rsid w:val="00FB3DCB"/>
    <w:rsid w:val="00FB40AF"/>
    <w:rsid w:val="00FB4EA1"/>
    <w:rsid w:val="00FB4FB6"/>
    <w:rsid w:val="00FB5D59"/>
    <w:rsid w:val="00FB5F80"/>
    <w:rsid w:val="00FB6661"/>
    <w:rsid w:val="00FB6BC1"/>
    <w:rsid w:val="00FB6CDC"/>
    <w:rsid w:val="00FB6D50"/>
    <w:rsid w:val="00FB72F0"/>
    <w:rsid w:val="00FC02CE"/>
    <w:rsid w:val="00FC07CE"/>
    <w:rsid w:val="00FC0966"/>
    <w:rsid w:val="00FC121F"/>
    <w:rsid w:val="00FC1CCB"/>
    <w:rsid w:val="00FC20AB"/>
    <w:rsid w:val="00FC26E3"/>
    <w:rsid w:val="00FC2A31"/>
    <w:rsid w:val="00FC2BD7"/>
    <w:rsid w:val="00FC2C8B"/>
    <w:rsid w:val="00FC2DA1"/>
    <w:rsid w:val="00FC31BD"/>
    <w:rsid w:val="00FC36E7"/>
    <w:rsid w:val="00FC3EAF"/>
    <w:rsid w:val="00FC51D8"/>
    <w:rsid w:val="00FC56B8"/>
    <w:rsid w:val="00FC5794"/>
    <w:rsid w:val="00FC58D0"/>
    <w:rsid w:val="00FC5E15"/>
    <w:rsid w:val="00FC619B"/>
    <w:rsid w:val="00FC61CD"/>
    <w:rsid w:val="00FC6597"/>
    <w:rsid w:val="00FC6B4E"/>
    <w:rsid w:val="00FC6FA1"/>
    <w:rsid w:val="00FC7090"/>
    <w:rsid w:val="00FC7819"/>
    <w:rsid w:val="00FC7C72"/>
    <w:rsid w:val="00FC7F44"/>
    <w:rsid w:val="00FD02B4"/>
    <w:rsid w:val="00FD05AC"/>
    <w:rsid w:val="00FD0721"/>
    <w:rsid w:val="00FD07D7"/>
    <w:rsid w:val="00FD09D6"/>
    <w:rsid w:val="00FD1188"/>
    <w:rsid w:val="00FD1363"/>
    <w:rsid w:val="00FD1383"/>
    <w:rsid w:val="00FD1A2E"/>
    <w:rsid w:val="00FD2894"/>
    <w:rsid w:val="00FD2C3A"/>
    <w:rsid w:val="00FD2D1A"/>
    <w:rsid w:val="00FD32C3"/>
    <w:rsid w:val="00FD34A2"/>
    <w:rsid w:val="00FD3627"/>
    <w:rsid w:val="00FD46E7"/>
    <w:rsid w:val="00FD4B40"/>
    <w:rsid w:val="00FD4D4C"/>
    <w:rsid w:val="00FD4D66"/>
    <w:rsid w:val="00FD5256"/>
    <w:rsid w:val="00FD540F"/>
    <w:rsid w:val="00FD5547"/>
    <w:rsid w:val="00FD617E"/>
    <w:rsid w:val="00FD638C"/>
    <w:rsid w:val="00FD6BBF"/>
    <w:rsid w:val="00FD6E83"/>
    <w:rsid w:val="00FD6E86"/>
    <w:rsid w:val="00FD7CA3"/>
    <w:rsid w:val="00FD7DCA"/>
    <w:rsid w:val="00FE0420"/>
    <w:rsid w:val="00FE04EA"/>
    <w:rsid w:val="00FE0897"/>
    <w:rsid w:val="00FE1692"/>
    <w:rsid w:val="00FE19CE"/>
    <w:rsid w:val="00FE2310"/>
    <w:rsid w:val="00FE275E"/>
    <w:rsid w:val="00FE27AC"/>
    <w:rsid w:val="00FE2A1D"/>
    <w:rsid w:val="00FE31E2"/>
    <w:rsid w:val="00FE365D"/>
    <w:rsid w:val="00FE3AD9"/>
    <w:rsid w:val="00FE4C0F"/>
    <w:rsid w:val="00FE51E8"/>
    <w:rsid w:val="00FE5B17"/>
    <w:rsid w:val="00FE665C"/>
    <w:rsid w:val="00FE6681"/>
    <w:rsid w:val="00FE6C78"/>
    <w:rsid w:val="00FE6D6C"/>
    <w:rsid w:val="00FE7A38"/>
    <w:rsid w:val="00FF0026"/>
    <w:rsid w:val="00FF005A"/>
    <w:rsid w:val="00FF036A"/>
    <w:rsid w:val="00FF0B37"/>
    <w:rsid w:val="00FF1085"/>
    <w:rsid w:val="00FF11D3"/>
    <w:rsid w:val="00FF23EA"/>
    <w:rsid w:val="00FF2701"/>
    <w:rsid w:val="00FF272D"/>
    <w:rsid w:val="00FF2A8F"/>
    <w:rsid w:val="00FF37B6"/>
    <w:rsid w:val="00FF3AE8"/>
    <w:rsid w:val="00FF4533"/>
    <w:rsid w:val="00FF510C"/>
    <w:rsid w:val="00FF522C"/>
    <w:rsid w:val="00FF5352"/>
    <w:rsid w:val="00FF5946"/>
    <w:rsid w:val="00FF5D60"/>
    <w:rsid w:val="00FF6858"/>
    <w:rsid w:val="00FF6E56"/>
    <w:rsid w:val="00FF7451"/>
    <w:rsid w:val="00FF7946"/>
    <w:rsid w:val="011909C1"/>
    <w:rsid w:val="01399F96"/>
    <w:rsid w:val="015959B9"/>
    <w:rsid w:val="015BE7A1"/>
    <w:rsid w:val="01608495"/>
    <w:rsid w:val="01656719"/>
    <w:rsid w:val="017C13C9"/>
    <w:rsid w:val="018127C6"/>
    <w:rsid w:val="019BBB7C"/>
    <w:rsid w:val="019CC2B6"/>
    <w:rsid w:val="019F349F"/>
    <w:rsid w:val="01B69B43"/>
    <w:rsid w:val="01C06659"/>
    <w:rsid w:val="01C1182B"/>
    <w:rsid w:val="0225D179"/>
    <w:rsid w:val="022E6799"/>
    <w:rsid w:val="02332527"/>
    <w:rsid w:val="0243CBC3"/>
    <w:rsid w:val="024DB501"/>
    <w:rsid w:val="025A03BD"/>
    <w:rsid w:val="027F58BA"/>
    <w:rsid w:val="02997BCA"/>
    <w:rsid w:val="02CCF9F7"/>
    <w:rsid w:val="02E09D4A"/>
    <w:rsid w:val="02E7D856"/>
    <w:rsid w:val="02FAA1DC"/>
    <w:rsid w:val="032265A6"/>
    <w:rsid w:val="03424FB8"/>
    <w:rsid w:val="035B37BE"/>
    <w:rsid w:val="03621940"/>
    <w:rsid w:val="03638212"/>
    <w:rsid w:val="036A2904"/>
    <w:rsid w:val="037BBB3B"/>
    <w:rsid w:val="039B42AD"/>
    <w:rsid w:val="03D15D51"/>
    <w:rsid w:val="03EE3F42"/>
    <w:rsid w:val="040854E5"/>
    <w:rsid w:val="0421EF38"/>
    <w:rsid w:val="04257C81"/>
    <w:rsid w:val="04333B6E"/>
    <w:rsid w:val="043455F8"/>
    <w:rsid w:val="04821F60"/>
    <w:rsid w:val="048829C5"/>
    <w:rsid w:val="04A4FE2C"/>
    <w:rsid w:val="04AD583B"/>
    <w:rsid w:val="04B00CDE"/>
    <w:rsid w:val="04D020F8"/>
    <w:rsid w:val="04D90AF7"/>
    <w:rsid w:val="04E22B13"/>
    <w:rsid w:val="04E49A36"/>
    <w:rsid w:val="0505DF04"/>
    <w:rsid w:val="051F6E6E"/>
    <w:rsid w:val="053A176D"/>
    <w:rsid w:val="053C5133"/>
    <w:rsid w:val="054E2F2D"/>
    <w:rsid w:val="05507CC5"/>
    <w:rsid w:val="05A7B14C"/>
    <w:rsid w:val="05DA0C93"/>
    <w:rsid w:val="05E01145"/>
    <w:rsid w:val="06002C80"/>
    <w:rsid w:val="0609C043"/>
    <w:rsid w:val="060A9DF4"/>
    <w:rsid w:val="062944B2"/>
    <w:rsid w:val="064480E7"/>
    <w:rsid w:val="064EE858"/>
    <w:rsid w:val="065ECC68"/>
    <w:rsid w:val="06721C65"/>
    <w:rsid w:val="0682D473"/>
    <w:rsid w:val="06A180BA"/>
    <w:rsid w:val="06A8AA61"/>
    <w:rsid w:val="06B45AE4"/>
    <w:rsid w:val="06B87115"/>
    <w:rsid w:val="071DACBF"/>
    <w:rsid w:val="0722DC6B"/>
    <w:rsid w:val="074B2422"/>
    <w:rsid w:val="075413D6"/>
    <w:rsid w:val="0760A89D"/>
    <w:rsid w:val="07616429"/>
    <w:rsid w:val="07720DAA"/>
    <w:rsid w:val="0775F2F3"/>
    <w:rsid w:val="078F957A"/>
    <w:rsid w:val="07B93833"/>
    <w:rsid w:val="07C3D174"/>
    <w:rsid w:val="07D802D9"/>
    <w:rsid w:val="07DD5F05"/>
    <w:rsid w:val="07E78390"/>
    <w:rsid w:val="07E93DB1"/>
    <w:rsid w:val="07EE3AF4"/>
    <w:rsid w:val="08148F65"/>
    <w:rsid w:val="0816855D"/>
    <w:rsid w:val="082EA2C2"/>
    <w:rsid w:val="0842E0CB"/>
    <w:rsid w:val="0859F504"/>
    <w:rsid w:val="08A369AB"/>
    <w:rsid w:val="08B6F6CA"/>
    <w:rsid w:val="08C8B9E9"/>
    <w:rsid w:val="08CF4034"/>
    <w:rsid w:val="08ED3D3E"/>
    <w:rsid w:val="08F21141"/>
    <w:rsid w:val="08F58401"/>
    <w:rsid w:val="090F12FE"/>
    <w:rsid w:val="0932436E"/>
    <w:rsid w:val="098EC294"/>
    <w:rsid w:val="09A62086"/>
    <w:rsid w:val="09F3C18A"/>
    <w:rsid w:val="09F4CA67"/>
    <w:rsid w:val="0A071082"/>
    <w:rsid w:val="0A230869"/>
    <w:rsid w:val="0A39ABD9"/>
    <w:rsid w:val="0A435B6E"/>
    <w:rsid w:val="0A4388E4"/>
    <w:rsid w:val="0A4AD7C1"/>
    <w:rsid w:val="0A528DBE"/>
    <w:rsid w:val="0AA6B19F"/>
    <w:rsid w:val="0AB5ED37"/>
    <w:rsid w:val="0AD0ACBD"/>
    <w:rsid w:val="0ADAC33D"/>
    <w:rsid w:val="0B0C505E"/>
    <w:rsid w:val="0B48500A"/>
    <w:rsid w:val="0B56B5BD"/>
    <w:rsid w:val="0B5C10EF"/>
    <w:rsid w:val="0B65F43E"/>
    <w:rsid w:val="0B87ADAB"/>
    <w:rsid w:val="0B91878F"/>
    <w:rsid w:val="0B945C76"/>
    <w:rsid w:val="0BB446BC"/>
    <w:rsid w:val="0BC1ACEF"/>
    <w:rsid w:val="0BF663D8"/>
    <w:rsid w:val="0C064AB8"/>
    <w:rsid w:val="0C113F3B"/>
    <w:rsid w:val="0C14C684"/>
    <w:rsid w:val="0C18DA07"/>
    <w:rsid w:val="0C23D800"/>
    <w:rsid w:val="0C27D7BF"/>
    <w:rsid w:val="0C3685EF"/>
    <w:rsid w:val="0C4D03A4"/>
    <w:rsid w:val="0C5012C1"/>
    <w:rsid w:val="0C569A64"/>
    <w:rsid w:val="0C715700"/>
    <w:rsid w:val="0C8A1657"/>
    <w:rsid w:val="0C987516"/>
    <w:rsid w:val="0CDEB7F9"/>
    <w:rsid w:val="0D20AFD8"/>
    <w:rsid w:val="0D36EC91"/>
    <w:rsid w:val="0D39BAF9"/>
    <w:rsid w:val="0D3BF646"/>
    <w:rsid w:val="0D45BCB0"/>
    <w:rsid w:val="0D66C27F"/>
    <w:rsid w:val="0D75D99A"/>
    <w:rsid w:val="0D782861"/>
    <w:rsid w:val="0D94897F"/>
    <w:rsid w:val="0DCDE61D"/>
    <w:rsid w:val="0DD044D0"/>
    <w:rsid w:val="0DDD3B13"/>
    <w:rsid w:val="0DE67124"/>
    <w:rsid w:val="0DEDAD8A"/>
    <w:rsid w:val="0E1FDD3D"/>
    <w:rsid w:val="0E420536"/>
    <w:rsid w:val="0E70F56D"/>
    <w:rsid w:val="0E814C56"/>
    <w:rsid w:val="0E9B730F"/>
    <w:rsid w:val="0EBD7D0F"/>
    <w:rsid w:val="0EEDAE0B"/>
    <w:rsid w:val="0F0537DD"/>
    <w:rsid w:val="0F05437E"/>
    <w:rsid w:val="0F0A3F0A"/>
    <w:rsid w:val="0F154664"/>
    <w:rsid w:val="0F2282CA"/>
    <w:rsid w:val="0F315789"/>
    <w:rsid w:val="0F57D1B8"/>
    <w:rsid w:val="0F5CB310"/>
    <w:rsid w:val="0F8B7FE7"/>
    <w:rsid w:val="0FA0DA52"/>
    <w:rsid w:val="0FA9FAEA"/>
    <w:rsid w:val="0FAD7A9D"/>
    <w:rsid w:val="0FDC4CFB"/>
    <w:rsid w:val="0FFE6BE2"/>
    <w:rsid w:val="1049A6F3"/>
    <w:rsid w:val="10501EA2"/>
    <w:rsid w:val="1070D58E"/>
    <w:rsid w:val="1089DF21"/>
    <w:rsid w:val="10952517"/>
    <w:rsid w:val="10C46EFE"/>
    <w:rsid w:val="10CC5528"/>
    <w:rsid w:val="10E6EF05"/>
    <w:rsid w:val="10F8F777"/>
    <w:rsid w:val="110BEAA4"/>
    <w:rsid w:val="113CEDF8"/>
    <w:rsid w:val="1142A837"/>
    <w:rsid w:val="1144D7E6"/>
    <w:rsid w:val="11849438"/>
    <w:rsid w:val="119BBAEE"/>
    <w:rsid w:val="11A3B854"/>
    <w:rsid w:val="11B021E0"/>
    <w:rsid w:val="11C0428B"/>
    <w:rsid w:val="11E0B8BA"/>
    <w:rsid w:val="11F345E8"/>
    <w:rsid w:val="12149179"/>
    <w:rsid w:val="121DDB1B"/>
    <w:rsid w:val="1272704E"/>
    <w:rsid w:val="129D6E42"/>
    <w:rsid w:val="129F7373"/>
    <w:rsid w:val="12D30B92"/>
    <w:rsid w:val="12DAA376"/>
    <w:rsid w:val="12ECC137"/>
    <w:rsid w:val="1313FABA"/>
    <w:rsid w:val="13190A22"/>
    <w:rsid w:val="131F72BF"/>
    <w:rsid w:val="1373D7F2"/>
    <w:rsid w:val="13B0771A"/>
    <w:rsid w:val="14268B7E"/>
    <w:rsid w:val="14336545"/>
    <w:rsid w:val="143E553F"/>
    <w:rsid w:val="145A1502"/>
    <w:rsid w:val="1465C87A"/>
    <w:rsid w:val="147FABAD"/>
    <w:rsid w:val="148A9CA3"/>
    <w:rsid w:val="14AC22BC"/>
    <w:rsid w:val="14C68F00"/>
    <w:rsid w:val="14D17078"/>
    <w:rsid w:val="1505BD1A"/>
    <w:rsid w:val="1517DDC2"/>
    <w:rsid w:val="1519CA20"/>
    <w:rsid w:val="1562CA3D"/>
    <w:rsid w:val="1573F44F"/>
    <w:rsid w:val="157CF6D6"/>
    <w:rsid w:val="15831C88"/>
    <w:rsid w:val="158972CF"/>
    <w:rsid w:val="1596BAF8"/>
    <w:rsid w:val="159D295B"/>
    <w:rsid w:val="15A82818"/>
    <w:rsid w:val="15AD6B83"/>
    <w:rsid w:val="15D5F82D"/>
    <w:rsid w:val="15D92825"/>
    <w:rsid w:val="15E08A2F"/>
    <w:rsid w:val="163829AD"/>
    <w:rsid w:val="1642513B"/>
    <w:rsid w:val="164D3DA2"/>
    <w:rsid w:val="16605EC4"/>
    <w:rsid w:val="1665AA23"/>
    <w:rsid w:val="1667B6E0"/>
    <w:rsid w:val="1679C18B"/>
    <w:rsid w:val="16AA27C5"/>
    <w:rsid w:val="16EB338F"/>
    <w:rsid w:val="16F0E4AC"/>
    <w:rsid w:val="16FC4BAA"/>
    <w:rsid w:val="16FCBBC6"/>
    <w:rsid w:val="1700B331"/>
    <w:rsid w:val="17127183"/>
    <w:rsid w:val="1715CB97"/>
    <w:rsid w:val="1717E6AE"/>
    <w:rsid w:val="173698E7"/>
    <w:rsid w:val="17529B05"/>
    <w:rsid w:val="176B3539"/>
    <w:rsid w:val="176FFB0C"/>
    <w:rsid w:val="17738D6C"/>
    <w:rsid w:val="178CFC3A"/>
    <w:rsid w:val="179577E6"/>
    <w:rsid w:val="17DE7142"/>
    <w:rsid w:val="17E262BA"/>
    <w:rsid w:val="17E5B00C"/>
    <w:rsid w:val="184AB7DD"/>
    <w:rsid w:val="184E69F0"/>
    <w:rsid w:val="189CDBDD"/>
    <w:rsid w:val="189E12DD"/>
    <w:rsid w:val="18A55182"/>
    <w:rsid w:val="18E97D80"/>
    <w:rsid w:val="18EAEDB3"/>
    <w:rsid w:val="18ED1B11"/>
    <w:rsid w:val="19046FC0"/>
    <w:rsid w:val="190C522B"/>
    <w:rsid w:val="191D4E45"/>
    <w:rsid w:val="192BD18C"/>
    <w:rsid w:val="19348F05"/>
    <w:rsid w:val="193EDF1C"/>
    <w:rsid w:val="1946D164"/>
    <w:rsid w:val="1967FEE7"/>
    <w:rsid w:val="1969C411"/>
    <w:rsid w:val="1996C286"/>
    <w:rsid w:val="19A4DC04"/>
    <w:rsid w:val="19C0A2E0"/>
    <w:rsid w:val="19C55890"/>
    <w:rsid w:val="19D98D42"/>
    <w:rsid w:val="19E7546F"/>
    <w:rsid w:val="19EAD359"/>
    <w:rsid w:val="19FEED9B"/>
    <w:rsid w:val="1A09633F"/>
    <w:rsid w:val="1A2CFAE4"/>
    <w:rsid w:val="1A55FB05"/>
    <w:rsid w:val="1A6EC201"/>
    <w:rsid w:val="1A6EDAB7"/>
    <w:rsid w:val="1A8E1A57"/>
    <w:rsid w:val="1ABA940C"/>
    <w:rsid w:val="1ACC436C"/>
    <w:rsid w:val="1ACE0341"/>
    <w:rsid w:val="1B0435EC"/>
    <w:rsid w:val="1B2C161C"/>
    <w:rsid w:val="1B6FD4EA"/>
    <w:rsid w:val="1B773AE9"/>
    <w:rsid w:val="1B8EB067"/>
    <w:rsid w:val="1B955242"/>
    <w:rsid w:val="1B9CD0BC"/>
    <w:rsid w:val="1BF7FFF7"/>
    <w:rsid w:val="1BFE0320"/>
    <w:rsid w:val="1C1598C9"/>
    <w:rsid w:val="1C23C935"/>
    <w:rsid w:val="1C37DC3D"/>
    <w:rsid w:val="1C437414"/>
    <w:rsid w:val="1C7984E1"/>
    <w:rsid w:val="1C832D0B"/>
    <w:rsid w:val="1C9A0411"/>
    <w:rsid w:val="1CBB5CAA"/>
    <w:rsid w:val="1CBFC6D9"/>
    <w:rsid w:val="1CBFCEEE"/>
    <w:rsid w:val="1CC9A3CE"/>
    <w:rsid w:val="1CDBD382"/>
    <w:rsid w:val="1CFD7B27"/>
    <w:rsid w:val="1D2D3734"/>
    <w:rsid w:val="1D334513"/>
    <w:rsid w:val="1D4128F5"/>
    <w:rsid w:val="1D4DB5FA"/>
    <w:rsid w:val="1D59097D"/>
    <w:rsid w:val="1D6E3790"/>
    <w:rsid w:val="1D6E6F48"/>
    <w:rsid w:val="1D78FD34"/>
    <w:rsid w:val="1D80105E"/>
    <w:rsid w:val="1D9D61F7"/>
    <w:rsid w:val="1DDBF6F5"/>
    <w:rsid w:val="1E138C69"/>
    <w:rsid w:val="1E372746"/>
    <w:rsid w:val="1E7CE9F1"/>
    <w:rsid w:val="1E843F9B"/>
    <w:rsid w:val="1EBCF601"/>
    <w:rsid w:val="1EE6EE70"/>
    <w:rsid w:val="1EEDF496"/>
    <w:rsid w:val="1F10C9CB"/>
    <w:rsid w:val="1F2E78B4"/>
    <w:rsid w:val="1F32CEE0"/>
    <w:rsid w:val="1F4ABA35"/>
    <w:rsid w:val="1F5FC1DF"/>
    <w:rsid w:val="1F63130B"/>
    <w:rsid w:val="1F7B6721"/>
    <w:rsid w:val="1F8AD104"/>
    <w:rsid w:val="1F8C48E5"/>
    <w:rsid w:val="1FA28C0A"/>
    <w:rsid w:val="1FB4E57A"/>
    <w:rsid w:val="1FB536CA"/>
    <w:rsid w:val="1FC304BB"/>
    <w:rsid w:val="1FD14984"/>
    <w:rsid w:val="1FE487B9"/>
    <w:rsid w:val="1FE5FDE6"/>
    <w:rsid w:val="1FE75275"/>
    <w:rsid w:val="1FF51321"/>
    <w:rsid w:val="200C115F"/>
    <w:rsid w:val="2036D112"/>
    <w:rsid w:val="20394ABE"/>
    <w:rsid w:val="20531AEC"/>
    <w:rsid w:val="205D60B2"/>
    <w:rsid w:val="20741B49"/>
    <w:rsid w:val="20786686"/>
    <w:rsid w:val="209B2207"/>
    <w:rsid w:val="209E00D2"/>
    <w:rsid w:val="20BAB382"/>
    <w:rsid w:val="20BB6B78"/>
    <w:rsid w:val="212CAF44"/>
    <w:rsid w:val="2174A683"/>
    <w:rsid w:val="21764748"/>
    <w:rsid w:val="2176674D"/>
    <w:rsid w:val="21B8509F"/>
    <w:rsid w:val="21DA41B4"/>
    <w:rsid w:val="220982C6"/>
    <w:rsid w:val="2215891A"/>
    <w:rsid w:val="224AF8A4"/>
    <w:rsid w:val="22C53A59"/>
    <w:rsid w:val="22CEC941"/>
    <w:rsid w:val="22E4EEF2"/>
    <w:rsid w:val="231D0346"/>
    <w:rsid w:val="2329334C"/>
    <w:rsid w:val="2339DC1B"/>
    <w:rsid w:val="23606DC6"/>
    <w:rsid w:val="23700199"/>
    <w:rsid w:val="237387D0"/>
    <w:rsid w:val="2388F970"/>
    <w:rsid w:val="2396F4AD"/>
    <w:rsid w:val="23BA0459"/>
    <w:rsid w:val="23C13405"/>
    <w:rsid w:val="23C685E4"/>
    <w:rsid w:val="2408C237"/>
    <w:rsid w:val="24095483"/>
    <w:rsid w:val="240D3E18"/>
    <w:rsid w:val="242B6BAC"/>
    <w:rsid w:val="245B5E23"/>
    <w:rsid w:val="24867E3C"/>
    <w:rsid w:val="24AA7E01"/>
    <w:rsid w:val="24D2E702"/>
    <w:rsid w:val="25076AA8"/>
    <w:rsid w:val="2509533C"/>
    <w:rsid w:val="250C4861"/>
    <w:rsid w:val="25354CEC"/>
    <w:rsid w:val="2549499B"/>
    <w:rsid w:val="255B3AAA"/>
    <w:rsid w:val="257F0954"/>
    <w:rsid w:val="259458F2"/>
    <w:rsid w:val="25AC5B4C"/>
    <w:rsid w:val="25BA5865"/>
    <w:rsid w:val="25D656A1"/>
    <w:rsid w:val="25FA3862"/>
    <w:rsid w:val="2638C399"/>
    <w:rsid w:val="264742D2"/>
    <w:rsid w:val="26490F93"/>
    <w:rsid w:val="26601984"/>
    <w:rsid w:val="267A9D6A"/>
    <w:rsid w:val="267DA2B1"/>
    <w:rsid w:val="26B3441E"/>
    <w:rsid w:val="26BD4CAD"/>
    <w:rsid w:val="26BE3350"/>
    <w:rsid w:val="26C7B629"/>
    <w:rsid w:val="26CD8FDE"/>
    <w:rsid w:val="26F685B7"/>
    <w:rsid w:val="270478B9"/>
    <w:rsid w:val="270D1EEA"/>
    <w:rsid w:val="2715DD23"/>
    <w:rsid w:val="2718BB27"/>
    <w:rsid w:val="27453FD5"/>
    <w:rsid w:val="27666C6C"/>
    <w:rsid w:val="2788AAFB"/>
    <w:rsid w:val="279A323E"/>
    <w:rsid w:val="279B4B56"/>
    <w:rsid w:val="27A537FB"/>
    <w:rsid w:val="27B10E75"/>
    <w:rsid w:val="27BB1DE9"/>
    <w:rsid w:val="27C3407D"/>
    <w:rsid w:val="27EA7628"/>
    <w:rsid w:val="27EE0245"/>
    <w:rsid w:val="27F35D8C"/>
    <w:rsid w:val="27F5E355"/>
    <w:rsid w:val="2810350B"/>
    <w:rsid w:val="283F34FE"/>
    <w:rsid w:val="288C51D4"/>
    <w:rsid w:val="2896BB43"/>
    <w:rsid w:val="28972C91"/>
    <w:rsid w:val="28999617"/>
    <w:rsid w:val="28D826E9"/>
    <w:rsid w:val="28E7E644"/>
    <w:rsid w:val="28FA391C"/>
    <w:rsid w:val="2905B1AC"/>
    <w:rsid w:val="2907E88D"/>
    <w:rsid w:val="2950B9D2"/>
    <w:rsid w:val="295DA8AF"/>
    <w:rsid w:val="2970C0B7"/>
    <w:rsid w:val="29817B91"/>
    <w:rsid w:val="29A1AA2E"/>
    <w:rsid w:val="29C8CE7E"/>
    <w:rsid w:val="2A0AB091"/>
    <w:rsid w:val="2A31EA1F"/>
    <w:rsid w:val="2A3B3BD5"/>
    <w:rsid w:val="2A47DD0E"/>
    <w:rsid w:val="2A64272A"/>
    <w:rsid w:val="2A7DD854"/>
    <w:rsid w:val="2AB42F22"/>
    <w:rsid w:val="2ABADF10"/>
    <w:rsid w:val="2AC16C12"/>
    <w:rsid w:val="2B139932"/>
    <w:rsid w:val="2B37275B"/>
    <w:rsid w:val="2B373BB2"/>
    <w:rsid w:val="2B5CBDD9"/>
    <w:rsid w:val="2B6587BD"/>
    <w:rsid w:val="2B6A5CC2"/>
    <w:rsid w:val="2B6D7173"/>
    <w:rsid w:val="2B8793D4"/>
    <w:rsid w:val="2BC4E567"/>
    <w:rsid w:val="2BD51BDB"/>
    <w:rsid w:val="2BDBCBFF"/>
    <w:rsid w:val="2BF64A52"/>
    <w:rsid w:val="2C22F52A"/>
    <w:rsid w:val="2C3BEDCE"/>
    <w:rsid w:val="2C46D3FB"/>
    <w:rsid w:val="2C57BC04"/>
    <w:rsid w:val="2C87FC99"/>
    <w:rsid w:val="2CAB9A69"/>
    <w:rsid w:val="2CAF028F"/>
    <w:rsid w:val="2CCC618C"/>
    <w:rsid w:val="2CEDFD35"/>
    <w:rsid w:val="2D3F7B9C"/>
    <w:rsid w:val="2D4B5970"/>
    <w:rsid w:val="2D63A0AA"/>
    <w:rsid w:val="2D75912D"/>
    <w:rsid w:val="2D852E4A"/>
    <w:rsid w:val="2D8B7728"/>
    <w:rsid w:val="2D8D1031"/>
    <w:rsid w:val="2DA00BB6"/>
    <w:rsid w:val="2DEC2282"/>
    <w:rsid w:val="2E42E6E1"/>
    <w:rsid w:val="2E4C78A2"/>
    <w:rsid w:val="2EB0C56B"/>
    <w:rsid w:val="2ECCFA07"/>
    <w:rsid w:val="2EDC1923"/>
    <w:rsid w:val="2EDF6C13"/>
    <w:rsid w:val="2EF6FA6C"/>
    <w:rsid w:val="2F2AF878"/>
    <w:rsid w:val="2F4EF6AF"/>
    <w:rsid w:val="2F5185FE"/>
    <w:rsid w:val="2F5D04A8"/>
    <w:rsid w:val="2FD0338E"/>
    <w:rsid w:val="2FD44784"/>
    <w:rsid w:val="2FEC1284"/>
    <w:rsid w:val="3020B2DC"/>
    <w:rsid w:val="302B9A25"/>
    <w:rsid w:val="30315116"/>
    <w:rsid w:val="3044CD6C"/>
    <w:rsid w:val="3055D946"/>
    <w:rsid w:val="3061D106"/>
    <w:rsid w:val="30737501"/>
    <w:rsid w:val="3083A7B0"/>
    <w:rsid w:val="309ACE39"/>
    <w:rsid w:val="30AC9C44"/>
    <w:rsid w:val="30B3BF28"/>
    <w:rsid w:val="30B77144"/>
    <w:rsid w:val="30C2A842"/>
    <w:rsid w:val="30C7D399"/>
    <w:rsid w:val="30C8925C"/>
    <w:rsid w:val="30EFD856"/>
    <w:rsid w:val="31069091"/>
    <w:rsid w:val="312EC096"/>
    <w:rsid w:val="3141DDF5"/>
    <w:rsid w:val="31589B2B"/>
    <w:rsid w:val="315E3CE7"/>
    <w:rsid w:val="315FE7E6"/>
    <w:rsid w:val="31613FA2"/>
    <w:rsid w:val="317690CF"/>
    <w:rsid w:val="31788149"/>
    <w:rsid w:val="317D11E7"/>
    <w:rsid w:val="319F3516"/>
    <w:rsid w:val="31A83DA4"/>
    <w:rsid w:val="3205E9E8"/>
    <w:rsid w:val="3245B3FC"/>
    <w:rsid w:val="32504E5F"/>
    <w:rsid w:val="32E49774"/>
    <w:rsid w:val="32EA8E3E"/>
    <w:rsid w:val="330448CD"/>
    <w:rsid w:val="330E805D"/>
    <w:rsid w:val="332E875B"/>
    <w:rsid w:val="333A97EE"/>
    <w:rsid w:val="335CB7C9"/>
    <w:rsid w:val="33647E24"/>
    <w:rsid w:val="336C40E8"/>
    <w:rsid w:val="338EAC44"/>
    <w:rsid w:val="3397535E"/>
    <w:rsid w:val="33E67DC9"/>
    <w:rsid w:val="340F071F"/>
    <w:rsid w:val="341175E7"/>
    <w:rsid w:val="341EF06C"/>
    <w:rsid w:val="3422C5EC"/>
    <w:rsid w:val="343F787D"/>
    <w:rsid w:val="345DFAE4"/>
    <w:rsid w:val="34602B09"/>
    <w:rsid w:val="3474295C"/>
    <w:rsid w:val="347C8F41"/>
    <w:rsid w:val="3492B6D2"/>
    <w:rsid w:val="34B9B35C"/>
    <w:rsid w:val="34C85426"/>
    <w:rsid w:val="34DD3394"/>
    <w:rsid w:val="34E9B72A"/>
    <w:rsid w:val="350EDC79"/>
    <w:rsid w:val="35181F36"/>
    <w:rsid w:val="353029F4"/>
    <w:rsid w:val="35417C7D"/>
    <w:rsid w:val="35479355"/>
    <w:rsid w:val="355E0CE5"/>
    <w:rsid w:val="35A8FF60"/>
    <w:rsid w:val="35A9C9A0"/>
    <w:rsid w:val="35B0A069"/>
    <w:rsid w:val="35D93EF0"/>
    <w:rsid w:val="35DA07FD"/>
    <w:rsid w:val="35FC18A4"/>
    <w:rsid w:val="360BA7F1"/>
    <w:rsid w:val="361094AD"/>
    <w:rsid w:val="362204CC"/>
    <w:rsid w:val="3629ED51"/>
    <w:rsid w:val="364A7163"/>
    <w:rsid w:val="365C2C98"/>
    <w:rsid w:val="365DFCBF"/>
    <w:rsid w:val="367F2749"/>
    <w:rsid w:val="36AA4B8C"/>
    <w:rsid w:val="36BF6470"/>
    <w:rsid w:val="36DE62C3"/>
    <w:rsid w:val="3700CAB1"/>
    <w:rsid w:val="374ECD22"/>
    <w:rsid w:val="376419DA"/>
    <w:rsid w:val="3769CE19"/>
    <w:rsid w:val="378C31B7"/>
    <w:rsid w:val="379AC228"/>
    <w:rsid w:val="379F30F1"/>
    <w:rsid w:val="37C252FE"/>
    <w:rsid w:val="37EEFDE0"/>
    <w:rsid w:val="37FF1662"/>
    <w:rsid w:val="38050251"/>
    <w:rsid w:val="3810C89E"/>
    <w:rsid w:val="382BD6AD"/>
    <w:rsid w:val="384245C6"/>
    <w:rsid w:val="3865C9E2"/>
    <w:rsid w:val="386A7BC5"/>
    <w:rsid w:val="3876EAAD"/>
    <w:rsid w:val="387EFA86"/>
    <w:rsid w:val="387FFEDE"/>
    <w:rsid w:val="38804CB6"/>
    <w:rsid w:val="388611E8"/>
    <w:rsid w:val="38964CD4"/>
    <w:rsid w:val="38D400C4"/>
    <w:rsid w:val="38EB8331"/>
    <w:rsid w:val="38F32147"/>
    <w:rsid w:val="3914110C"/>
    <w:rsid w:val="391CF2F3"/>
    <w:rsid w:val="3924A3A9"/>
    <w:rsid w:val="39440ED2"/>
    <w:rsid w:val="39801189"/>
    <w:rsid w:val="3981C6E6"/>
    <w:rsid w:val="398B7A82"/>
    <w:rsid w:val="3997EC29"/>
    <w:rsid w:val="39CC914D"/>
    <w:rsid w:val="39D7DCC4"/>
    <w:rsid w:val="39F53B6A"/>
    <w:rsid w:val="39FC9261"/>
    <w:rsid w:val="39FD530A"/>
    <w:rsid w:val="3A14F0F9"/>
    <w:rsid w:val="3A399C76"/>
    <w:rsid w:val="3A42ED69"/>
    <w:rsid w:val="3A46BDA1"/>
    <w:rsid w:val="3A49CCE1"/>
    <w:rsid w:val="3A69E9CF"/>
    <w:rsid w:val="3A8A3CA1"/>
    <w:rsid w:val="3AC60667"/>
    <w:rsid w:val="3AEF54AD"/>
    <w:rsid w:val="3B013B4F"/>
    <w:rsid w:val="3B0DEC49"/>
    <w:rsid w:val="3B179A71"/>
    <w:rsid w:val="3B204F14"/>
    <w:rsid w:val="3B23F5E8"/>
    <w:rsid w:val="3B8DE939"/>
    <w:rsid w:val="3B9B39C1"/>
    <w:rsid w:val="3BCCD6E8"/>
    <w:rsid w:val="3BEB250C"/>
    <w:rsid w:val="3BF2762E"/>
    <w:rsid w:val="3BF39C06"/>
    <w:rsid w:val="3BF6A466"/>
    <w:rsid w:val="3BF85543"/>
    <w:rsid w:val="3C06F3F4"/>
    <w:rsid w:val="3C137C8B"/>
    <w:rsid w:val="3C215FA4"/>
    <w:rsid w:val="3C3E42E3"/>
    <w:rsid w:val="3C5255C7"/>
    <w:rsid w:val="3C9459D6"/>
    <w:rsid w:val="3CAB396A"/>
    <w:rsid w:val="3CC1BC77"/>
    <w:rsid w:val="3CCCA876"/>
    <w:rsid w:val="3D23773F"/>
    <w:rsid w:val="3D6CF971"/>
    <w:rsid w:val="3D7A60D7"/>
    <w:rsid w:val="3D97CF5D"/>
    <w:rsid w:val="3DA7B310"/>
    <w:rsid w:val="3DE8B7CB"/>
    <w:rsid w:val="3DF2EB86"/>
    <w:rsid w:val="3E15CCBB"/>
    <w:rsid w:val="3E1D6225"/>
    <w:rsid w:val="3E306789"/>
    <w:rsid w:val="3E6107A2"/>
    <w:rsid w:val="3E883A19"/>
    <w:rsid w:val="3E9CDB04"/>
    <w:rsid w:val="3EABE437"/>
    <w:rsid w:val="3EB55827"/>
    <w:rsid w:val="3EB597FD"/>
    <w:rsid w:val="3EBD6ED1"/>
    <w:rsid w:val="3ECB53C3"/>
    <w:rsid w:val="3ECD99FB"/>
    <w:rsid w:val="3ECE1998"/>
    <w:rsid w:val="3EE7B05E"/>
    <w:rsid w:val="3F0E6FB6"/>
    <w:rsid w:val="3F1710DD"/>
    <w:rsid w:val="3F202581"/>
    <w:rsid w:val="3F2988AC"/>
    <w:rsid w:val="3F79C996"/>
    <w:rsid w:val="3F9616F4"/>
    <w:rsid w:val="3F9A1086"/>
    <w:rsid w:val="3FBF0614"/>
    <w:rsid w:val="401584FB"/>
    <w:rsid w:val="4042DE22"/>
    <w:rsid w:val="404EA873"/>
    <w:rsid w:val="40CC97DC"/>
    <w:rsid w:val="411EFA00"/>
    <w:rsid w:val="412D7006"/>
    <w:rsid w:val="4141B4ED"/>
    <w:rsid w:val="41567E9A"/>
    <w:rsid w:val="418DE469"/>
    <w:rsid w:val="41AAB69E"/>
    <w:rsid w:val="41AB44D5"/>
    <w:rsid w:val="41BD8429"/>
    <w:rsid w:val="41CF53EE"/>
    <w:rsid w:val="41EEC384"/>
    <w:rsid w:val="4208DE9A"/>
    <w:rsid w:val="420F806F"/>
    <w:rsid w:val="422B7C29"/>
    <w:rsid w:val="424F4928"/>
    <w:rsid w:val="425A64A1"/>
    <w:rsid w:val="42662ED9"/>
    <w:rsid w:val="427B1BE8"/>
    <w:rsid w:val="429648B7"/>
    <w:rsid w:val="42978A37"/>
    <w:rsid w:val="42B42097"/>
    <w:rsid w:val="42BC665C"/>
    <w:rsid w:val="42C8E324"/>
    <w:rsid w:val="42CF3F36"/>
    <w:rsid w:val="42D3056F"/>
    <w:rsid w:val="42FE9511"/>
    <w:rsid w:val="4303A045"/>
    <w:rsid w:val="43085AD7"/>
    <w:rsid w:val="430B4781"/>
    <w:rsid w:val="431C9591"/>
    <w:rsid w:val="432C74D2"/>
    <w:rsid w:val="4340EC0F"/>
    <w:rsid w:val="4343D4D5"/>
    <w:rsid w:val="435D8BC0"/>
    <w:rsid w:val="436D5D11"/>
    <w:rsid w:val="43730EFB"/>
    <w:rsid w:val="43794EC3"/>
    <w:rsid w:val="4388F248"/>
    <w:rsid w:val="43A33195"/>
    <w:rsid w:val="43B0508D"/>
    <w:rsid w:val="43C834CA"/>
    <w:rsid w:val="43D2E624"/>
    <w:rsid w:val="43D54947"/>
    <w:rsid w:val="43DA89CD"/>
    <w:rsid w:val="43F46EF7"/>
    <w:rsid w:val="443E48AD"/>
    <w:rsid w:val="443FC534"/>
    <w:rsid w:val="444F550B"/>
    <w:rsid w:val="4472107E"/>
    <w:rsid w:val="4479286E"/>
    <w:rsid w:val="447C6AA4"/>
    <w:rsid w:val="44894C1F"/>
    <w:rsid w:val="448D9149"/>
    <w:rsid w:val="44F06429"/>
    <w:rsid w:val="44F2F9FB"/>
    <w:rsid w:val="44F67BFC"/>
    <w:rsid w:val="44F95FA9"/>
    <w:rsid w:val="450E287A"/>
    <w:rsid w:val="4536E8E2"/>
    <w:rsid w:val="4539A2C4"/>
    <w:rsid w:val="4539D423"/>
    <w:rsid w:val="456A3C26"/>
    <w:rsid w:val="4589DAFB"/>
    <w:rsid w:val="458EA943"/>
    <w:rsid w:val="4597059F"/>
    <w:rsid w:val="45ACCE92"/>
    <w:rsid w:val="45C60683"/>
    <w:rsid w:val="45D52EF5"/>
    <w:rsid w:val="45DA551C"/>
    <w:rsid w:val="45E35E49"/>
    <w:rsid w:val="45E829AC"/>
    <w:rsid w:val="45EB795D"/>
    <w:rsid w:val="460ABC1F"/>
    <w:rsid w:val="461E9DC5"/>
    <w:rsid w:val="463ECC68"/>
    <w:rsid w:val="4687E680"/>
    <w:rsid w:val="469E3FB1"/>
    <w:rsid w:val="46A83204"/>
    <w:rsid w:val="46B5838A"/>
    <w:rsid w:val="46C24756"/>
    <w:rsid w:val="46C60602"/>
    <w:rsid w:val="46C9CAA7"/>
    <w:rsid w:val="46D97D9C"/>
    <w:rsid w:val="46E4475B"/>
    <w:rsid w:val="46E7451A"/>
    <w:rsid w:val="46E7F6D8"/>
    <w:rsid w:val="46E8CFE6"/>
    <w:rsid w:val="46F3273F"/>
    <w:rsid w:val="471D6CE9"/>
    <w:rsid w:val="4726E2BB"/>
    <w:rsid w:val="4730AD16"/>
    <w:rsid w:val="4736D7C9"/>
    <w:rsid w:val="474058D1"/>
    <w:rsid w:val="474B320C"/>
    <w:rsid w:val="475CAE5D"/>
    <w:rsid w:val="475E28E7"/>
    <w:rsid w:val="475E33B4"/>
    <w:rsid w:val="47938EF3"/>
    <w:rsid w:val="47BC048E"/>
    <w:rsid w:val="47CF2A41"/>
    <w:rsid w:val="47DD6546"/>
    <w:rsid w:val="48078989"/>
    <w:rsid w:val="4809FCB8"/>
    <w:rsid w:val="4827A18B"/>
    <w:rsid w:val="48364E0E"/>
    <w:rsid w:val="4838F6A5"/>
    <w:rsid w:val="4844F83D"/>
    <w:rsid w:val="48455C0D"/>
    <w:rsid w:val="4846ED42"/>
    <w:rsid w:val="484860A8"/>
    <w:rsid w:val="4882D368"/>
    <w:rsid w:val="48B5C352"/>
    <w:rsid w:val="48B6027A"/>
    <w:rsid w:val="48BB22CF"/>
    <w:rsid w:val="48CE07CE"/>
    <w:rsid w:val="48D49E8F"/>
    <w:rsid w:val="48DD077C"/>
    <w:rsid w:val="48E0B1B0"/>
    <w:rsid w:val="49017DA2"/>
    <w:rsid w:val="491833BF"/>
    <w:rsid w:val="492BC3ED"/>
    <w:rsid w:val="494091CE"/>
    <w:rsid w:val="495B530C"/>
    <w:rsid w:val="496A1A07"/>
    <w:rsid w:val="496ED70B"/>
    <w:rsid w:val="49784A74"/>
    <w:rsid w:val="4999BF07"/>
    <w:rsid w:val="49ADB00E"/>
    <w:rsid w:val="49B78FBD"/>
    <w:rsid w:val="49D18655"/>
    <w:rsid w:val="49E4E0E3"/>
    <w:rsid w:val="4A0BA1E4"/>
    <w:rsid w:val="4A1166E3"/>
    <w:rsid w:val="4A1D1A4B"/>
    <w:rsid w:val="4A22E172"/>
    <w:rsid w:val="4A4208ED"/>
    <w:rsid w:val="4A48A7AA"/>
    <w:rsid w:val="4A562696"/>
    <w:rsid w:val="4A9FDF9B"/>
    <w:rsid w:val="4AD243D8"/>
    <w:rsid w:val="4AE3DD2C"/>
    <w:rsid w:val="4B003075"/>
    <w:rsid w:val="4B237EA9"/>
    <w:rsid w:val="4B50F505"/>
    <w:rsid w:val="4B70708C"/>
    <w:rsid w:val="4BBB33D5"/>
    <w:rsid w:val="4BD4ABD4"/>
    <w:rsid w:val="4BD96A3E"/>
    <w:rsid w:val="4BE28233"/>
    <w:rsid w:val="4C040C90"/>
    <w:rsid w:val="4C06BE2F"/>
    <w:rsid w:val="4C3F66E8"/>
    <w:rsid w:val="4C42141E"/>
    <w:rsid w:val="4C472A74"/>
    <w:rsid w:val="4C4A2F22"/>
    <w:rsid w:val="4C4A41C0"/>
    <w:rsid w:val="4C766757"/>
    <w:rsid w:val="4C85891B"/>
    <w:rsid w:val="4C893434"/>
    <w:rsid w:val="4C9B3CD6"/>
    <w:rsid w:val="4CA47AFC"/>
    <w:rsid w:val="4CBB1F56"/>
    <w:rsid w:val="4CFB2635"/>
    <w:rsid w:val="4D02E07F"/>
    <w:rsid w:val="4D1F3B2E"/>
    <w:rsid w:val="4D37FE1A"/>
    <w:rsid w:val="4D433EB7"/>
    <w:rsid w:val="4D5DD42E"/>
    <w:rsid w:val="4D6049DC"/>
    <w:rsid w:val="4D772996"/>
    <w:rsid w:val="4D91F6D1"/>
    <w:rsid w:val="4DA6FD51"/>
    <w:rsid w:val="4DCC9E6F"/>
    <w:rsid w:val="4DDAC8E0"/>
    <w:rsid w:val="4DFA7D8A"/>
    <w:rsid w:val="4E33D801"/>
    <w:rsid w:val="4E343230"/>
    <w:rsid w:val="4E603E69"/>
    <w:rsid w:val="4EB38AF8"/>
    <w:rsid w:val="4EC460A7"/>
    <w:rsid w:val="4EC4C41B"/>
    <w:rsid w:val="4ED7C960"/>
    <w:rsid w:val="4F03ADB2"/>
    <w:rsid w:val="4F148F57"/>
    <w:rsid w:val="4F256794"/>
    <w:rsid w:val="4F3A630B"/>
    <w:rsid w:val="4F7DDEEF"/>
    <w:rsid w:val="4FA78AA8"/>
    <w:rsid w:val="4FE0F89F"/>
    <w:rsid w:val="4FE24F8F"/>
    <w:rsid w:val="503036D7"/>
    <w:rsid w:val="504C55B1"/>
    <w:rsid w:val="505167AF"/>
    <w:rsid w:val="508E35B8"/>
    <w:rsid w:val="50A43602"/>
    <w:rsid w:val="50B3202D"/>
    <w:rsid w:val="50ECE570"/>
    <w:rsid w:val="50F6970B"/>
    <w:rsid w:val="510739C8"/>
    <w:rsid w:val="511C45A7"/>
    <w:rsid w:val="51216FF7"/>
    <w:rsid w:val="512392D9"/>
    <w:rsid w:val="512CC520"/>
    <w:rsid w:val="515BA36A"/>
    <w:rsid w:val="51800FD1"/>
    <w:rsid w:val="518794B0"/>
    <w:rsid w:val="5193D8B2"/>
    <w:rsid w:val="519A1FF1"/>
    <w:rsid w:val="51A049DD"/>
    <w:rsid w:val="51BBA5C1"/>
    <w:rsid w:val="51BC5B00"/>
    <w:rsid w:val="51BDF848"/>
    <w:rsid w:val="51C4862F"/>
    <w:rsid w:val="51DE4B75"/>
    <w:rsid w:val="51E9038C"/>
    <w:rsid w:val="51F6A571"/>
    <w:rsid w:val="52079820"/>
    <w:rsid w:val="5216CDC2"/>
    <w:rsid w:val="5228E073"/>
    <w:rsid w:val="522FB24C"/>
    <w:rsid w:val="5243F5D3"/>
    <w:rsid w:val="525EE4E4"/>
    <w:rsid w:val="526267D5"/>
    <w:rsid w:val="526F4F66"/>
    <w:rsid w:val="528182D3"/>
    <w:rsid w:val="529AD519"/>
    <w:rsid w:val="529D7635"/>
    <w:rsid w:val="52B7C654"/>
    <w:rsid w:val="52E2CB0F"/>
    <w:rsid w:val="52FE6BC2"/>
    <w:rsid w:val="531033C6"/>
    <w:rsid w:val="5325E2A9"/>
    <w:rsid w:val="5343D7E0"/>
    <w:rsid w:val="5347A26B"/>
    <w:rsid w:val="5360B40E"/>
    <w:rsid w:val="536B0B1B"/>
    <w:rsid w:val="53913F64"/>
    <w:rsid w:val="539AADA1"/>
    <w:rsid w:val="53A01A3E"/>
    <w:rsid w:val="53CA0A63"/>
    <w:rsid w:val="53CABD05"/>
    <w:rsid w:val="53E83133"/>
    <w:rsid w:val="53F87F1F"/>
    <w:rsid w:val="53FA2668"/>
    <w:rsid w:val="5419907C"/>
    <w:rsid w:val="54205CC9"/>
    <w:rsid w:val="544B4A2C"/>
    <w:rsid w:val="5457B7C2"/>
    <w:rsid w:val="5458761E"/>
    <w:rsid w:val="5459AF93"/>
    <w:rsid w:val="548454CD"/>
    <w:rsid w:val="54C10D41"/>
    <w:rsid w:val="54C16DDE"/>
    <w:rsid w:val="54CFB4EB"/>
    <w:rsid w:val="54DD7E27"/>
    <w:rsid w:val="550EC5D9"/>
    <w:rsid w:val="551008AB"/>
    <w:rsid w:val="551A351A"/>
    <w:rsid w:val="5534E9AD"/>
    <w:rsid w:val="5538007D"/>
    <w:rsid w:val="55619B99"/>
    <w:rsid w:val="557E4965"/>
    <w:rsid w:val="55959EC5"/>
    <w:rsid w:val="5596940E"/>
    <w:rsid w:val="55B47A7A"/>
    <w:rsid w:val="55C656DC"/>
    <w:rsid w:val="55D129B1"/>
    <w:rsid w:val="55D2A566"/>
    <w:rsid w:val="55F52270"/>
    <w:rsid w:val="55FD0DB4"/>
    <w:rsid w:val="55FE2817"/>
    <w:rsid w:val="5628C188"/>
    <w:rsid w:val="565B187B"/>
    <w:rsid w:val="5679AD25"/>
    <w:rsid w:val="568E3F53"/>
    <w:rsid w:val="56986FC3"/>
    <w:rsid w:val="5699F581"/>
    <w:rsid w:val="569C20D5"/>
    <w:rsid w:val="56AE7733"/>
    <w:rsid w:val="56AF9058"/>
    <w:rsid w:val="56BB44C9"/>
    <w:rsid w:val="56BDEC3E"/>
    <w:rsid w:val="56E4C930"/>
    <w:rsid w:val="5714AEE0"/>
    <w:rsid w:val="5718C153"/>
    <w:rsid w:val="57885F95"/>
    <w:rsid w:val="57942B55"/>
    <w:rsid w:val="57B6ACD5"/>
    <w:rsid w:val="57C82228"/>
    <w:rsid w:val="57CF10CF"/>
    <w:rsid w:val="57D4CC9D"/>
    <w:rsid w:val="57DB68F6"/>
    <w:rsid w:val="5814CC54"/>
    <w:rsid w:val="5825FBBF"/>
    <w:rsid w:val="58274698"/>
    <w:rsid w:val="58304E76"/>
    <w:rsid w:val="58312E37"/>
    <w:rsid w:val="5841652F"/>
    <w:rsid w:val="586E930A"/>
    <w:rsid w:val="587F916E"/>
    <w:rsid w:val="58915CA6"/>
    <w:rsid w:val="589F6D8E"/>
    <w:rsid w:val="58AE3062"/>
    <w:rsid w:val="58CE4CBD"/>
    <w:rsid w:val="58E20E9D"/>
    <w:rsid w:val="58E9CB4A"/>
    <w:rsid w:val="58F29CD6"/>
    <w:rsid w:val="58F61057"/>
    <w:rsid w:val="591189CB"/>
    <w:rsid w:val="591E491E"/>
    <w:rsid w:val="594BF442"/>
    <w:rsid w:val="595468A5"/>
    <w:rsid w:val="5975916A"/>
    <w:rsid w:val="597E48C6"/>
    <w:rsid w:val="5982FA67"/>
    <w:rsid w:val="598F8DD6"/>
    <w:rsid w:val="59C19211"/>
    <w:rsid w:val="59C23E8E"/>
    <w:rsid w:val="59CDF49A"/>
    <w:rsid w:val="59CFFB3A"/>
    <w:rsid w:val="59E88C2B"/>
    <w:rsid w:val="59ECFB31"/>
    <w:rsid w:val="59F8DAE9"/>
    <w:rsid w:val="5A080B4A"/>
    <w:rsid w:val="5A21EB17"/>
    <w:rsid w:val="5A2859C4"/>
    <w:rsid w:val="5A40E43F"/>
    <w:rsid w:val="5A6B2AB3"/>
    <w:rsid w:val="5A995763"/>
    <w:rsid w:val="5A9AD253"/>
    <w:rsid w:val="5ABA9687"/>
    <w:rsid w:val="5B0931B9"/>
    <w:rsid w:val="5B1D2FB8"/>
    <w:rsid w:val="5B23434B"/>
    <w:rsid w:val="5B304364"/>
    <w:rsid w:val="5B3D0A23"/>
    <w:rsid w:val="5B54A497"/>
    <w:rsid w:val="5BA06DEA"/>
    <w:rsid w:val="5BA9FF6F"/>
    <w:rsid w:val="5BBAFD3A"/>
    <w:rsid w:val="5BDDD05D"/>
    <w:rsid w:val="5BF5E2EA"/>
    <w:rsid w:val="5BFC33B1"/>
    <w:rsid w:val="5C13FB86"/>
    <w:rsid w:val="5C32FCEA"/>
    <w:rsid w:val="5C4B8214"/>
    <w:rsid w:val="5C4BFFD6"/>
    <w:rsid w:val="5C6C1858"/>
    <w:rsid w:val="5C6D1250"/>
    <w:rsid w:val="5CACAF57"/>
    <w:rsid w:val="5CB513A3"/>
    <w:rsid w:val="5CBE8BC8"/>
    <w:rsid w:val="5CCE9875"/>
    <w:rsid w:val="5D374E64"/>
    <w:rsid w:val="5D379823"/>
    <w:rsid w:val="5D528113"/>
    <w:rsid w:val="5D6C6A5A"/>
    <w:rsid w:val="5D6ED942"/>
    <w:rsid w:val="5DD6E5DE"/>
    <w:rsid w:val="5DDC5643"/>
    <w:rsid w:val="5E117F19"/>
    <w:rsid w:val="5E66C9CA"/>
    <w:rsid w:val="5E7214E7"/>
    <w:rsid w:val="5E73877E"/>
    <w:rsid w:val="5E9AB0D4"/>
    <w:rsid w:val="5EA51B64"/>
    <w:rsid w:val="5EB4F874"/>
    <w:rsid w:val="5EE76899"/>
    <w:rsid w:val="5EFE46CB"/>
    <w:rsid w:val="5F20E069"/>
    <w:rsid w:val="5F2846F1"/>
    <w:rsid w:val="5F72FCBA"/>
    <w:rsid w:val="5F7F8E10"/>
    <w:rsid w:val="5FACDE99"/>
    <w:rsid w:val="5FB73916"/>
    <w:rsid w:val="5FB8D13B"/>
    <w:rsid w:val="5FBEEF0B"/>
    <w:rsid w:val="5FF40B1B"/>
    <w:rsid w:val="5FF8262F"/>
    <w:rsid w:val="600EE3CF"/>
    <w:rsid w:val="602125C1"/>
    <w:rsid w:val="604155E9"/>
    <w:rsid w:val="604FE9EA"/>
    <w:rsid w:val="6053D34C"/>
    <w:rsid w:val="6056BE9E"/>
    <w:rsid w:val="6079958C"/>
    <w:rsid w:val="60899C69"/>
    <w:rsid w:val="60938AC3"/>
    <w:rsid w:val="60A9F0A8"/>
    <w:rsid w:val="60BB1AF0"/>
    <w:rsid w:val="60D7AA44"/>
    <w:rsid w:val="6126DAAC"/>
    <w:rsid w:val="6130BB34"/>
    <w:rsid w:val="61533935"/>
    <w:rsid w:val="61724C33"/>
    <w:rsid w:val="618DC658"/>
    <w:rsid w:val="61B36224"/>
    <w:rsid w:val="61B532D9"/>
    <w:rsid w:val="61B72729"/>
    <w:rsid w:val="61E86E54"/>
    <w:rsid w:val="61FE3637"/>
    <w:rsid w:val="62294FE9"/>
    <w:rsid w:val="623605B5"/>
    <w:rsid w:val="6268856B"/>
    <w:rsid w:val="6278E2CA"/>
    <w:rsid w:val="62A413B2"/>
    <w:rsid w:val="62D16203"/>
    <w:rsid w:val="62FE00AB"/>
    <w:rsid w:val="62FF2D6C"/>
    <w:rsid w:val="63015684"/>
    <w:rsid w:val="630800D4"/>
    <w:rsid w:val="63081150"/>
    <w:rsid w:val="6358AC6B"/>
    <w:rsid w:val="6375CF55"/>
    <w:rsid w:val="638941E8"/>
    <w:rsid w:val="63A6047F"/>
    <w:rsid w:val="63A7405D"/>
    <w:rsid w:val="63B85F91"/>
    <w:rsid w:val="63E4D466"/>
    <w:rsid w:val="641A7D01"/>
    <w:rsid w:val="64228A63"/>
    <w:rsid w:val="643E8028"/>
    <w:rsid w:val="64488084"/>
    <w:rsid w:val="645A1E9F"/>
    <w:rsid w:val="6472FB5E"/>
    <w:rsid w:val="6479C630"/>
    <w:rsid w:val="647F5B9C"/>
    <w:rsid w:val="648100DA"/>
    <w:rsid w:val="648B964B"/>
    <w:rsid w:val="64B0BCBC"/>
    <w:rsid w:val="64B5A070"/>
    <w:rsid w:val="64BD9FF0"/>
    <w:rsid w:val="64C04293"/>
    <w:rsid w:val="64F9C11B"/>
    <w:rsid w:val="6501599F"/>
    <w:rsid w:val="6504E405"/>
    <w:rsid w:val="65590C35"/>
    <w:rsid w:val="6564E5F1"/>
    <w:rsid w:val="656F6A16"/>
    <w:rsid w:val="65735AC9"/>
    <w:rsid w:val="657C2915"/>
    <w:rsid w:val="65824A2F"/>
    <w:rsid w:val="658B1AF6"/>
    <w:rsid w:val="65926779"/>
    <w:rsid w:val="65976011"/>
    <w:rsid w:val="65ADBF90"/>
    <w:rsid w:val="65C01219"/>
    <w:rsid w:val="65F62AFB"/>
    <w:rsid w:val="66185CF5"/>
    <w:rsid w:val="665B3F18"/>
    <w:rsid w:val="66655E9E"/>
    <w:rsid w:val="66913D62"/>
    <w:rsid w:val="66C46871"/>
    <w:rsid w:val="66DE41D8"/>
    <w:rsid w:val="66E5DE62"/>
    <w:rsid w:val="66E98C7C"/>
    <w:rsid w:val="66EF3990"/>
    <w:rsid w:val="66FC0286"/>
    <w:rsid w:val="67275A0D"/>
    <w:rsid w:val="674066C6"/>
    <w:rsid w:val="674B6E37"/>
    <w:rsid w:val="674EB737"/>
    <w:rsid w:val="6764081B"/>
    <w:rsid w:val="6767F979"/>
    <w:rsid w:val="678E205F"/>
    <w:rsid w:val="67B7BF79"/>
    <w:rsid w:val="67C91183"/>
    <w:rsid w:val="67D1EB3B"/>
    <w:rsid w:val="67EC8F39"/>
    <w:rsid w:val="67ED04F5"/>
    <w:rsid w:val="67FCD390"/>
    <w:rsid w:val="680B4D99"/>
    <w:rsid w:val="680F2AC5"/>
    <w:rsid w:val="682BADF2"/>
    <w:rsid w:val="683652F9"/>
    <w:rsid w:val="683EA831"/>
    <w:rsid w:val="684EB0D0"/>
    <w:rsid w:val="685E079D"/>
    <w:rsid w:val="686D721F"/>
    <w:rsid w:val="689E170D"/>
    <w:rsid w:val="68A32ED3"/>
    <w:rsid w:val="68A451D5"/>
    <w:rsid w:val="68EB28FC"/>
    <w:rsid w:val="68ED4152"/>
    <w:rsid w:val="68FB189B"/>
    <w:rsid w:val="690991E9"/>
    <w:rsid w:val="6913C9D7"/>
    <w:rsid w:val="69297ACF"/>
    <w:rsid w:val="694470D4"/>
    <w:rsid w:val="6970F884"/>
    <w:rsid w:val="698F0121"/>
    <w:rsid w:val="6995709C"/>
    <w:rsid w:val="69B8FD21"/>
    <w:rsid w:val="69BFC1EC"/>
    <w:rsid w:val="69DCCA00"/>
    <w:rsid w:val="69EE501C"/>
    <w:rsid w:val="6A05F266"/>
    <w:rsid w:val="6A34F54F"/>
    <w:rsid w:val="6A49F6DE"/>
    <w:rsid w:val="6A68F8CA"/>
    <w:rsid w:val="6A7E0D70"/>
    <w:rsid w:val="6A92545F"/>
    <w:rsid w:val="6ABD1F60"/>
    <w:rsid w:val="6AD23C98"/>
    <w:rsid w:val="6AF34AC3"/>
    <w:rsid w:val="6AF7586B"/>
    <w:rsid w:val="6B0335EF"/>
    <w:rsid w:val="6B1A1589"/>
    <w:rsid w:val="6B2F90EC"/>
    <w:rsid w:val="6B2F966A"/>
    <w:rsid w:val="6B3C6F68"/>
    <w:rsid w:val="6B45FF30"/>
    <w:rsid w:val="6B4B1437"/>
    <w:rsid w:val="6B53664A"/>
    <w:rsid w:val="6B62750C"/>
    <w:rsid w:val="6B6518D7"/>
    <w:rsid w:val="6B9A27C2"/>
    <w:rsid w:val="6BDEB187"/>
    <w:rsid w:val="6BEC53D9"/>
    <w:rsid w:val="6C055A32"/>
    <w:rsid w:val="6C15E5BD"/>
    <w:rsid w:val="6C16D40A"/>
    <w:rsid w:val="6C18DCDE"/>
    <w:rsid w:val="6C44A10E"/>
    <w:rsid w:val="6C465D58"/>
    <w:rsid w:val="6C4DABF6"/>
    <w:rsid w:val="6C638717"/>
    <w:rsid w:val="6C7C1F1C"/>
    <w:rsid w:val="6C845FCF"/>
    <w:rsid w:val="6C88D5AD"/>
    <w:rsid w:val="6C8D0C36"/>
    <w:rsid w:val="6CB685EB"/>
    <w:rsid w:val="6CC61A12"/>
    <w:rsid w:val="6CD2D0DD"/>
    <w:rsid w:val="6CE04026"/>
    <w:rsid w:val="6CE74654"/>
    <w:rsid w:val="6D15DC2E"/>
    <w:rsid w:val="6D331521"/>
    <w:rsid w:val="6D36E623"/>
    <w:rsid w:val="6D3DB96F"/>
    <w:rsid w:val="6D430B8F"/>
    <w:rsid w:val="6D7B6C84"/>
    <w:rsid w:val="6D869422"/>
    <w:rsid w:val="6DB5BA12"/>
    <w:rsid w:val="6DC3EDD6"/>
    <w:rsid w:val="6DE11104"/>
    <w:rsid w:val="6DE2DC01"/>
    <w:rsid w:val="6DF0FF80"/>
    <w:rsid w:val="6E003342"/>
    <w:rsid w:val="6E03FCCF"/>
    <w:rsid w:val="6E04BBD5"/>
    <w:rsid w:val="6E0A3EDD"/>
    <w:rsid w:val="6E2BB6A6"/>
    <w:rsid w:val="6E3E567D"/>
    <w:rsid w:val="6E42DA84"/>
    <w:rsid w:val="6E7C3EF6"/>
    <w:rsid w:val="6E8938C6"/>
    <w:rsid w:val="6E987BC8"/>
    <w:rsid w:val="6EACFCBB"/>
    <w:rsid w:val="6ED07F38"/>
    <w:rsid w:val="6EDFCD3A"/>
    <w:rsid w:val="6F0796F0"/>
    <w:rsid w:val="6F14E93A"/>
    <w:rsid w:val="6F5A5E4A"/>
    <w:rsid w:val="6F7174CD"/>
    <w:rsid w:val="6F99DCEC"/>
    <w:rsid w:val="6FA30383"/>
    <w:rsid w:val="6FAE2BAF"/>
    <w:rsid w:val="6FE3EE26"/>
    <w:rsid w:val="6FE902C9"/>
    <w:rsid w:val="6FF1B433"/>
    <w:rsid w:val="6FF921F9"/>
    <w:rsid w:val="7027B1D2"/>
    <w:rsid w:val="702A7480"/>
    <w:rsid w:val="703671DF"/>
    <w:rsid w:val="7046D006"/>
    <w:rsid w:val="70531B94"/>
    <w:rsid w:val="707597A2"/>
    <w:rsid w:val="70C073AC"/>
    <w:rsid w:val="70E159CE"/>
    <w:rsid w:val="7108573E"/>
    <w:rsid w:val="710B40B0"/>
    <w:rsid w:val="71127BEE"/>
    <w:rsid w:val="713BF204"/>
    <w:rsid w:val="716D85DF"/>
    <w:rsid w:val="71882B84"/>
    <w:rsid w:val="718BC4CA"/>
    <w:rsid w:val="71B739F5"/>
    <w:rsid w:val="71CFF4DC"/>
    <w:rsid w:val="71D88702"/>
    <w:rsid w:val="71F01E77"/>
    <w:rsid w:val="720F56CB"/>
    <w:rsid w:val="7236EC82"/>
    <w:rsid w:val="72394038"/>
    <w:rsid w:val="727E3C27"/>
    <w:rsid w:val="72A5995A"/>
    <w:rsid w:val="72C1B208"/>
    <w:rsid w:val="72CD2F74"/>
    <w:rsid w:val="72D95FDA"/>
    <w:rsid w:val="72DA8801"/>
    <w:rsid w:val="72E24370"/>
    <w:rsid w:val="72EA5BE7"/>
    <w:rsid w:val="72FDD579"/>
    <w:rsid w:val="7368945B"/>
    <w:rsid w:val="73727DAF"/>
    <w:rsid w:val="73940FFB"/>
    <w:rsid w:val="739EAE9F"/>
    <w:rsid w:val="73C276C7"/>
    <w:rsid w:val="73D7F854"/>
    <w:rsid w:val="73E6B8C1"/>
    <w:rsid w:val="73EB9D3C"/>
    <w:rsid w:val="73F1B96D"/>
    <w:rsid w:val="7417E5E6"/>
    <w:rsid w:val="74234469"/>
    <w:rsid w:val="742A41F8"/>
    <w:rsid w:val="74670AFE"/>
    <w:rsid w:val="74C70B4A"/>
    <w:rsid w:val="74C8D8A7"/>
    <w:rsid w:val="74DF4D16"/>
    <w:rsid w:val="74E2DABB"/>
    <w:rsid w:val="74F3B84B"/>
    <w:rsid w:val="74F93534"/>
    <w:rsid w:val="74FE2F52"/>
    <w:rsid w:val="7530F38B"/>
    <w:rsid w:val="7541FFA0"/>
    <w:rsid w:val="755DECAE"/>
    <w:rsid w:val="755F2297"/>
    <w:rsid w:val="75734211"/>
    <w:rsid w:val="7580A9C4"/>
    <w:rsid w:val="759DF998"/>
    <w:rsid w:val="75BF37B4"/>
    <w:rsid w:val="75DE96DF"/>
    <w:rsid w:val="762914C5"/>
    <w:rsid w:val="7636FFD2"/>
    <w:rsid w:val="7644A2DB"/>
    <w:rsid w:val="76538E32"/>
    <w:rsid w:val="767AE75C"/>
    <w:rsid w:val="767DF1BB"/>
    <w:rsid w:val="7692F5B1"/>
    <w:rsid w:val="76AA9F48"/>
    <w:rsid w:val="76C47383"/>
    <w:rsid w:val="76CD3629"/>
    <w:rsid w:val="76F8B885"/>
    <w:rsid w:val="76FD0575"/>
    <w:rsid w:val="7706A497"/>
    <w:rsid w:val="770D775C"/>
    <w:rsid w:val="772BAE86"/>
    <w:rsid w:val="7735848A"/>
    <w:rsid w:val="77451411"/>
    <w:rsid w:val="775A32EF"/>
    <w:rsid w:val="775A8384"/>
    <w:rsid w:val="776084EE"/>
    <w:rsid w:val="77963740"/>
    <w:rsid w:val="77C30921"/>
    <w:rsid w:val="77CD3717"/>
    <w:rsid w:val="77ECF08E"/>
    <w:rsid w:val="7812537A"/>
    <w:rsid w:val="78193B9C"/>
    <w:rsid w:val="781ACD3F"/>
    <w:rsid w:val="781DAB5A"/>
    <w:rsid w:val="784CB4FA"/>
    <w:rsid w:val="78525B54"/>
    <w:rsid w:val="786E76EC"/>
    <w:rsid w:val="78807777"/>
    <w:rsid w:val="7891E86E"/>
    <w:rsid w:val="789475DB"/>
    <w:rsid w:val="789D4D58"/>
    <w:rsid w:val="78A13092"/>
    <w:rsid w:val="78C934AB"/>
    <w:rsid w:val="78DD32F3"/>
    <w:rsid w:val="78F211E3"/>
    <w:rsid w:val="78FF3B0B"/>
    <w:rsid w:val="79003902"/>
    <w:rsid w:val="7903AE02"/>
    <w:rsid w:val="7904E8D1"/>
    <w:rsid w:val="795676F2"/>
    <w:rsid w:val="797AF565"/>
    <w:rsid w:val="799ABA90"/>
    <w:rsid w:val="79BA4F04"/>
    <w:rsid w:val="79D164A3"/>
    <w:rsid w:val="79ED19EE"/>
    <w:rsid w:val="7A0556F5"/>
    <w:rsid w:val="7A161E3C"/>
    <w:rsid w:val="7A1D7BC7"/>
    <w:rsid w:val="7A247434"/>
    <w:rsid w:val="7A308F61"/>
    <w:rsid w:val="7A4A3832"/>
    <w:rsid w:val="7A704F44"/>
    <w:rsid w:val="7A9DDB8C"/>
    <w:rsid w:val="7AE44341"/>
    <w:rsid w:val="7AF69EEB"/>
    <w:rsid w:val="7B17B752"/>
    <w:rsid w:val="7B2B9441"/>
    <w:rsid w:val="7BB2674E"/>
    <w:rsid w:val="7BD659FD"/>
    <w:rsid w:val="7BEFD444"/>
    <w:rsid w:val="7BFA06B8"/>
    <w:rsid w:val="7C501866"/>
    <w:rsid w:val="7C88F816"/>
    <w:rsid w:val="7CA2D129"/>
    <w:rsid w:val="7CA8FCEC"/>
    <w:rsid w:val="7CADB07A"/>
    <w:rsid w:val="7CCA9C5A"/>
    <w:rsid w:val="7CCAEF3F"/>
    <w:rsid w:val="7CCC0B39"/>
    <w:rsid w:val="7CD0B5BB"/>
    <w:rsid w:val="7CDBFC55"/>
    <w:rsid w:val="7CE1CEEC"/>
    <w:rsid w:val="7CEE9344"/>
    <w:rsid w:val="7CF1164E"/>
    <w:rsid w:val="7CF6628E"/>
    <w:rsid w:val="7CFC4FC5"/>
    <w:rsid w:val="7CFD376A"/>
    <w:rsid w:val="7D416288"/>
    <w:rsid w:val="7D488329"/>
    <w:rsid w:val="7D8FC8B3"/>
    <w:rsid w:val="7D9D3829"/>
    <w:rsid w:val="7DAAC6CE"/>
    <w:rsid w:val="7DBE3128"/>
    <w:rsid w:val="7DE992B0"/>
    <w:rsid w:val="7DF68552"/>
    <w:rsid w:val="7DF923E6"/>
    <w:rsid w:val="7DFC05DD"/>
    <w:rsid w:val="7E04B53B"/>
    <w:rsid w:val="7E114F11"/>
    <w:rsid w:val="7E210DD6"/>
    <w:rsid w:val="7E26CA64"/>
    <w:rsid w:val="7E2BD5FC"/>
    <w:rsid w:val="7E2F0368"/>
    <w:rsid w:val="7E3A45DC"/>
    <w:rsid w:val="7E48ADE3"/>
    <w:rsid w:val="7E4D5D91"/>
    <w:rsid w:val="7E4E809F"/>
    <w:rsid w:val="7E50EA87"/>
    <w:rsid w:val="7E993C7D"/>
    <w:rsid w:val="7EC83F43"/>
    <w:rsid w:val="7ECFD81F"/>
    <w:rsid w:val="7ED71D4E"/>
    <w:rsid w:val="7EE9D2F4"/>
    <w:rsid w:val="7EEAEAA4"/>
    <w:rsid w:val="7F133903"/>
    <w:rsid w:val="7F1A22B9"/>
    <w:rsid w:val="7F1C1083"/>
    <w:rsid w:val="7F44AD25"/>
    <w:rsid w:val="7F474B80"/>
    <w:rsid w:val="7F4AD2F6"/>
    <w:rsid w:val="7F4F510F"/>
    <w:rsid w:val="7F50B305"/>
    <w:rsid w:val="7F51E069"/>
    <w:rsid w:val="7F769B0B"/>
    <w:rsid w:val="7F7C6151"/>
    <w:rsid w:val="7F934EAF"/>
    <w:rsid w:val="7F958853"/>
    <w:rsid w:val="7FC46A46"/>
    <w:rsid w:val="7FF16828"/>
    <w:rsid w:val="7FFE3A53"/>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5EBECFF"/>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HAns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6D8B"/>
    <w:pPr>
      <w:spacing w:line="256" w:lineRule="auto"/>
      <w:jc w:val="both"/>
    </w:pPr>
    <w:rPr>
      <w:rFonts w:eastAsiaTheme="minorEastAsia" w:cs="Times New Roman"/>
      <w:kern w:val="2"/>
      <w:sz w:val="24"/>
      <w:szCs w:val="24"/>
      <w:lang w:val="es-ES"/>
    </w:rPr>
  </w:style>
  <w:style w:type="paragraph" w:styleId="Ttulo1">
    <w:name w:val="heading 1"/>
    <w:basedOn w:val="Normal"/>
    <w:next w:val="Normal"/>
    <w:link w:val="Ttulo1Car"/>
    <w:uiPriority w:val="9"/>
    <w:qFormat/>
    <w:rsid w:val="00EB4DAC"/>
    <w:pPr>
      <w:keepNext/>
      <w:keepLines/>
      <w:numPr>
        <w:numId w:val="4"/>
      </w:numPr>
      <w:spacing w:after="0" w:line="240" w:lineRule="auto"/>
      <w:ind w:left="714" w:hanging="357"/>
      <w:outlineLvl w:val="0"/>
    </w:pPr>
    <w:rPr>
      <w:rFonts w:ascii="Times New Roman" w:eastAsiaTheme="majorEastAsia" w:hAnsi="Times New Roman"/>
      <w:b/>
      <w:sz w:val="28"/>
      <w:szCs w:val="40"/>
    </w:rPr>
  </w:style>
  <w:style w:type="paragraph" w:styleId="Ttulo2">
    <w:name w:val="heading 2"/>
    <w:basedOn w:val="Normal"/>
    <w:next w:val="Normal"/>
    <w:link w:val="Ttulo2Car"/>
    <w:uiPriority w:val="9"/>
    <w:unhideWhenUsed/>
    <w:qFormat/>
    <w:rsid w:val="0097217B"/>
    <w:pPr>
      <w:keepNext/>
      <w:keepLines/>
      <w:numPr>
        <w:numId w:val="35"/>
      </w:numPr>
      <w:spacing w:after="0" w:line="240" w:lineRule="auto"/>
      <w:outlineLvl w:val="1"/>
    </w:pPr>
    <w:rPr>
      <w:rFonts w:ascii="Times New Roman" w:eastAsiaTheme="majorEastAsia" w:hAnsi="Times New Roman"/>
      <w:b/>
      <w:sz w:val="28"/>
      <w:szCs w:val="32"/>
    </w:rPr>
  </w:style>
  <w:style w:type="paragraph" w:styleId="Ttulo3">
    <w:name w:val="heading 3"/>
    <w:basedOn w:val="Normal"/>
    <w:next w:val="Normal"/>
    <w:link w:val="Ttulo3Car"/>
    <w:uiPriority w:val="9"/>
    <w:semiHidden/>
    <w:unhideWhenUsed/>
    <w:qFormat/>
    <w:rsid w:val="00684A8D"/>
    <w:pPr>
      <w:keepNext/>
      <w:keepLines/>
      <w:spacing w:before="160" w:after="80"/>
      <w:outlineLvl w:val="2"/>
    </w:pPr>
    <w:rPr>
      <w:rFonts w:eastAsiaTheme="majorEastAsia"/>
      <w:color w:val="2F5496" w:themeColor="accent1" w:themeShade="BF"/>
      <w:sz w:val="28"/>
      <w:szCs w:val="28"/>
    </w:rPr>
  </w:style>
  <w:style w:type="paragraph" w:styleId="Ttulo4">
    <w:name w:val="heading 4"/>
    <w:basedOn w:val="Normal"/>
    <w:next w:val="Normal"/>
    <w:link w:val="Ttulo4Car"/>
    <w:uiPriority w:val="9"/>
    <w:semiHidden/>
    <w:unhideWhenUsed/>
    <w:qFormat/>
    <w:rsid w:val="00684A8D"/>
    <w:pPr>
      <w:keepNext/>
      <w:keepLines/>
      <w:spacing w:before="80" w:after="40"/>
      <w:outlineLvl w:val="3"/>
    </w:pPr>
    <w:rPr>
      <w:rFonts w:eastAsiaTheme="majorEastAsia"/>
      <w:i/>
      <w:iCs/>
      <w:color w:val="2F5496" w:themeColor="accent1" w:themeShade="BF"/>
    </w:rPr>
  </w:style>
  <w:style w:type="paragraph" w:styleId="Ttulo5">
    <w:name w:val="heading 5"/>
    <w:basedOn w:val="Normal"/>
    <w:next w:val="Normal"/>
    <w:link w:val="Ttulo5Car"/>
    <w:uiPriority w:val="9"/>
    <w:semiHidden/>
    <w:unhideWhenUsed/>
    <w:qFormat/>
    <w:rsid w:val="00684A8D"/>
    <w:pPr>
      <w:keepNext/>
      <w:keepLines/>
      <w:spacing w:before="80" w:after="40"/>
      <w:outlineLvl w:val="4"/>
    </w:pPr>
    <w:rPr>
      <w:rFonts w:eastAsiaTheme="majorEastAsia"/>
      <w:color w:val="2F5496" w:themeColor="accent1" w:themeShade="BF"/>
    </w:rPr>
  </w:style>
  <w:style w:type="paragraph" w:styleId="Ttulo6">
    <w:name w:val="heading 6"/>
    <w:basedOn w:val="Normal"/>
    <w:next w:val="Normal"/>
    <w:link w:val="Ttulo6Car"/>
    <w:uiPriority w:val="9"/>
    <w:semiHidden/>
    <w:unhideWhenUsed/>
    <w:qFormat/>
    <w:rsid w:val="00684A8D"/>
    <w:pPr>
      <w:keepNext/>
      <w:keepLines/>
      <w:spacing w:before="40" w:after="0"/>
      <w:outlineLvl w:val="5"/>
    </w:pPr>
    <w:rPr>
      <w:rFonts w:eastAsiaTheme="majorEastAsia"/>
      <w:i/>
      <w:iCs/>
      <w:color w:val="595959" w:themeColor="text1" w:themeTint="A6"/>
    </w:rPr>
  </w:style>
  <w:style w:type="paragraph" w:styleId="Ttulo7">
    <w:name w:val="heading 7"/>
    <w:basedOn w:val="Normal"/>
    <w:next w:val="Normal"/>
    <w:link w:val="Ttulo7Car"/>
    <w:uiPriority w:val="9"/>
    <w:semiHidden/>
    <w:unhideWhenUsed/>
    <w:qFormat/>
    <w:rsid w:val="00684A8D"/>
    <w:pPr>
      <w:keepNext/>
      <w:keepLines/>
      <w:spacing w:before="40" w:after="0"/>
      <w:outlineLvl w:val="6"/>
    </w:pPr>
    <w:rPr>
      <w:rFonts w:eastAsiaTheme="majorEastAsia"/>
      <w:color w:val="595959" w:themeColor="text1" w:themeTint="A6"/>
    </w:rPr>
  </w:style>
  <w:style w:type="paragraph" w:styleId="Ttulo8">
    <w:name w:val="heading 8"/>
    <w:basedOn w:val="Normal"/>
    <w:next w:val="Normal"/>
    <w:link w:val="Ttulo8Car"/>
    <w:uiPriority w:val="9"/>
    <w:semiHidden/>
    <w:unhideWhenUsed/>
    <w:qFormat/>
    <w:rsid w:val="00684A8D"/>
    <w:pPr>
      <w:keepNext/>
      <w:keepLines/>
      <w:spacing w:after="0"/>
      <w:outlineLvl w:val="7"/>
    </w:pPr>
    <w:rPr>
      <w:rFonts w:eastAsiaTheme="majorEastAsia"/>
      <w:i/>
      <w:iCs/>
      <w:color w:val="272727" w:themeColor="text1" w:themeTint="D8"/>
    </w:rPr>
  </w:style>
  <w:style w:type="paragraph" w:styleId="Ttulo9">
    <w:name w:val="heading 9"/>
    <w:basedOn w:val="Normal"/>
    <w:next w:val="Normal"/>
    <w:link w:val="Ttulo9Car"/>
    <w:uiPriority w:val="9"/>
    <w:semiHidden/>
    <w:unhideWhenUsed/>
    <w:qFormat/>
    <w:rsid w:val="00684A8D"/>
    <w:pPr>
      <w:keepNext/>
      <w:keepLines/>
      <w:spacing w:after="0"/>
      <w:outlineLvl w:val="8"/>
    </w:pPr>
    <w:rPr>
      <w:rFonts w:eastAsiaTheme="majorEastAsia"/>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B4DAC"/>
    <w:rPr>
      <w:rFonts w:ascii="Times New Roman" w:eastAsiaTheme="majorEastAsia" w:hAnsi="Times New Roman" w:cs="Times New Roman"/>
      <w:b/>
      <w:kern w:val="2"/>
      <w:sz w:val="40"/>
      <w:szCs w:val="40"/>
      <w:lang w:val="es-ES" w:eastAsia="x-none"/>
    </w:rPr>
  </w:style>
  <w:style w:type="character" w:customStyle="1" w:styleId="Ttulo2Car">
    <w:name w:val="Título 2 Car"/>
    <w:basedOn w:val="Fuentedeprrafopredeter"/>
    <w:link w:val="Ttulo2"/>
    <w:uiPriority w:val="99"/>
    <w:rsid w:val="0097217B"/>
    <w:rPr>
      <w:rFonts w:ascii="Times New Roman" w:eastAsiaTheme="majorEastAsia" w:hAnsi="Times New Roman" w:cs="Times New Roman"/>
      <w:b/>
      <w:kern w:val="2"/>
      <w:sz w:val="32"/>
      <w:szCs w:val="32"/>
      <w:lang w:val="es-ES" w:eastAsia="x-none"/>
    </w:rPr>
  </w:style>
  <w:style w:type="character" w:customStyle="1" w:styleId="Ttulo3Car">
    <w:name w:val="Título 3 Car"/>
    <w:basedOn w:val="Fuentedeprrafopredeter"/>
    <w:link w:val="Ttulo3"/>
    <w:uiPriority w:val="9"/>
    <w:semiHidden/>
    <w:rsid w:val="00684A8D"/>
    <w:rPr>
      <w:rFonts w:eastAsiaTheme="majorEastAsia" w:cs="Times New Roman"/>
      <w:color w:val="2F5496" w:themeColor="accent1" w:themeShade="BF"/>
      <w:sz w:val="28"/>
      <w:szCs w:val="28"/>
    </w:rPr>
  </w:style>
  <w:style w:type="character" w:customStyle="1" w:styleId="Ttulo4Car">
    <w:name w:val="Título 4 Car"/>
    <w:basedOn w:val="Fuentedeprrafopredeter"/>
    <w:link w:val="Ttulo4"/>
    <w:uiPriority w:val="9"/>
    <w:semiHidden/>
    <w:rsid w:val="00684A8D"/>
    <w:rPr>
      <w:rFonts w:eastAsiaTheme="majorEastAsia" w:cs="Times New Roman"/>
      <w:i/>
      <w:iCs/>
      <w:color w:val="2F5496" w:themeColor="accent1" w:themeShade="BF"/>
    </w:rPr>
  </w:style>
  <w:style w:type="character" w:customStyle="1" w:styleId="Ttulo5Car">
    <w:name w:val="Título 5 Car"/>
    <w:basedOn w:val="Fuentedeprrafopredeter"/>
    <w:link w:val="Ttulo5"/>
    <w:uiPriority w:val="9"/>
    <w:semiHidden/>
    <w:rsid w:val="00684A8D"/>
    <w:rPr>
      <w:rFonts w:eastAsiaTheme="majorEastAsia" w:cs="Times New Roman"/>
      <w:color w:val="2F5496" w:themeColor="accent1" w:themeShade="BF"/>
    </w:rPr>
  </w:style>
  <w:style w:type="character" w:customStyle="1" w:styleId="Ttulo6Car">
    <w:name w:val="Título 6 Car"/>
    <w:basedOn w:val="Fuentedeprrafopredeter"/>
    <w:link w:val="Ttulo6"/>
    <w:uiPriority w:val="9"/>
    <w:semiHidden/>
    <w:rsid w:val="00684A8D"/>
    <w:rPr>
      <w:rFonts w:eastAsiaTheme="majorEastAsia" w:cs="Times New Roman"/>
      <w:i/>
      <w:iCs/>
      <w:color w:val="595959" w:themeColor="text1" w:themeTint="A6"/>
    </w:rPr>
  </w:style>
  <w:style w:type="character" w:customStyle="1" w:styleId="Ttulo7Car">
    <w:name w:val="Título 7 Car"/>
    <w:basedOn w:val="Fuentedeprrafopredeter"/>
    <w:link w:val="Ttulo7"/>
    <w:uiPriority w:val="9"/>
    <w:semiHidden/>
    <w:rsid w:val="00684A8D"/>
    <w:rPr>
      <w:rFonts w:eastAsiaTheme="majorEastAsia" w:cs="Times New Roman"/>
      <w:color w:val="595959" w:themeColor="text1" w:themeTint="A6"/>
    </w:rPr>
  </w:style>
  <w:style w:type="character" w:customStyle="1" w:styleId="Ttulo8Car">
    <w:name w:val="Título 8 Car"/>
    <w:basedOn w:val="Fuentedeprrafopredeter"/>
    <w:link w:val="Ttulo8"/>
    <w:uiPriority w:val="9"/>
    <w:semiHidden/>
    <w:rsid w:val="00684A8D"/>
    <w:rPr>
      <w:rFonts w:eastAsiaTheme="majorEastAsia" w:cs="Times New Roman"/>
      <w:i/>
      <w:iCs/>
      <w:color w:val="272727" w:themeColor="text1" w:themeTint="D8"/>
    </w:rPr>
  </w:style>
  <w:style w:type="character" w:customStyle="1" w:styleId="Ttulo9Car">
    <w:name w:val="Título 9 Car"/>
    <w:basedOn w:val="Fuentedeprrafopredeter"/>
    <w:link w:val="Ttulo9"/>
    <w:uiPriority w:val="9"/>
    <w:semiHidden/>
    <w:rsid w:val="00684A8D"/>
    <w:rPr>
      <w:rFonts w:eastAsiaTheme="majorEastAsia" w:cs="Times New Roman"/>
      <w:color w:val="272727" w:themeColor="text1" w:themeTint="D8"/>
    </w:rPr>
  </w:style>
  <w:style w:type="paragraph" w:styleId="Ttulo">
    <w:name w:val="Title"/>
    <w:basedOn w:val="Normal"/>
    <w:next w:val="Normal"/>
    <w:link w:val="TtuloCar"/>
    <w:uiPriority w:val="10"/>
    <w:qFormat/>
    <w:rsid w:val="00684A8D"/>
    <w:pPr>
      <w:spacing w:after="80" w:line="240" w:lineRule="auto"/>
      <w:contextualSpacing/>
    </w:pPr>
    <w:rPr>
      <w:rFonts w:asciiTheme="majorHAnsi" w:eastAsiaTheme="majorEastAsia" w:hAnsiTheme="majorHAnsi"/>
      <w:spacing w:val="-10"/>
      <w:kern w:val="28"/>
      <w:sz w:val="56"/>
      <w:szCs w:val="56"/>
    </w:rPr>
  </w:style>
  <w:style w:type="character" w:customStyle="1" w:styleId="TtuloCar">
    <w:name w:val="Título Car"/>
    <w:basedOn w:val="Fuentedeprrafopredeter"/>
    <w:link w:val="Ttulo"/>
    <w:uiPriority w:val="10"/>
    <w:rsid w:val="00684A8D"/>
    <w:rPr>
      <w:rFonts w:asciiTheme="majorHAnsi" w:eastAsiaTheme="majorEastAsia" w:hAnsiTheme="majorHAnsi" w:cs="Times New Roman"/>
      <w:spacing w:val="-10"/>
      <w:kern w:val="28"/>
      <w:sz w:val="56"/>
      <w:szCs w:val="56"/>
    </w:rPr>
  </w:style>
  <w:style w:type="paragraph" w:styleId="Subttulo">
    <w:name w:val="Subtitle"/>
    <w:basedOn w:val="Normal"/>
    <w:next w:val="Normal"/>
    <w:link w:val="SubttuloCar"/>
    <w:uiPriority w:val="11"/>
    <w:qFormat/>
    <w:rsid w:val="00DA04A5"/>
    <w:pPr>
      <w:numPr>
        <w:numId w:val="6"/>
      </w:numPr>
      <w:spacing w:after="0" w:line="240" w:lineRule="auto"/>
      <w:outlineLvl w:val="2"/>
    </w:pPr>
    <w:rPr>
      <w:rFonts w:ascii="Times New Roman" w:eastAsiaTheme="majorEastAsia" w:hAnsi="Times New Roman"/>
      <w:b/>
      <w:sz w:val="28"/>
      <w:szCs w:val="28"/>
    </w:rPr>
  </w:style>
  <w:style w:type="character" w:customStyle="1" w:styleId="SubttuloCar">
    <w:name w:val="Subtítulo Car"/>
    <w:basedOn w:val="Fuentedeprrafopredeter"/>
    <w:link w:val="Subttulo"/>
    <w:uiPriority w:val="11"/>
    <w:rsid w:val="00DA04A5"/>
    <w:rPr>
      <w:rFonts w:ascii="Times New Roman" w:eastAsiaTheme="majorEastAsia" w:hAnsi="Times New Roman" w:cs="Times New Roman"/>
      <w:b/>
      <w:kern w:val="2"/>
      <w:sz w:val="28"/>
      <w:szCs w:val="28"/>
      <w:lang w:val="es-ES" w:eastAsia="x-none"/>
    </w:rPr>
  </w:style>
  <w:style w:type="paragraph" w:styleId="Cita">
    <w:name w:val="Quote"/>
    <w:basedOn w:val="Normal"/>
    <w:next w:val="Normal"/>
    <w:link w:val="CitaCar"/>
    <w:uiPriority w:val="29"/>
    <w:qFormat/>
    <w:rsid w:val="00684A8D"/>
    <w:pPr>
      <w:spacing w:before="160"/>
      <w:jc w:val="center"/>
    </w:pPr>
    <w:rPr>
      <w:i/>
      <w:iCs/>
      <w:color w:val="404040" w:themeColor="text1" w:themeTint="BF"/>
    </w:rPr>
  </w:style>
  <w:style w:type="character" w:customStyle="1" w:styleId="CitaCar">
    <w:name w:val="Cita Car"/>
    <w:basedOn w:val="Fuentedeprrafopredeter"/>
    <w:link w:val="Cita"/>
    <w:uiPriority w:val="29"/>
    <w:rsid w:val="00684A8D"/>
    <w:rPr>
      <w:rFonts w:cs="Times New Roman"/>
      <w:i/>
      <w:iCs/>
      <w:color w:val="404040" w:themeColor="text1" w:themeTint="BF"/>
    </w:rPr>
  </w:style>
  <w:style w:type="paragraph" w:styleId="Prrafodelista">
    <w:name w:val="List Paragraph"/>
    <w:aliases w:val="titulo 3,Párrafo de lista1,Bolita,Bullets,Ha,List Paragraph_0,List Paragraph_1,List Paragraph1,lp1,parrafo,Párrafo de lista Numerado,Segundo nivel de viñetas,Lista vistosa - Énfasis 11,List Paragraph 1,HOJA,BOLADEF,BOLA,List1,Dot pt,Lis"/>
    <w:basedOn w:val="Normal"/>
    <w:link w:val="PrrafodelistaCar"/>
    <w:uiPriority w:val="34"/>
    <w:qFormat/>
    <w:rsid w:val="00684A8D"/>
    <w:pPr>
      <w:ind w:left="720"/>
      <w:contextualSpacing/>
    </w:pPr>
  </w:style>
  <w:style w:type="character" w:styleId="nfasisintenso">
    <w:name w:val="Intense Emphasis"/>
    <w:basedOn w:val="Fuentedeprrafopredeter"/>
    <w:uiPriority w:val="21"/>
    <w:qFormat/>
    <w:rsid w:val="00684A8D"/>
    <w:rPr>
      <w:rFonts w:cs="Times New Roman"/>
      <w:i/>
      <w:iCs/>
      <w:color w:val="2F5496" w:themeColor="accent1" w:themeShade="BF"/>
    </w:rPr>
  </w:style>
  <w:style w:type="paragraph" w:styleId="Citadestacada">
    <w:name w:val="Intense Quote"/>
    <w:basedOn w:val="Normal"/>
    <w:next w:val="Normal"/>
    <w:link w:val="CitadestacadaCar"/>
    <w:uiPriority w:val="30"/>
    <w:qFormat/>
    <w:rsid w:val="00684A8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684A8D"/>
    <w:rPr>
      <w:rFonts w:cs="Times New Roman"/>
      <w:i/>
      <w:iCs/>
      <w:color w:val="2F5496" w:themeColor="accent1" w:themeShade="BF"/>
    </w:rPr>
  </w:style>
  <w:style w:type="character" w:styleId="Referenciaintensa">
    <w:name w:val="Intense Reference"/>
    <w:basedOn w:val="Fuentedeprrafopredeter"/>
    <w:uiPriority w:val="32"/>
    <w:qFormat/>
    <w:rsid w:val="00684A8D"/>
    <w:rPr>
      <w:rFonts w:cs="Times New Roman"/>
      <w:b/>
      <w:bCs/>
      <w:smallCaps/>
      <w:color w:val="2F5496" w:themeColor="accent1" w:themeShade="BF"/>
      <w:spacing w:val="5"/>
    </w:rPr>
  </w:style>
  <w:style w:type="paragraph" w:styleId="Textonotapie">
    <w:name w:val="footnote text"/>
    <w:aliases w:val="Ref. de nota al pie1,Texto de nota al pie,referencia nota al pie,Footnotes refss,Appel note de bas de page,Fago Fußnotenzeichen,Footnote number,BVI fnr,f,Ref. de nota al pie 2,4_G,16 Point,Superscript 6 Point,Footnote symbol,Footnote,Ref"/>
    <w:basedOn w:val="Normal"/>
    <w:link w:val="TextonotapieCar"/>
    <w:uiPriority w:val="99"/>
    <w:unhideWhenUsed/>
    <w:qFormat/>
    <w:rsid w:val="00684A8D"/>
    <w:pPr>
      <w:spacing w:after="0" w:line="240" w:lineRule="auto"/>
    </w:pPr>
    <w:rPr>
      <w:sz w:val="20"/>
      <w:szCs w:val="20"/>
    </w:rPr>
  </w:style>
  <w:style w:type="paragraph" w:styleId="NormalWeb">
    <w:name w:val="Normal (Web)"/>
    <w:basedOn w:val="Normal"/>
    <w:uiPriority w:val="99"/>
    <w:unhideWhenUsed/>
    <w:rsid w:val="00684A8D"/>
    <w:pPr>
      <w:spacing w:before="100" w:beforeAutospacing="1" w:after="100" w:afterAutospacing="1" w:line="240" w:lineRule="auto"/>
    </w:pPr>
    <w:rPr>
      <w:rFonts w:ascii="Times New Roman" w:eastAsia="Times New Roman" w:hAnsi="Times New Roman"/>
      <w:lang w:eastAsia="es-CO"/>
    </w:rPr>
  </w:style>
  <w:style w:type="character" w:customStyle="1" w:styleId="TextonotapieCar">
    <w:name w:val="Texto nota pie Car"/>
    <w:aliases w:val="Ref. de nota al pie1 Car,Texto de nota al pie Car,referencia nota al pie Car,Footnotes refss Car,Appel note de bas de page Car,Fago Fußnotenzeichen Car,Footnote number Car,BVI fnr Car,f Car,Ref. de nota al pie 2 Car,4_G Car,Ref Car"/>
    <w:basedOn w:val="Fuentedeprrafopredeter"/>
    <w:link w:val="Textonotapie"/>
    <w:uiPriority w:val="99"/>
    <w:qFormat/>
    <w:rsid w:val="00684A8D"/>
    <w:rPr>
      <w:rFonts w:cs="Times New Roman"/>
      <w:sz w:val="20"/>
      <w:szCs w:val="20"/>
    </w:rPr>
  </w:style>
  <w:style w:type="table" w:styleId="Tablaconcuadrcula">
    <w:name w:val="Table Grid"/>
    <w:basedOn w:val="Tablanormal"/>
    <w:uiPriority w:val="39"/>
    <w:rsid w:val="00684A8D"/>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iedepagina">
    <w:name w:val="Pie de pagina"/>
    <w:aliases w:val="Ref. de nota al pie2"/>
    <w:basedOn w:val="Normal"/>
    <w:uiPriority w:val="99"/>
    <w:qFormat/>
    <w:rsid w:val="00684A8D"/>
    <w:pPr>
      <w:spacing w:after="0" w:line="240" w:lineRule="exact"/>
    </w:pPr>
    <w:rPr>
      <w:vertAlign w:val="superscript"/>
    </w:rPr>
  </w:style>
  <w:style w:type="character" w:customStyle="1" w:styleId="Hipervnculo1">
    <w:name w:val="Hipervínculo1"/>
    <w:basedOn w:val="Fuentedeprrafopredeter"/>
    <w:uiPriority w:val="99"/>
    <w:rsid w:val="00684A8D"/>
    <w:rPr>
      <w:rFonts w:cs="Times New Roman"/>
      <w:color w:val="467886"/>
      <w:u w:val="single"/>
    </w:rPr>
  </w:style>
  <w:style w:type="character" w:customStyle="1" w:styleId="PrrafodelistaCar">
    <w:name w:val="Párrafo de lista Car"/>
    <w:aliases w:val="titulo 3 Car,Párrafo de lista1 Car,Bolita Car,Bullets Car,Ha Car,List Paragraph_0 Car,List Paragraph_1 Car,List Paragraph1 Car,lp1 Car,parrafo Car,Párrafo de lista Numerado Car,Segundo nivel de viñetas Car,List Paragraph 1 Car"/>
    <w:basedOn w:val="Fuentedeprrafopredeter"/>
    <w:link w:val="Prrafodelista"/>
    <w:uiPriority w:val="34"/>
    <w:qFormat/>
    <w:locked/>
    <w:rsid w:val="00684A8D"/>
    <w:rPr>
      <w:rFonts w:cs="Times New Roman"/>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uiPriority w:val="99"/>
    <w:qFormat/>
    <w:rsid w:val="00684A8D"/>
    <w:pPr>
      <w:contextualSpacing/>
    </w:pPr>
    <w:rPr>
      <w:vertAlign w:val="superscript"/>
    </w:rPr>
  </w:style>
  <w:style w:type="character" w:styleId="Fuerte">
    <w:name w:val="Strong"/>
    <w:basedOn w:val="Fuentedeprrafopredeter"/>
    <w:uiPriority w:val="22"/>
    <w:qFormat/>
    <w:rsid w:val="00684A8D"/>
    <w:rPr>
      <w:rFonts w:cs="Times New Roman"/>
      <w:b/>
      <w:bCs/>
    </w:rPr>
  </w:style>
  <w:style w:type="paragraph" w:styleId="Revisin">
    <w:name w:val="Revision"/>
    <w:hidden/>
    <w:uiPriority w:val="99"/>
    <w:semiHidden/>
    <w:rsid w:val="00561D94"/>
    <w:pPr>
      <w:spacing w:after="0" w:line="240" w:lineRule="auto"/>
    </w:pPr>
    <w:rPr>
      <w:rFonts w:cs="Times New Roman"/>
    </w:rPr>
  </w:style>
  <w:style w:type="paragraph" w:styleId="Textodeglobo">
    <w:name w:val="Balloon Text"/>
    <w:basedOn w:val="Normal"/>
    <w:link w:val="TextodegloboCar"/>
    <w:uiPriority w:val="99"/>
    <w:semiHidden/>
    <w:unhideWhenUsed/>
    <w:rsid w:val="000F4E0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F4E0B"/>
    <w:rPr>
      <w:rFonts w:ascii="Segoe UI" w:hAnsi="Segoe UI" w:cs="Segoe UI"/>
      <w:sz w:val="18"/>
      <w:szCs w:val="18"/>
    </w:rPr>
  </w:style>
  <w:style w:type="character" w:styleId="Hipervnculo">
    <w:name w:val="Hyperlink"/>
    <w:basedOn w:val="Fuentedeprrafopredeter"/>
    <w:uiPriority w:val="99"/>
    <w:unhideWhenUsed/>
    <w:rsid w:val="005F6D8B"/>
    <w:rPr>
      <w:rFonts w:cs="Times New Roman"/>
      <w:color w:val="0563C1" w:themeColor="hyperlink"/>
      <w:u w:val="single"/>
    </w:rPr>
  </w:style>
  <w:style w:type="character" w:styleId="Refdecomentario">
    <w:name w:val="annotation reference"/>
    <w:basedOn w:val="Fuentedeprrafopredeter"/>
    <w:uiPriority w:val="99"/>
    <w:semiHidden/>
    <w:unhideWhenUsed/>
    <w:rsid w:val="005F6D8B"/>
    <w:rPr>
      <w:rFonts w:cs="Times New Roman"/>
      <w:sz w:val="16"/>
      <w:szCs w:val="16"/>
    </w:rPr>
  </w:style>
  <w:style w:type="character" w:customStyle="1" w:styleId="eop">
    <w:name w:val="eop"/>
    <w:basedOn w:val="Fuentedeprrafopredeter"/>
    <w:rsid w:val="005F6D8B"/>
    <w:rPr>
      <w:rFonts w:cs="Times New Roman"/>
    </w:rPr>
  </w:style>
  <w:style w:type="character" w:styleId="nfasis">
    <w:name w:val="Emphasis"/>
    <w:basedOn w:val="Fuentedeprrafopredeter"/>
    <w:uiPriority w:val="20"/>
    <w:qFormat/>
    <w:rsid w:val="005F6D8B"/>
    <w:rPr>
      <w:rFonts w:cs="Times New Roman"/>
      <w:i/>
      <w:iCs/>
    </w:rPr>
  </w:style>
  <w:style w:type="paragraph" w:styleId="Textocomentario">
    <w:name w:val="annotation text"/>
    <w:basedOn w:val="Normal"/>
    <w:link w:val="TextocomentarioCar"/>
    <w:uiPriority w:val="99"/>
    <w:unhideWhenUsed/>
    <w:pPr>
      <w:spacing w:line="240" w:lineRule="auto"/>
    </w:pPr>
    <w:rPr>
      <w:sz w:val="20"/>
      <w:szCs w:val="20"/>
    </w:rPr>
  </w:style>
  <w:style w:type="character" w:customStyle="1" w:styleId="TextocomentarioCar">
    <w:name w:val="Texto comentario Car"/>
    <w:basedOn w:val="Fuentedeprrafopredeter"/>
    <w:link w:val="Textocomentario"/>
    <w:uiPriority w:val="99"/>
    <w:rPr>
      <w:rFonts w:eastAsiaTheme="minorEastAsia" w:cs="Times New Roman"/>
      <w:kern w:val="2"/>
      <w:sz w:val="20"/>
      <w:szCs w:val="20"/>
      <w:lang w:val="es-ES" w:eastAsia="x-none"/>
    </w:rPr>
  </w:style>
  <w:style w:type="paragraph" w:styleId="Asuntodelcomentario">
    <w:name w:val="annotation subject"/>
    <w:basedOn w:val="Textocomentario"/>
    <w:next w:val="Textocomentario"/>
    <w:link w:val="AsuntodelcomentarioCar"/>
    <w:uiPriority w:val="99"/>
    <w:semiHidden/>
    <w:unhideWhenUsed/>
    <w:rsid w:val="003E7561"/>
    <w:rPr>
      <w:b/>
      <w:bCs/>
    </w:rPr>
  </w:style>
  <w:style w:type="character" w:customStyle="1" w:styleId="AsuntodelcomentarioCar">
    <w:name w:val="Asunto del comentario Car"/>
    <w:basedOn w:val="TextocomentarioCar"/>
    <w:link w:val="Asuntodelcomentario"/>
    <w:uiPriority w:val="99"/>
    <w:semiHidden/>
    <w:rsid w:val="003E7561"/>
    <w:rPr>
      <w:rFonts w:eastAsiaTheme="minorEastAsia" w:cs="Times New Roman"/>
      <w:b/>
      <w:bCs/>
      <w:kern w:val="2"/>
      <w:sz w:val="20"/>
      <w:szCs w:val="20"/>
      <w:lang w:val="es-ES" w:eastAsia="x-none"/>
    </w:rPr>
  </w:style>
  <w:style w:type="paragraph" w:styleId="Encabezado">
    <w:name w:val="header"/>
    <w:basedOn w:val="Normal"/>
    <w:link w:val="EncabezadoCar"/>
    <w:uiPriority w:val="99"/>
    <w:unhideWhenUsed/>
    <w:rsid w:val="00952D87"/>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52D87"/>
    <w:rPr>
      <w:rFonts w:eastAsiaTheme="minorEastAsia" w:cs="Times New Roman"/>
      <w:kern w:val="2"/>
      <w:sz w:val="24"/>
      <w:szCs w:val="24"/>
      <w:lang w:val="es-ES" w:eastAsia="x-none"/>
    </w:rPr>
  </w:style>
  <w:style w:type="paragraph" w:styleId="Piedepgina">
    <w:name w:val="footer"/>
    <w:basedOn w:val="Normal"/>
    <w:link w:val="PiedepginaCar"/>
    <w:uiPriority w:val="99"/>
    <w:unhideWhenUsed/>
    <w:rsid w:val="00952D87"/>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52D87"/>
    <w:rPr>
      <w:rFonts w:eastAsiaTheme="minorEastAsia" w:cs="Times New Roman"/>
      <w:kern w:val="2"/>
      <w:sz w:val="24"/>
      <w:szCs w:val="24"/>
      <w:lang w:val="es-ES" w:eastAsia="x-none"/>
    </w:rPr>
  </w:style>
  <w:style w:type="paragraph" w:customStyle="1" w:styleId="paragraph">
    <w:name w:val="paragraph"/>
    <w:basedOn w:val="Normal"/>
    <w:rsid w:val="00CA2065"/>
    <w:pPr>
      <w:spacing w:before="100" w:beforeAutospacing="1" w:after="100" w:afterAutospacing="1" w:line="240" w:lineRule="auto"/>
      <w:jc w:val="left"/>
    </w:pPr>
    <w:rPr>
      <w:rFonts w:ascii="Times New Roman" w:eastAsia="Times New Roman" w:hAnsi="Times New Roman"/>
      <w:kern w:val="0"/>
      <w:lang w:val="es-CO" w:eastAsia="es-ES_tradnl"/>
    </w:rPr>
  </w:style>
  <w:style w:type="character" w:customStyle="1" w:styleId="normaltextrun">
    <w:name w:val="normaltextrun"/>
    <w:basedOn w:val="Fuentedeprrafopredeter"/>
    <w:rsid w:val="00CA2065"/>
    <w:rPr>
      <w:rFonts w:cs="Times New Roman"/>
    </w:rPr>
  </w:style>
  <w:style w:type="character" w:customStyle="1" w:styleId="superscript">
    <w:name w:val="superscript"/>
    <w:basedOn w:val="Fuentedeprrafopredeter"/>
    <w:rsid w:val="00CA2065"/>
    <w:rPr>
      <w:rFonts w:cs="Times New Roman"/>
    </w:rPr>
  </w:style>
  <w:style w:type="character" w:styleId="Nmerodepgina">
    <w:name w:val="page number"/>
    <w:basedOn w:val="Fuentedeprrafopredeter"/>
    <w:uiPriority w:val="99"/>
    <w:semiHidden/>
    <w:unhideWhenUsed/>
    <w:rsid w:val="001970FE"/>
    <w:rPr>
      <w:rFonts w:cs="Times New Roman"/>
    </w:rPr>
  </w:style>
  <w:style w:type="character" w:styleId="Mencinsinresolver">
    <w:name w:val="Unresolved Mention"/>
    <w:basedOn w:val="Fuentedeprrafopredeter"/>
    <w:uiPriority w:val="99"/>
    <w:semiHidden/>
    <w:unhideWhenUsed/>
    <w:rsid w:val="00F83C1F"/>
    <w:rPr>
      <w:rFonts w:cs="Times New Roman"/>
      <w:color w:val="605E5C"/>
      <w:shd w:val="clear" w:color="auto" w:fill="E1DFDD"/>
    </w:rPr>
  </w:style>
  <w:style w:type="character" w:styleId="Hipervnculovisitado">
    <w:name w:val="FollowedHyperlink"/>
    <w:basedOn w:val="Fuentedeprrafopredeter"/>
    <w:uiPriority w:val="99"/>
    <w:semiHidden/>
    <w:unhideWhenUsed/>
    <w:rsid w:val="00F83C1F"/>
    <w:rPr>
      <w:rFonts w:cs="Times New Roman"/>
      <w:color w:val="954F72" w:themeColor="followedHyperlink"/>
      <w:u w:val="single"/>
    </w:rPr>
  </w:style>
  <w:style w:type="paragraph" w:customStyle="1" w:styleId="Subttulo2">
    <w:name w:val="Subtítulo 2"/>
    <w:basedOn w:val="Normal"/>
    <w:link w:val="Subttulo2Car"/>
    <w:qFormat/>
    <w:rsid w:val="00E24C0B"/>
    <w:pPr>
      <w:numPr>
        <w:numId w:val="7"/>
      </w:numPr>
      <w:spacing w:after="0" w:line="240" w:lineRule="auto"/>
      <w:ind w:left="714" w:hanging="357"/>
      <w:outlineLvl w:val="2"/>
    </w:pPr>
    <w:rPr>
      <w:rFonts w:ascii="Times New Roman" w:hAnsi="Times New Roman"/>
      <w:b/>
      <w:sz w:val="28"/>
      <w:szCs w:val="28"/>
      <w:lang w:val="es-ES_tradnl"/>
    </w:rPr>
  </w:style>
  <w:style w:type="character" w:customStyle="1" w:styleId="Subttulo2Car">
    <w:name w:val="Subtítulo 2 Car"/>
    <w:basedOn w:val="Fuentedeprrafopredeter"/>
    <w:link w:val="Subttulo2"/>
    <w:rsid w:val="00E24C0B"/>
    <w:rPr>
      <w:rFonts w:ascii="Times New Roman" w:eastAsiaTheme="minorEastAsia" w:hAnsi="Times New Roman" w:cs="Times New Roman"/>
      <w:b/>
      <w:kern w:val="2"/>
      <w:sz w:val="28"/>
      <w:szCs w:val="28"/>
      <w:lang w:val="es-ES_tradnl" w:eastAsia="x-none"/>
    </w:rPr>
  </w:style>
  <w:style w:type="paragraph" w:customStyle="1" w:styleId="Estilo5">
    <w:name w:val="Estilo5"/>
    <w:basedOn w:val="Subttulo"/>
    <w:link w:val="Estilo5Car"/>
    <w:qFormat/>
    <w:rsid w:val="004467E7"/>
    <w:pPr>
      <w:tabs>
        <w:tab w:val="left" w:pos="1276"/>
      </w:tabs>
    </w:pPr>
    <w:rPr>
      <w:lang w:val="es-ES_tradnl"/>
    </w:rPr>
  </w:style>
  <w:style w:type="character" w:customStyle="1" w:styleId="Estilo5Car">
    <w:name w:val="Estilo5 Car"/>
    <w:basedOn w:val="SubttuloCar"/>
    <w:link w:val="Estilo5"/>
    <w:rsid w:val="004467E7"/>
    <w:rPr>
      <w:rFonts w:ascii="Times New Roman" w:eastAsiaTheme="majorEastAsia" w:hAnsi="Times New Roman" w:cs="Times New Roman"/>
      <w:b/>
      <w:kern w:val="2"/>
      <w:sz w:val="28"/>
      <w:szCs w:val="28"/>
      <w:lang w:val="es-ES_tradnl" w:eastAsia="x-none"/>
    </w:rPr>
  </w:style>
  <w:style w:type="paragraph" w:customStyle="1" w:styleId="content-meta-dataauthors">
    <w:name w:val="content-meta-data__authors"/>
    <w:basedOn w:val="Normal"/>
    <w:rsid w:val="00891C4B"/>
    <w:pPr>
      <w:spacing w:before="100" w:beforeAutospacing="1" w:after="100" w:afterAutospacing="1" w:line="240" w:lineRule="auto"/>
      <w:jc w:val="left"/>
    </w:pPr>
    <w:rPr>
      <w:rFonts w:ascii="Times New Roman" w:eastAsia="Times New Roman" w:hAnsi="Times New Roman"/>
      <w:kern w:val="0"/>
      <w:lang w:val="es-CO" w:eastAsia="es-ES_tradnl"/>
    </w:rPr>
  </w:style>
  <w:style w:type="character" w:styleId="Textodelmarcadordeposicin">
    <w:name w:val="Placeholder Text"/>
    <w:basedOn w:val="Fuentedeprrafopredeter"/>
    <w:uiPriority w:val="99"/>
    <w:semiHidden/>
    <w:rsid w:val="00436006"/>
    <w:rPr>
      <w:rFonts w:cs="Times New Roman"/>
      <w:color w:val="666666"/>
    </w:rPr>
  </w:style>
  <w:style w:type="paragraph" w:styleId="Sinespaciado">
    <w:name w:val="No Spacing"/>
    <w:uiPriority w:val="1"/>
    <w:qFormat/>
    <w:rsid w:val="00B808B5"/>
    <w:pPr>
      <w:spacing w:after="0" w:line="240" w:lineRule="auto"/>
    </w:pPr>
    <w:rPr>
      <w:rFonts w:ascii="Times New Roman" w:hAnsi="Times New Roman" w:cs="Times New Roman"/>
      <w:sz w:val="28"/>
      <w:lang w:eastAsia="es-CO"/>
    </w:rPr>
  </w:style>
  <w:style w:type="character" w:customStyle="1" w:styleId="baj">
    <w:name w:val="b_aj"/>
    <w:rsid w:val="00B808B5"/>
    <w:rPr>
      <w:lang w:val="es-ES_tradnl" w:eastAsia="x-none"/>
    </w:rPr>
  </w:style>
  <w:style w:type="paragraph" w:customStyle="1" w:styleId="Style5">
    <w:name w:val="Style5"/>
    <w:basedOn w:val="Normal"/>
    <w:uiPriority w:val="99"/>
    <w:rsid w:val="00B808B5"/>
    <w:pPr>
      <w:widowControl w:val="0"/>
      <w:autoSpaceDE w:val="0"/>
      <w:autoSpaceDN w:val="0"/>
      <w:adjustRightInd w:val="0"/>
      <w:spacing w:after="0" w:line="317" w:lineRule="exact"/>
    </w:pPr>
    <w:rPr>
      <w:rFonts w:ascii="Times New Roman" w:hAnsi="Times New Roman"/>
      <w:sz w:val="28"/>
      <w:szCs w:val="22"/>
      <w:lang w:val="es-CO" w:eastAsia="es-CO"/>
    </w:rPr>
  </w:style>
  <w:style w:type="paragraph" w:customStyle="1" w:styleId="BodyText21">
    <w:name w:val="Body Text 21"/>
    <w:basedOn w:val="Normal"/>
    <w:uiPriority w:val="99"/>
    <w:rsid w:val="00B808B5"/>
    <w:pPr>
      <w:widowControl w:val="0"/>
      <w:overflowPunct w:val="0"/>
      <w:autoSpaceDE w:val="0"/>
      <w:autoSpaceDN w:val="0"/>
      <w:adjustRightInd w:val="0"/>
      <w:spacing w:after="0" w:line="360" w:lineRule="auto"/>
      <w:textAlignment w:val="baseline"/>
    </w:pPr>
    <w:rPr>
      <w:rFonts w:ascii="Times New Roman" w:eastAsia="Times New Roman" w:hAnsi="Times New Roman"/>
      <w:kern w:val="0"/>
      <w:sz w:val="28"/>
      <w:szCs w:val="28"/>
      <w:lang w:eastAsia="es-ES"/>
    </w:rPr>
  </w:style>
  <w:style w:type="character" w:customStyle="1" w:styleId="user-highlighted-active">
    <w:name w:val="user-highlighted-active"/>
    <w:basedOn w:val="Fuentedeprrafopredeter"/>
    <w:rsid w:val="00B808B5"/>
    <w:rPr>
      <w:rFonts w:cs="Times New Roman"/>
    </w:rPr>
  </w:style>
  <w:style w:type="character" w:customStyle="1" w:styleId="highlighted">
    <w:name w:val="highlighted"/>
    <w:basedOn w:val="Fuentedeprrafopredeter"/>
    <w:rsid w:val="00B808B5"/>
    <w:rPr>
      <w:rFonts w:cs="Times New Roman"/>
    </w:rPr>
  </w:style>
  <w:style w:type="numbering" w:customStyle="1" w:styleId="Listaactual9">
    <w:name w:val="Lista actual9"/>
    <w:pPr>
      <w:numPr>
        <w:numId w:val="22"/>
      </w:numPr>
    </w:pPr>
  </w:style>
  <w:style w:type="numbering" w:customStyle="1" w:styleId="Listaactual6">
    <w:name w:val="Lista actual6"/>
    <w:pPr>
      <w:numPr>
        <w:numId w:val="19"/>
      </w:numPr>
    </w:pPr>
  </w:style>
  <w:style w:type="numbering" w:customStyle="1" w:styleId="Listaactual2">
    <w:name w:val="Lista actual2"/>
    <w:pPr>
      <w:numPr>
        <w:numId w:val="32"/>
      </w:numPr>
    </w:pPr>
  </w:style>
  <w:style w:type="numbering" w:customStyle="1" w:styleId="Listaactual10">
    <w:name w:val="Lista actual10"/>
    <w:pPr>
      <w:numPr>
        <w:numId w:val="23"/>
      </w:numPr>
    </w:pPr>
  </w:style>
  <w:style w:type="numbering" w:customStyle="1" w:styleId="Listaactual5">
    <w:name w:val="Lista actual5"/>
    <w:pPr>
      <w:numPr>
        <w:numId w:val="5"/>
      </w:numPr>
    </w:pPr>
  </w:style>
  <w:style w:type="numbering" w:customStyle="1" w:styleId="Listaactual8">
    <w:name w:val="Lista actual8"/>
    <w:pPr>
      <w:numPr>
        <w:numId w:val="21"/>
      </w:numPr>
    </w:pPr>
  </w:style>
  <w:style w:type="numbering" w:customStyle="1" w:styleId="Listaactual4">
    <w:name w:val="Lista actual4"/>
    <w:pPr>
      <w:numPr>
        <w:numId w:val="33"/>
      </w:numPr>
    </w:pPr>
  </w:style>
  <w:style w:type="numbering" w:customStyle="1" w:styleId="Listaactual12">
    <w:name w:val="Lista actual12"/>
    <w:pPr>
      <w:numPr>
        <w:numId w:val="27"/>
      </w:numPr>
    </w:pPr>
  </w:style>
  <w:style w:type="numbering" w:customStyle="1" w:styleId="Listaactual13">
    <w:name w:val="Lista actual13"/>
    <w:pPr>
      <w:numPr>
        <w:numId w:val="15"/>
      </w:numPr>
    </w:pPr>
  </w:style>
  <w:style w:type="numbering" w:customStyle="1" w:styleId="Listaactual1">
    <w:name w:val="Lista actual1"/>
    <w:pPr>
      <w:numPr>
        <w:numId w:val="31"/>
      </w:numPr>
    </w:pPr>
  </w:style>
  <w:style w:type="numbering" w:customStyle="1" w:styleId="Listaactual7">
    <w:name w:val="Lista actual7"/>
    <w:pPr>
      <w:numPr>
        <w:numId w:val="20"/>
      </w:numPr>
    </w:pPr>
  </w:style>
  <w:style w:type="numbering" w:customStyle="1" w:styleId="Listaactual11">
    <w:name w:val="Lista actual11"/>
    <w:pPr>
      <w:numPr>
        <w:numId w:val="2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3067114">
      <w:marLeft w:val="0"/>
      <w:marRight w:val="0"/>
      <w:marTop w:val="0"/>
      <w:marBottom w:val="0"/>
      <w:divBdr>
        <w:top w:val="none" w:sz="0" w:space="0" w:color="auto"/>
        <w:left w:val="none" w:sz="0" w:space="0" w:color="auto"/>
        <w:bottom w:val="none" w:sz="0" w:space="0" w:color="auto"/>
        <w:right w:val="none" w:sz="0" w:space="0" w:color="auto"/>
      </w:divBdr>
    </w:div>
    <w:div w:id="723067115">
      <w:marLeft w:val="0"/>
      <w:marRight w:val="0"/>
      <w:marTop w:val="0"/>
      <w:marBottom w:val="0"/>
      <w:divBdr>
        <w:top w:val="none" w:sz="0" w:space="0" w:color="auto"/>
        <w:left w:val="none" w:sz="0" w:space="0" w:color="auto"/>
        <w:bottom w:val="none" w:sz="0" w:space="0" w:color="auto"/>
        <w:right w:val="none" w:sz="0" w:space="0" w:color="auto"/>
      </w:divBdr>
    </w:div>
    <w:div w:id="723067116">
      <w:marLeft w:val="0"/>
      <w:marRight w:val="0"/>
      <w:marTop w:val="0"/>
      <w:marBottom w:val="0"/>
      <w:divBdr>
        <w:top w:val="none" w:sz="0" w:space="0" w:color="auto"/>
        <w:left w:val="none" w:sz="0" w:space="0" w:color="auto"/>
        <w:bottom w:val="none" w:sz="0" w:space="0" w:color="auto"/>
        <w:right w:val="none" w:sz="0" w:space="0" w:color="auto"/>
      </w:divBdr>
    </w:div>
    <w:div w:id="723067117">
      <w:marLeft w:val="0"/>
      <w:marRight w:val="0"/>
      <w:marTop w:val="0"/>
      <w:marBottom w:val="0"/>
      <w:divBdr>
        <w:top w:val="none" w:sz="0" w:space="0" w:color="auto"/>
        <w:left w:val="none" w:sz="0" w:space="0" w:color="auto"/>
        <w:bottom w:val="none" w:sz="0" w:space="0" w:color="auto"/>
        <w:right w:val="none" w:sz="0" w:space="0" w:color="auto"/>
      </w:divBdr>
    </w:div>
    <w:div w:id="723067118">
      <w:marLeft w:val="0"/>
      <w:marRight w:val="0"/>
      <w:marTop w:val="0"/>
      <w:marBottom w:val="0"/>
      <w:divBdr>
        <w:top w:val="none" w:sz="0" w:space="0" w:color="auto"/>
        <w:left w:val="none" w:sz="0" w:space="0" w:color="auto"/>
        <w:bottom w:val="none" w:sz="0" w:space="0" w:color="auto"/>
        <w:right w:val="none" w:sz="0" w:space="0" w:color="auto"/>
      </w:divBdr>
    </w:div>
    <w:div w:id="723067119">
      <w:marLeft w:val="0"/>
      <w:marRight w:val="0"/>
      <w:marTop w:val="0"/>
      <w:marBottom w:val="0"/>
      <w:divBdr>
        <w:top w:val="none" w:sz="0" w:space="0" w:color="auto"/>
        <w:left w:val="none" w:sz="0" w:space="0" w:color="auto"/>
        <w:bottom w:val="none" w:sz="0" w:space="0" w:color="auto"/>
        <w:right w:val="none" w:sz="0" w:space="0" w:color="auto"/>
      </w:divBdr>
    </w:div>
    <w:div w:id="723067120">
      <w:marLeft w:val="0"/>
      <w:marRight w:val="0"/>
      <w:marTop w:val="0"/>
      <w:marBottom w:val="0"/>
      <w:divBdr>
        <w:top w:val="none" w:sz="0" w:space="0" w:color="auto"/>
        <w:left w:val="none" w:sz="0" w:space="0" w:color="auto"/>
        <w:bottom w:val="none" w:sz="0" w:space="0" w:color="auto"/>
        <w:right w:val="none" w:sz="0" w:space="0" w:color="auto"/>
      </w:divBdr>
    </w:div>
    <w:div w:id="723067121">
      <w:marLeft w:val="0"/>
      <w:marRight w:val="0"/>
      <w:marTop w:val="0"/>
      <w:marBottom w:val="0"/>
      <w:divBdr>
        <w:top w:val="none" w:sz="0" w:space="0" w:color="auto"/>
        <w:left w:val="none" w:sz="0" w:space="0" w:color="auto"/>
        <w:bottom w:val="none" w:sz="0" w:space="0" w:color="auto"/>
        <w:right w:val="none" w:sz="0" w:space="0" w:color="auto"/>
      </w:divBdr>
    </w:div>
    <w:div w:id="723067122">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s://app.vlex.com/vid/585987359" TargetMode="External"/><Relationship Id="rId13" Type="http://schemas.openxmlformats.org/officeDocument/2006/relationships/hyperlink" Target="https://app.vlex.com/vid/428679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app.vlex.com/vid/42867930/node/241"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pp.vlex.com/vid/42867930"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app.vlex.com/vid/42867930/node/212..215" TargetMode="External"/><Relationship Id="rId4" Type="http://schemas.openxmlformats.org/officeDocument/2006/relationships/webSettings" Target="webSettings.xml"/><Relationship Id="rId9" Type="http://schemas.openxmlformats.org/officeDocument/2006/relationships/hyperlink" Target="https://app.vlex.com/vid/43558049" TargetMode="External"/><Relationship Id="rId14" Type="http://schemas.openxmlformats.org/officeDocument/2006/relationships/hyperlink" Target="https://app.vlex.com/vid/43558049"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orteconstitucional.gov.co/lacorte/estadisticas" TargetMode="External"/><Relationship Id="rId2" Type="http://schemas.openxmlformats.org/officeDocument/2006/relationships/hyperlink" Target="https://www.bundesverfassungsgericht.de/SharedDocs/Entscheidungen/DE/2021/05/rs20210505_1bvr078121.html" TargetMode="External"/><Relationship Id="rId1" Type="http://schemas.openxmlformats.org/officeDocument/2006/relationships/hyperlink" Target="https://esacc.corteconstitucional.gob.ec/storage/api/v1/10_DWL_FL/eyJjYXJwZXRhIjoidHJhbWl0ZSIsInV1aWQiOiIyOGE1NTExYS03YjZkLTQyNDMtYmI4NC1iZDg3OGQ5NzcwYmEucGRmIn0=" TargetMode="External"/><Relationship Id="rId4" Type="http://schemas.openxmlformats.org/officeDocument/2006/relationships/hyperlink" Target="https://www.corteconstitucional.gov.co/lacorte/estadistica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83</Pages>
  <Words>38524</Words>
  <Characters>211886</Characters>
  <Application>Microsoft Office Word</Application>
  <DocSecurity>0</DocSecurity>
  <Lines>1765</Lines>
  <Paragraphs>499</Paragraphs>
  <ScaleCrop>false</ScaleCrop>
  <Company/>
  <LinksUpToDate>false</LinksUpToDate>
  <CharactersWithSpaces>249911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2026-03-17T16:14:00Z</dcterms:created>
  <dcterms:modified xsi:type="dcterms:W3CDTF">2026-04-06T17:18:00Z</dcterms:modified>
</cp:coreProperties>
</file>