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57FE6"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COMUNICADO DE PRENSA 11 DEL 11 DE MARZO DE 2026</w:t>
      </w:r>
    </w:p>
    <w:p w14:paraId="239857D9"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Sentencia SU-047/26</w:t>
      </w:r>
    </w:p>
    <w:p w14:paraId="266EE9A3"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M.P. Paola Meneses Mosquera</w:t>
      </w:r>
    </w:p>
    <w:p w14:paraId="0805E8D6"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Expedientes: T-10.982.711 y T-11.475.088 (acumulados)</w:t>
      </w:r>
    </w:p>
    <w:p w14:paraId="65C20C51"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605F7091"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Corte Constitucional amparó los derechos al debido proceso y a la igualdad del Distrito de Cali y del municipio de Yopal y revocó decisiones de la Sección Cuarta del Consejo de Estado, por medio de las cuales dicha autoridad anuló los acuerdos municipales y distritales que habrían incrementado la tarifa del ICA por encima de la tarifa fijada en el Distrito de Bogotá, acogiéndose a la facultad prevista en el artículo 14 de la Ley 2082 de 2021</w:t>
      </w:r>
    </w:p>
    <w:p w14:paraId="486E4F28" w14:textId="77777777" w:rsidR="00E16AF9" w:rsidRPr="00E16AF9" w:rsidRDefault="00E16AF9" w:rsidP="00E16AF9">
      <w:pPr>
        <w:rPr>
          <w:rFonts w:ascii="Times New Roman" w:eastAsia="Times New Roman" w:hAnsi="Times New Roman" w:cs="Times New Roman"/>
          <w:kern w:val="0"/>
          <w:lang w:val="es-CO" w:eastAsia="es-MX"/>
          <w14:ligatures w14:val="none"/>
        </w:rPr>
      </w:pPr>
      <w:r w:rsidRPr="00E16AF9">
        <w:rPr>
          <w:rFonts w:ascii="Times New Roman" w:eastAsia="Times New Roman" w:hAnsi="Times New Roman" w:cs="Times New Roman"/>
          <w:kern w:val="0"/>
          <w:lang w:val="es-CO" w:eastAsia="es-MX"/>
          <w14:ligatures w14:val="none"/>
        </w:rPr>
        <w:br/>
      </w:r>
    </w:p>
    <w:p w14:paraId="4ADF7B43" w14:textId="77777777" w:rsidR="00E16AF9" w:rsidRPr="00E16AF9" w:rsidRDefault="00E16AF9" w:rsidP="00E16AF9">
      <w:pPr>
        <w:numPr>
          <w:ilvl w:val="0"/>
          <w:numId w:val="1"/>
        </w:numPr>
        <w:jc w:val="both"/>
        <w:textAlignment w:val="baseline"/>
        <w:rPr>
          <w:rFonts w:ascii="Verdana" w:eastAsia="Times New Roman" w:hAnsi="Verdana" w:cs="Times New Roman"/>
          <w:b/>
          <w:bCs/>
          <w:color w:val="000000"/>
          <w:kern w:val="0"/>
          <w:lang w:val="es-CO" w:eastAsia="es-MX"/>
          <w14:ligatures w14:val="none"/>
        </w:rPr>
      </w:pPr>
      <w:r w:rsidRPr="00E16AF9">
        <w:rPr>
          <w:rFonts w:ascii="Verdana" w:eastAsia="Times New Roman" w:hAnsi="Verdana" w:cs="Times New Roman"/>
          <w:b/>
          <w:bCs/>
          <w:color w:val="000000"/>
          <w:kern w:val="0"/>
          <w:lang w:val="es-CO" w:eastAsia="es-MX"/>
          <w14:ligatures w14:val="none"/>
        </w:rPr>
        <w:t>Antecedentes</w:t>
      </w:r>
    </w:p>
    <w:p w14:paraId="7A8888FC"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62FC2EF8"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La Sala Plena de la Corte Constitucional revisó los fallos proferidos el 13 de febrero y el 24 de julio de 2025, respectivamente, por las secciones Quinta y Segunda del Consejo de Estado, dentro de las demandas de tutela promovidas, independientemente, por el municipio de Yopal, Casanare, y el Distrito de Santiago de Cali, Valle del Cauca, contra dos sentencias proferidas por la Sección Cuarta del Consejo de Estado, en el marco del medio de control de nulidad simple que promovió la Asociación Bancaria y de Entidades Financieras de Colombia (Asobancaria).</w:t>
      </w:r>
    </w:p>
    <w:p w14:paraId="7FA2D0DB"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4336FED"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i/>
          <w:iCs/>
          <w:color w:val="000000"/>
          <w:kern w:val="0"/>
          <w:lang w:val="es-CO" w:eastAsia="es-MX"/>
          <w14:ligatures w14:val="none"/>
        </w:rPr>
        <w:t>Hechos relevantes.</w:t>
      </w:r>
      <w:r w:rsidRPr="00E16AF9">
        <w:rPr>
          <w:rFonts w:ascii="Verdana" w:eastAsia="Times New Roman" w:hAnsi="Verdana" w:cs="Times New Roman"/>
          <w:color w:val="000000"/>
          <w:kern w:val="0"/>
          <w:lang w:val="es-CO" w:eastAsia="es-MX"/>
          <w14:ligatures w14:val="none"/>
        </w:rPr>
        <w:t xml:space="preserve"> El 3 de junio de 2022 y por iniciativa del alcalde, el Concejo Distrital de Santiago de Cali adoptó el Acuerdo Distrital No. 0529 de 2022, por medio del cual modificó las normas del estatuto y procedimiento tributario de Santiago de Cali. El artículo 1º del acuerdo mencionado modificó las normas locales del Impuesto de Industria y Comercio (desde ahora, ICA), respecto de varias actividades financieras, en relación con las cuales estableció una tarifa del veintitrés (23) por mil (1000).</w:t>
      </w:r>
    </w:p>
    <w:p w14:paraId="64598F11"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5AD27350"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Igualmente, el 29 de noviembre de 2021 y por iniciativa del alcalde, el Concejo municipal de Yopal adoptó el Acuerdo No. 022 de 2021, por medio del cual actualizó el régimen jurídico para los impuestos predial y de industria y comercio. El artículo 1º del acuerdo mencionado modificó las normas locales del ICA, respecto de varias actividades financieras, en relación con las cuales estableció una tarifa del veinte (20) por mil (1000).</w:t>
      </w:r>
    </w:p>
    <w:p w14:paraId="569EB2BB"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13B94A4"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7E5390">
        <w:rPr>
          <w:rFonts w:ascii="Verdana" w:eastAsia="Times New Roman" w:hAnsi="Verdana" w:cs="Times New Roman"/>
          <w:color w:val="000000"/>
          <w:kern w:val="0"/>
          <w:highlight w:val="yellow"/>
          <w:lang w:val="es-CO" w:eastAsia="es-MX"/>
          <w14:ligatures w14:val="none"/>
        </w:rPr>
        <w:t>Asobancaria demandó la nulidad simple de los actos administrativos mencionados, respecto de varias actividades que corresponden al sector financiero.</w:t>
      </w:r>
      <w:r w:rsidRPr="00E16AF9">
        <w:rPr>
          <w:rFonts w:ascii="Verdana" w:eastAsia="Times New Roman" w:hAnsi="Verdana" w:cs="Times New Roman"/>
          <w:color w:val="000000"/>
          <w:kern w:val="0"/>
          <w:lang w:val="es-CO" w:eastAsia="es-MX"/>
          <w14:ligatures w14:val="none"/>
        </w:rPr>
        <w:t xml:space="preserve"> En términos generales, alegó la infracción de las normas en </w:t>
      </w:r>
      <w:r w:rsidRPr="00E16AF9">
        <w:rPr>
          <w:rFonts w:ascii="Verdana" w:eastAsia="Times New Roman" w:hAnsi="Verdana" w:cs="Times New Roman"/>
          <w:color w:val="000000"/>
          <w:kern w:val="0"/>
          <w:lang w:val="es-CO" w:eastAsia="es-MX"/>
          <w14:ligatures w14:val="none"/>
        </w:rPr>
        <w:lastRenderedPageBreak/>
        <w:t>que debía fundarse el acto administrativo acusado, específicamente, invocó la violación de los artículos 287.3 y 313.4 de la Constitución Política y 14 de la Ley 2082 de 2021.</w:t>
      </w:r>
    </w:p>
    <w:p w14:paraId="05C20FDA"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00E6E17C"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7E5390">
        <w:rPr>
          <w:rFonts w:ascii="Verdana" w:eastAsia="Times New Roman" w:hAnsi="Verdana" w:cs="Times New Roman"/>
          <w:color w:val="000000"/>
          <w:kern w:val="0"/>
          <w:highlight w:val="yellow"/>
          <w:lang w:val="es-CO" w:eastAsia="es-MX"/>
          <w14:ligatures w14:val="none"/>
        </w:rPr>
        <w:t>Mediante sentencias del 4 de julio y el 1º de agosto de 2024, la Sección Cuarta del Consejo de Estado revocó las decisiones de los tribunales de primera instancia y, en su lugar, declaró la nulidad parcial de los actos administrativos demandados</w:t>
      </w:r>
      <w:r w:rsidRPr="00E16AF9">
        <w:rPr>
          <w:rFonts w:ascii="Verdana" w:eastAsia="Times New Roman" w:hAnsi="Verdana" w:cs="Times New Roman"/>
          <w:color w:val="000000"/>
          <w:kern w:val="0"/>
          <w:lang w:val="es-CO" w:eastAsia="es-MX"/>
          <w14:ligatures w14:val="none"/>
        </w:rPr>
        <w:t>. Para tales fines, señaló que si en virtud de la adopción normativa, el municipio pretendía aumentar la tarifa del ICA de las entidades financieras, era necesario que atendiera la tarifa fijada en el Distrito Capital, es decir, que la tarifa debía corresponder con la que se adoptó en la capital del país (14x1000).</w:t>
      </w:r>
    </w:p>
    <w:p w14:paraId="346509DF"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3386FDB"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7E5390">
        <w:rPr>
          <w:rFonts w:ascii="Verdana" w:eastAsia="Times New Roman" w:hAnsi="Verdana" w:cs="Times New Roman"/>
          <w:i/>
          <w:iCs/>
          <w:color w:val="000000"/>
          <w:kern w:val="0"/>
          <w:highlight w:val="yellow"/>
          <w:lang w:val="es-CO" w:eastAsia="es-MX"/>
          <w14:ligatures w14:val="none"/>
        </w:rPr>
        <w:t>Demanda de amparo</w:t>
      </w:r>
      <w:r w:rsidRPr="007E5390">
        <w:rPr>
          <w:rFonts w:ascii="Verdana" w:eastAsia="Times New Roman" w:hAnsi="Verdana" w:cs="Times New Roman"/>
          <w:color w:val="000000"/>
          <w:kern w:val="0"/>
          <w:highlight w:val="yellow"/>
          <w:lang w:val="es-CO" w:eastAsia="es-MX"/>
          <w14:ligatures w14:val="none"/>
        </w:rPr>
        <w:t>.</w:t>
      </w:r>
      <w:r w:rsidRPr="00E16AF9">
        <w:rPr>
          <w:rFonts w:ascii="Verdana" w:eastAsia="Times New Roman" w:hAnsi="Verdana" w:cs="Times New Roman"/>
          <w:color w:val="000000"/>
          <w:kern w:val="0"/>
          <w:lang w:val="es-CO" w:eastAsia="es-MX"/>
          <w14:ligatures w14:val="none"/>
        </w:rPr>
        <w:t xml:space="preserve"> </w:t>
      </w:r>
      <w:r w:rsidRPr="007E5390">
        <w:rPr>
          <w:rFonts w:ascii="Verdana" w:eastAsia="Times New Roman" w:hAnsi="Verdana" w:cs="Times New Roman"/>
          <w:color w:val="000000"/>
          <w:kern w:val="0"/>
          <w:highlight w:val="yellow"/>
          <w:lang w:val="es-CO" w:eastAsia="es-MX"/>
          <w14:ligatures w14:val="none"/>
        </w:rPr>
        <w:t>En dos procesos diferentes, las entidades territoriales alegaron la violación de sus derechos fundamentales al debido proceso e igualdad.</w:t>
      </w:r>
      <w:r w:rsidRPr="00E16AF9">
        <w:rPr>
          <w:rFonts w:ascii="Verdana" w:eastAsia="Times New Roman" w:hAnsi="Verdana" w:cs="Times New Roman"/>
          <w:color w:val="000000"/>
          <w:kern w:val="0"/>
          <w:lang w:val="es-CO" w:eastAsia="es-MX"/>
          <w14:ligatures w14:val="none"/>
        </w:rPr>
        <w:t xml:space="preserve"> El Distrito de Santiago de Cali consideró que la Sección Cuarta del Consejo de Estado incurrió en los defectos sustantivo y violación directa de la Constitución. El municipio de Yopal, por su parte, adujo la configuración de los defectos fáctico, sustantivo y por haber proferido una decisión sin motivación.</w:t>
      </w:r>
    </w:p>
    <w:p w14:paraId="4727DA3F"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5EEC6F20"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i/>
          <w:iCs/>
          <w:color w:val="000000"/>
          <w:kern w:val="0"/>
          <w:lang w:val="es-CO" w:eastAsia="es-MX"/>
          <w14:ligatures w14:val="none"/>
        </w:rPr>
        <w:t>Fallos de tutela</w:t>
      </w:r>
      <w:r w:rsidRPr="00E16AF9">
        <w:rPr>
          <w:rFonts w:ascii="Verdana" w:eastAsia="Times New Roman" w:hAnsi="Verdana" w:cs="Times New Roman"/>
          <w:color w:val="000000"/>
          <w:kern w:val="0"/>
          <w:lang w:val="es-CO" w:eastAsia="es-MX"/>
          <w14:ligatures w14:val="none"/>
        </w:rPr>
        <w:t xml:space="preserve">. En </w:t>
      </w:r>
      <w:r w:rsidRPr="007E5390">
        <w:rPr>
          <w:rFonts w:ascii="Verdana" w:eastAsia="Times New Roman" w:hAnsi="Verdana" w:cs="Times New Roman"/>
          <w:color w:val="000000"/>
          <w:kern w:val="0"/>
          <w:highlight w:val="yellow"/>
          <w:lang w:val="es-CO" w:eastAsia="es-MX"/>
          <w14:ligatures w14:val="none"/>
        </w:rPr>
        <w:t>sentencia del 13 de febrero de 2025 la Sección Quinta del Consejo de Estado confirmó la decisión de declarar la improcedencia de la acción de tutela que promovió el Distrito de Santiago de Cali.</w:t>
      </w:r>
      <w:r w:rsidRPr="00E16AF9">
        <w:rPr>
          <w:rFonts w:ascii="Verdana" w:eastAsia="Times New Roman" w:hAnsi="Verdana" w:cs="Times New Roman"/>
          <w:color w:val="000000"/>
          <w:kern w:val="0"/>
          <w:lang w:val="es-CO" w:eastAsia="es-MX"/>
          <w14:ligatures w14:val="none"/>
        </w:rPr>
        <w:t xml:space="preserve"> </w:t>
      </w:r>
      <w:r w:rsidRPr="007E5390">
        <w:rPr>
          <w:rFonts w:ascii="Verdana" w:eastAsia="Times New Roman" w:hAnsi="Verdana" w:cs="Times New Roman"/>
          <w:color w:val="000000"/>
          <w:kern w:val="0"/>
          <w:highlight w:val="yellow"/>
          <w:lang w:val="es-CO" w:eastAsia="es-MX"/>
          <w14:ligatures w14:val="none"/>
        </w:rPr>
        <w:t>Por su parte, la Sección Segunda, Subsección “A” de la misma Corporación, en sentencia del 24 de julio de 2025, negó las pretensiones de la demanda promovida por el municipio de Yopal.</w:t>
      </w:r>
      <w:r w:rsidRPr="00E16AF9">
        <w:rPr>
          <w:rFonts w:ascii="Verdana" w:eastAsia="Times New Roman" w:hAnsi="Verdana" w:cs="Times New Roman"/>
          <w:color w:val="000000"/>
          <w:kern w:val="0"/>
          <w:lang w:val="es-CO" w:eastAsia="es-MX"/>
          <w14:ligatures w14:val="none"/>
        </w:rPr>
        <w:t xml:space="preserve"> Los jueces de tutela de segunda instancia consideraron, respectivamente, que no estaba configurada la exigencia de relevancia constitucional y que resulta razonable la interpretación objeto de controversias.</w:t>
      </w:r>
    </w:p>
    <w:p w14:paraId="2F7004C1" w14:textId="77777777" w:rsidR="00E16AF9" w:rsidRPr="00E16AF9" w:rsidRDefault="00E16AF9" w:rsidP="00E16AF9">
      <w:pPr>
        <w:rPr>
          <w:rFonts w:ascii="Times New Roman" w:eastAsia="Times New Roman" w:hAnsi="Times New Roman" w:cs="Times New Roman"/>
          <w:kern w:val="0"/>
          <w:lang w:val="es-CO" w:eastAsia="es-MX"/>
          <w14:ligatures w14:val="none"/>
        </w:rPr>
      </w:pPr>
      <w:r w:rsidRPr="00E16AF9">
        <w:rPr>
          <w:rFonts w:ascii="Times New Roman" w:eastAsia="Times New Roman" w:hAnsi="Times New Roman" w:cs="Times New Roman"/>
          <w:kern w:val="0"/>
          <w:lang w:val="es-CO" w:eastAsia="es-MX"/>
          <w14:ligatures w14:val="none"/>
        </w:rPr>
        <w:br/>
      </w:r>
    </w:p>
    <w:p w14:paraId="777329B1" w14:textId="77777777" w:rsidR="00E16AF9" w:rsidRPr="00E16AF9" w:rsidRDefault="00E16AF9" w:rsidP="00E16AF9">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E16AF9">
        <w:rPr>
          <w:rFonts w:ascii="Verdana" w:eastAsia="Times New Roman" w:hAnsi="Verdana" w:cs="Times New Roman"/>
          <w:b/>
          <w:bCs/>
          <w:color w:val="000000"/>
          <w:kern w:val="0"/>
          <w:lang w:val="es-CO" w:eastAsia="es-MX"/>
          <w14:ligatures w14:val="none"/>
        </w:rPr>
        <w:t>Síntesis de los fundamentos</w:t>
      </w:r>
    </w:p>
    <w:p w14:paraId="18135361"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8726F41"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Luego de delimitar el alcance de la controversia, la Sala Plena analizó los requisitos generales de procedencia de la acción de tutela contra providencias judiciales, los cuales encontró acreditados en su totalidad. En particular</w:t>
      </w:r>
      <w:r w:rsidRPr="007E5390">
        <w:rPr>
          <w:rFonts w:ascii="Verdana" w:eastAsia="Times New Roman" w:hAnsi="Verdana" w:cs="Times New Roman"/>
          <w:color w:val="000000"/>
          <w:kern w:val="0"/>
          <w:highlight w:val="yellow"/>
          <w:lang w:val="es-CO" w:eastAsia="es-MX"/>
          <w14:ligatures w14:val="none"/>
        </w:rPr>
        <w:t>, la Corte encontró que en el presente caso sí está acreditada la exigencia de relevancia constitucional, pues la controversia no versa sobre un asunto meramente legal o económico</w:t>
      </w:r>
      <w:r w:rsidRPr="00E16AF9">
        <w:rPr>
          <w:rFonts w:ascii="Verdana" w:eastAsia="Times New Roman" w:hAnsi="Verdana" w:cs="Times New Roman"/>
          <w:color w:val="000000"/>
          <w:kern w:val="0"/>
          <w:lang w:val="es-CO" w:eastAsia="es-MX"/>
          <w14:ligatures w14:val="none"/>
        </w:rPr>
        <w:t xml:space="preserve">. </w:t>
      </w:r>
      <w:r w:rsidRPr="007E5390">
        <w:rPr>
          <w:rFonts w:ascii="Verdana" w:eastAsia="Times New Roman" w:hAnsi="Verdana" w:cs="Times New Roman"/>
          <w:color w:val="000000"/>
          <w:kern w:val="0"/>
          <w:highlight w:val="yellow"/>
          <w:lang w:val="es-CO" w:eastAsia="es-MX"/>
          <w14:ligatures w14:val="none"/>
        </w:rPr>
        <w:t>Por el contrario, concluyó, busca la protección de los derechos fundamentales de las accionantes e involucra asuntos de claro interés general, como el principio de autonomía de las entidades territoriales y de legalidad en materia tributaria, así como el cumplimiento de los fines esenciales del Estado.</w:t>
      </w:r>
    </w:p>
    <w:p w14:paraId="1922E13D"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6A27A5B8"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i/>
          <w:iCs/>
          <w:color w:val="000000"/>
          <w:kern w:val="0"/>
          <w:lang w:val="es-CO" w:eastAsia="es-MX"/>
          <w14:ligatures w14:val="none"/>
        </w:rPr>
        <w:t>Sobre la no configuración del defecto por decisión sin motivación.</w:t>
      </w:r>
      <w:r w:rsidRPr="00E16AF9">
        <w:rPr>
          <w:rFonts w:ascii="Verdana" w:eastAsia="Times New Roman" w:hAnsi="Verdana" w:cs="Times New Roman"/>
          <w:color w:val="000000"/>
          <w:kern w:val="0"/>
          <w:lang w:val="es-CO" w:eastAsia="es-MX"/>
          <w14:ligatures w14:val="none"/>
        </w:rPr>
        <w:t xml:space="preserve"> La Corte encontró que si bien es cierto que, al dictar la sentencia del 4 de julio de 2024 (T-11.475.088), la Sección Cuarta del Consejo de Estado no se pronunció de fondo respecto de la excepción relacionada con el principio de proporcionalidad, también lo es que dicha autoridad explicó que el alegato no constituía una excepción propiamente dicha. </w:t>
      </w:r>
      <w:r w:rsidRPr="007E5390">
        <w:rPr>
          <w:rFonts w:ascii="Verdana" w:eastAsia="Times New Roman" w:hAnsi="Verdana" w:cs="Times New Roman"/>
          <w:color w:val="000000"/>
          <w:kern w:val="0"/>
          <w:highlight w:val="yellow"/>
          <w:lang w:val="es-CO" w:eastAsia="es-MX"/>
          <w14:ligatures w14:val="none"/>
        </w:rPr>
        <w:t>En consecuencia, dijo la Sala Plena, dicha autoridad judicial carecía de competencia para pronunciarse sobre tales razonamientos, en aplicación del principio de congruencia y lo estipulado en el artículo 328 del Código General del Proceso. En todo caso, añadió, el municipio pudo haber solicitado la adición de la sentencia, pero omitió hacerlo.</w:t>
      </w:r>
    </w:p>
    <w:p w14:paraId="0E0D6567"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2F7E6ED"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i/>
          <w:iCs/>
          <w:color w:val="000000"/>
          <w:kern w:val="0"/>
          <w:lang w:val="es-CO" w:eastAsia="es-MX"/>
          <w14:ligatures w14:val="none"/>
        </w:rPr>
        <w:t>Sobre la configuración del defecto sustantivo por interpretación irrazonable.</w:t>
      </w:r>
      <w:r w:rsidRPr="00E16AF9">
        <w:rPr>
          <w:rFonts w:ascii="Verdana" w:eastAsia="Times New Roman" w:hAnsi="Verdana" w:cs="Times New Roman"/>
          <w:color w:val="000000"/>
          <w:kern w:val="0"/>
          <w:lang w:val="es-CO" w:eastAsia="es-MX"/>
          <w14:ligatures w14:val="none"/>
        </w:rPr>
        <w:t xml:space="preserve"> </w:t>
      </w:r>
      <w:r w:rsidRPr="007E5390">
        <w:rPr>
          <w:rFonts w:ascii="Verdana" w:eastAsia="Times New Roman" w:hAnsi="Verdana" w:cs="Times New Roman"/>
          <w:color w:val="000000"/>
          <w:kern w:val="0"/>
          <w:highlight w:val="yellow"/>
          <w:lang w:val="es-CO" w:eastAsia="es-MX"/>
          <w14:ligatures w14:val="none"/>
        </w:rPr>
        <w:t xml:space="preserve">La Sala Plena encontró que la Sección Cuarta del Consejo de Estado le otorgó al artículo 14 de la Ley 2082 de 2021, un sentido o alcance que objetivamente no tiene, en otras palabras, una interpretación contra </w:t>
      </w:r>
      <w:proofErr w:type="spellStart"/>
      <w:r w:rsidRPr="007E5390">
        <w:rPr>
          <w:rFonts w:ascii="Verdana" w:eastAsia="Times New Roman" w:hAnsi="Verdana" w:cs="Times New Roman"/>
          <w:color w:val="000000"/>
          <w:kern w:val="0"/>
          <w:highlight w:val="yellow"/>
          <w:lang w:val="es-CO" w:eastAsia="es-MX"/>
          <w14:ligatures w14:val="none"/>
        </w:rPr>
        <w:t>legem</w:t>
      </w:r>
      <w:proofErr w:type="spellEnd"/>
      <w:r w:rsidRPr="007E5390">
        <w:rPr>
          <w:rFonts w:ascii="Verdana" w:eastAsia="Times New Roman" w:hAnsi="Verdana" w:cs="Times New Roman"/>
          <w:color w:val="000000"/>
          <w:kern w:val="0"/>
          <w:highlight w:val="yellow"/>
          <w:lang w:val="es-CO" w:eastAsia="es-MX"/>
          <w14:ligatures w14:val="none"/>
        </w:rPr>
        <w:t>. Además, concluyó que la interpretación que contienen los fallos ordinarios acusados, de un lado, es producto de una hermenéutica errónea por exceder los parámetros de la interpretación jurídica y, del otro, resulta claramente contraria a los contenidos de la Constitución Política.</w:t>
      </w:r>
    </w:p>
    <w:p w14:paraId="6B62E903"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4C920CE7"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i/>
          <w:iCs/>
          <w:color w:val="000000"/>
          <w:kern w:val="0"/>
          <w:lang w:val="es-CO" w:eastAsia="es-MX"/>
          <w14:ligatures w14:val="none"/>
        </w:rPr>
        <w:t>Sobre la configuración del defecto por violación directa de la Constitución.</w:t>
      </w:r>
      <w:r w:rsidRPr="00E16AF9">
        <w:rPr>
          <w:rFonts w:ascii="Verdana" w:eastAsia="Times New Roman" w:hAnsi="Verdana" w:cs="Times New Roman"/>
          <w:color w:val="000000"/>
          <w:kern w:val="0"/>
          <w:lang w:val="es-CO" w:eastAsia="es-MX"/>
          <w14:ligatures w14:val="none"/>
        </w:rPr>
        <w:t xml:space="preserve"> La Corte concluyó que la autoridad judicial accionada incurrió en violación directa de la Constitución debido a que desconoció el principio de interpretación conforme con la Constitución. Esto, por dos tipos de razonamientos: de un lado, señaló que la Sección Cuarta del Consejo de Estado debió optar por una interpretación que maximizara los principios constitucionales de (a) descentralización territorial y autonomía de las entidades territoriales, (b) legalidad en materia tributaria, (c) equidad y justicia tributarias y (d) igualdad. Y, de otro, adujo que la autoridad judicial accionada, por el contrario, prefirió adoptar una hermenéutica que es lesiva de tales contenidos constitucionales.</w:t>
      </w:r>
    </w:p>
    <w:p w14:paraId="1A05DAA7"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6DA1FF3F"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i/>
          <w:iCs/>
          <w:color w:val="000000"/>
          <w:kern w:val="0"/>
          <w:lang w:val="es-CO" w:eastAsia="es-MX"/>
          <w14:ligatures w14:val="none"/>
        </w:rPr>
        <w:t>Sobre la configuración del defecto fáctico.</w:t>
      </w:r>
      <w:r w:rsidRPr="00E16AF9">
        <w:rPr>
          <w:rFonts w:ascii="Verdana" w:eastAsia="Times New Roman" w:hAnsi="Verdana" w:cs="Times New Roman"/>
          <w:color w:val="000000"/>
          <w:kern w:val="0"/>
          <w:lang w:val="es-CO" w:eastAsia="es-MX"/>
          <w14:ligatures w14:val="none"/>
        </w:rPr>
        <w:t xml:space="preserve"> La Sala Plena encontró que la Sección Cuarta del Consejo de Estado incurrió en defecto fáctico al dictar la sentencia del 4 de julio de 2024 (T-11.475.088), debido a que no valoró en su integridad las pruebas documentales que aportó el municipio de Yopal a efectos de comprobar que sí se tuvo en cuenta la realidad tributaria del ente territorial.</w:t>
      </w:r>
    </w:p>
    <w:p w14:paraId="7ACA1822" w14:textId="77777777" w:rsidR="00E16AF9" w:rsidRPr="00E16AF9" w:rsidRDefault="00E16AF9" w:rsidP="00E16AF9">
      <w:pPr>
        <w:rPr>
          <w:rFonts w:ascii="Times New Roman" w:eastAsia="Times New Roman" w:hAnsi="Times New Roman" w:cs="Times New Roman"/>
          <w:kern w:val="0"/>
          <w:lang w:val="es-CO" w:eastAsia="es-MX"/>
          <w14:ligatures w14:val="none"/>
        </w:rPr>
      </w:pPr>
      <w:r w:rsidRPr="00E16AF9">
        <w:rPr>
          <w:rFonts w:ascii="Times New Roman" w:eastAsia="Times New Roman" w:hAnsi="Times New Roman" w:cs="Times New Roman"/>
          <w:kern w:val="0"/>
          <w:lang w:val="es-CO" w:eastAsia="es-MX"/>
          <w14:ligatures w14:val="none"/>
        </w:rPr>
        <w:br/>
      </w:r>
    </w:p>
    <w:p w14:paraId="360CC11F" w14:textId="77777777" w:rsidR="00E16AF9" w:rsidRPr="00E16AF9" w:rsidRDefault="00E16AF9" w:rsidP="00E16AF9">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E16AF9">
        <w:rPr>
          <w:rFonts w:ascii="Verdana" w:eastAsia="Times New Roman" w:hAnsi="Verdana" w:cs="Times New Roman"/>
          <w:b/>
          <w:bCs/>
          <w:color w:val="000000"/>
          <w:kern w:val="0"/>
          <w:lang w:val="es-CO" w:eastAsia="es-MX"/>
          <w14:ligatures w14:val="none"/>
        </w:rPr>
        <w:t>Decisión</w:t>
      </w:r>
    </w:p>
    <w:p w14:paraId="225983FA"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5F28CCC2"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PRIMERO. LEVANTAR</w:t>
      </w:r>
      <w:r w:rsidRPr="00E16AF9">
        <w:rPr>
          <w:rFonts w:ascii="Verdana" w:eastAsia="Times New Roman" w:hAnsi="Verdana" w:cs="Times New Roman"/>
          <w:color w:val="000000"/>
          <w:kern w:val="0"/>
          <w:lang w:val="es-CO" w:eastAsia="es-MX"/>
          <w14:ligatures w14:val="none"/>
        </w:rPr>
        <w:t xml:space="preserve"> la suspensión de términos decretada el 3 de septiembre del año 2025.</w:t>
      </w:r>
    </w:p>
    <w:p w14:paraId="3B441E7F"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F52B6D1"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SEGUNDO. REVOCAR</w:t>
      </w:r>
      <w:r w:rsidRPr="00E16AF9">
        <w:rPr>
          <w:rFonts w:ascii="Verdana" w:eastAsia="Times New Roman" w:hAnsi="Verdana" w:cs="Times New Roman"/>
          <w:color w:val="000000"/>
          <w:kern w:val="0"/>
          <w:lang w:val="es-CO" w:eastAsia="es-MX"/>
          <w14:ligatures w14:val="none"/>
        </w:rPr>
        <w:t xml:space="preserve"> la sentencia del 13 de febrero de 2025, proferida por la Sección Quinta del Consejo de Estado (T-10.982.711), que confirmó el fallo de la Sección Tercera, Subsección “B”, del Consejo de Estado, proferido el 4 de diciembre de 2024, por el cual se declaró improcedente la acción de tutela presentada por el Distrito de Santiago de Cali en contra de la Sección Cuarta del Consejo de Estado. En su lugar, </w:t>
      </w:r>
      <w:r w:rsidRPr="00E16AF9">
        <w:rPr>
          <w:rFonts w:ascii="Verdana" w:eastAsia="Times New Roman" w:hAnsi="Verdana" w:cs="Times New Roman"/>
          <w:b/>
          <w:bCs/>
          <w:color w:val="000000"/>
          <w:kern w:val="0"/>
          <w:lang w:val="es-CO" w:eastAsia="es-MX"/>
          <w14:ligatures w14:val="none"/>
        </w:rPr>
        <w:t>AMPARAR</w:t>
      </w:r>
      <w:r w:rsidRPr="00E16AF9">
        <w:rPr>
          <w:rFonts w:ascii="Verdana" w:eastAsia="Times New Roman" w:hAnsi="Verdana" w:cs="Times New Roman"/>
          <w:color w:val="000000"/>
          <w:kern w:val="0"/>
          <w:lang w:val="es-CO" w:eastAsia="es-MX"/>
          <w14:ligatures w14:val="none"/>
        </w:rPr>
        <w:t xml:space="preserve"> los derechos fundamentales al debido proceso e igualdad del Distrito de Santiago de Cali. Lo anterior, por las razones contenidas en la parte motiva de esta providencia judicial.</w:t>
      </w:r>
    </w:p>
    <w:p w14:paraId="633C511B"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1C006934"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TERCERO. REVOCAR</w:t>
      </w:r>
      <w:r w:rsidRPr="00E16AF9">
        <w:rPr>
          <w:rFonts w:ascii="Verdana" w:eastAsia="Times New Roman" w:hAnsi="Verdana" w:cs="Times New Roman"/>
          <w:color w:val="000000"/>
          <w:kern w:val="0"/>
          <w:lang w:val="es-CO" w:eastAsia="es-MX"/>
          <w14:ligatures w14:val="none"/>
        </w:rPr>
        <w:t xml:space="preserve"> la sentencia del 24 de julio de 2025, proferida por la Sección Segunda, Subsección “A”, del Consejo de Estado (T-11.475.088), que revocó el fallo de la Sección Segunda, Subsección “A”, del Consejo de Estado, proferido el 19 de marzo de 2024 y, en consecuencia, negó las pretensiones de la demanda de tutela presentada por el municipio de Yopal en contra de la Sección Cuarta del Consejo de Estado. En su lugar, </w:t>
      </w:r>
      <w:r w:rsidRPr="00E16AF9">
        <w:rPr>
          <w:rFonts w:ascii="Verdana" w:eastAsia="Times New Roman" w:hAnsi="Verdana" w:cs="Times New Roman"/>
          <w:b/>
          <w:bCs/>
          <w:color w:val="000000"/>
          <w:kern w:val="0"/>
          <w:lang w:val="es-CO" w:eastAsia="es-MX"/>
          <w14:ligatures w14:val="none"/>
        </w:rPr>
        <w:t>AMPARAR</w:t>
      </w:r>
      <w:r w:rsidRPr="00E16AF9">
        <w:rPr>
          <w:rFonts w:ascii="Verdana" w:eastAsia="Times New Roman" w:hAnsi="Verdana" w:cs="Times New Roman"/>
          <w:color w:val="000000"/>
          <w:kern w:val="0"/>
          <w:lang w:val="es-CO" w:eastAsia="es-MX"/>
          <w14:ligatures w14:val="none"/>
        </w:rPr>
        <w:t xml:space="preserve"> los derechos fundamentales al debido proceso e igualdad del municipio de Yopal. Lo anterior, por las consideraciones expuestas en la presente sentencia de tutela.</w:t>
      </w:r>
    </w:p>
    <w:p w14:paraId="56D0B50C"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1FBE804D"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CUARTO. DEJAR SIN EFECTOS</w:t>
      </w:r>
      <w:r w:rsidRPr="00E16AF9">
        <w:rPr>
          <w:rFonts w:ascii="Verdana" w:eastAsia="Times New Roman" w:hAnsi="Verdana" w:cs="Times New Roman"/>
          <w:color w:val="000000"/>
          <w:kern w:val="0"/>
          <w:lang w:val="es-CO" w:eastAsia="es-MX"/>
          <w14:ligatures w14:val="none"/>
        </w:rPr>
        <w:t xml:space="preserve"> las sentencias ordinarias del 4 de julio y el 1º de agosto de 2024, proferidas por la Sección Cuarta del Consejo de Estado, dentro de los expedientes ordinarios números 85001-23-33-000-2022-00138-02 (28171) y 76001-23-33-000-2022-01066-01 (28582), respectivamente. Esto, por lo expuesto en los considerandos del presente fallo.</w:t>
      </w:r>
    </w:p>
    <w:p w14:paraId="6A4CD5DF"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0B5CC4B"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b/>
          <w:bCs/>
          <w:color w:val="000000"/>
          <w:kern w:val="0"/>
          <w:lang w:val="es-CO" w:eastAsia="es-MX"/>
          <w14:ligatures w14:val="none"/>
        </w:rPr>
        <w:t>QUINTO. ORDENAR</w:t>
      </w:r>
      <w:r w:rsidRPr="00E16AF9">
        <w:rPr>
          <w:rFonts w:ascii="Verdana" w:eastAsia="Times New Roman" w:hAnsi="Verdana" w:cs="Times New Roman"/>
          <w:color w:val="000000"/>
          <w:kern w:val="0"/>
          <w:lang w:val="es-CO" w:eastAsia="es-MX"/>
          <w14:ligatures w14:val="none"/>
        </w:rPr>
        <w:t xml:space="preserve"> a la Sección Cuarta del Consejo de Estado que, en el término de treinta (30) días, contados a partir de la notificación de esta decisión, emita nuevas sentencias atendiendo lo dispuesto en la parte motiva de esta providencia judicial.</w:t>
      </w:r>
    </w:p>
    <w:p w14:paraId="796B0B85" w14:textId="77777777" w:rsidR="00E16AF9" w:rsidRPr="00E16AF9" w:rsidRDefault="00E16AF9" w:rsidP="00E16AF9">
      <w:pPr>
        <w:rPr>
          <w:rFonts w:ascii="Times New Roman" w:eastAsia="Times New Roman" w:hAnsi="Times New Roman" w:cs="Times New Roman"/>
          <w:kern w:val="0"/>
          <w:lang w:val="es-CO" w:eastAsia="es-MX"/>
          <w14:ligatures w14:val="none"/>
        </w:rPr>
      </w:pPr>
      <w:r w:rsidRPr="00E16AF9">
        <w:rPr>
          <w:rFonts w:ascii="Times New Roman" w:eastAsia="Times New Roman" w:hAnsi="Times New Roman" w:cs="Times New Roman"/>
          <w:kern w:val="0"/>
          <w:lang w:val="es-CO" w:eastAsia="es-MX"/>
          <w14:ligatures w14:val="none"/>
        </w:rPr>
        <w:br/>
      </w:r>
    </w:p>
    <w:p w14:paraId="1AA5E8F3" w14:textId="77777777" w:rsidR="00E16AF9" w:rsidRPr="00E16AF9" w:rsidRDefault="00E16AF9" w:rsidP="00E16AF9">
      <w:pPr>
        <w:numPr>
          <w:ilvl w:val="0"/>
          <w:numId w:val="4"/>
        </w:numPr>
        <w:jc w:val="both"/>
        <w:textAlignment w:val="baseline"/>
        <w:rPr>
          <w:rFonts w:ascii="Verdana" w:eastAsia="Times New Roman" w:hAnsi="Verdana" w:cs="Times New Roman"/>
          <w:b/>
          <w:bCs/>
          <w:color w:val="000000"/>
          <w:kern w:val="0"/>
          <w:lang w:val="es-CO" w:eastAsia="es-MX"/>
          <w14:ligatures w14:val="none"/>
        </w:rPr>
      </w:pPr>
      <w:r w:rsidRPr="00E16AF9">
        <w:rPr>
          <w:rFonts w:ascii="Verdana" w:eastAsia="Times New Roman" w:hAnsi="Verdana" w:cs="Times New Roman"/>
          <w:b/>
          <w:bCs/>
          <w:color w:val="000000"/>
          <w:kern w:val="0"/>
          <w:lang w:val="es-CO" w:eastAsia="es-MX"/>
          <w14:ligatures w14:val="none"/>
        </w:rPr>
        <w:t>Salvamento y aclaraciones de voto</w:t>
      </w:r>
    </w:p>
    <w:p w14:paraId="69E680E0"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4AEAFFF8"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7E5390">
        <w:rPr>
          <w:rFonts w:ascii="Verdana" w:eastAsia="Times New Roman" w:hAnsi="Verdana" w:cs="Times New Roman"/>
          <w:color w:val="000000"/>
          <w:kern w:val="0"/>
          <w:highlight w:val="yellow"/>
          <w:lang w:val="es-CO" w:eastAsia="es-MX"/>
          <w14:ligatures w14:val="none"/>
        </w:rPr>
        <w:t xml:space="preserve">El magistrado </w:t>
      </w:r>
      <w:r w:rsidRPr="007E5390">
        <w:rPr>
          <w:rFonts w:ascii="Verdana" w:eastAsia="Times New Roman" w:hAnsi="Verdana" w:cs="Times New Roman"/>
          <w:b/>
          <w:bCs/>
          <w:color w:val="000000"/>
          <w:kern w:val="0"/>
          <w:highlight w:val="yellow"/>
          <w:lang w:val="es-CO" w:eastAsia="es-MX"/>
          <w14:ligatures w14:val="none"/>
        </w:rPr>
        <w:t>Jorge Enrique Ibáñez Najar</w:t>
      </w:r>
      <w:r w:rsidRPr="007E5390">
        <w:rPr>
          <w:rFonts w:ascii="Verdana" w:eastAsia="Times New Roman" w:hAnsi="Verdana" w:cs="Times New Roman"/>
          <w:color w:val="000000"/>
          <w:kern w:val="0"/>
          <w:highlight w:val="yellow"/>
          <w:lang w:val="es-CO" w:eastAsia="es-MX"/>
          <w14:ligatures w14:val="none"/>
        </w:rPr>
        <w:t xml:space="preserve"> salvó su voto en la presente decisión. Los magistrados </w:t>
      </w:r>
      <w:r w:rsidRPr="007E5390">
        <w:rPr>
          <w:rFonts w:ascii="Verdana" w:eastAsia="Times New Roman" w:hAnsi="Verdana" w:cs="Times New Roman"/>
          <w:b/>
          <w:bCs/>
          <w:color w:val="000000"/>
          <w:kern w:val="0"/>
          <w:highlight w:val="yellow"/>
          <w:lang w:val="es-CO" w:eastAsia="es-MX"/>
          <w14:ligatures w14:val="none"/>
        </w:rPr>
        <w:t xml:space="preserve">Carlos Camargo </w:t>
      </w:r>
      <w:proofErr w:type="spellStart"/>
      <w:r w:rsidRPr="007E5390">
        <w:rPr>
          <w:rFonts w:ascii="Verdana" w:eastAsia="Times New Roman" w:hAnsi="Verdana" w:cs="Times New Roman"/>
          <w:b/>
          <w:bCs/>
          <w:color w:val="000000"/>
          <w:kern w:val="0"/>
          <w:highlight w:val="yellow"/>
          <w:lang w:val="es-CO" w:eastAsia="es-MX"/>
          <w14:ligatures w14:val="none"/>
        </w:rPr>
        <w:t>Assis</w:t>
      </w:r>
      <w:proofErr w:type="spellEnd"/>
      <w:r w:rsidRPr="007E5390">
        <w:rPr>
          <w:rFonts w:ascii="Verdana" w:eastAsia="Times New Roman" w:hAnsi="Verdana" w:cs="Times New Roman"/>
          <w:color w:val="000000"/>
          <w:kern w:val="0"/>
          <w:highlight w:val="yellow"/>
          <w:lang w:val="es-CO" w:eastAsia="es-MX"/>
          <w14:ligatures w14:val="none"/>
        </w:rPr>
        <w:t xml:space="preserve">, </w:t>
      </w:r>
      <w:r w:rsidRPr="007E5390">
        <w:rPr>
          <w:rFonts w:ascii="Verdana" w:eastAsia="Times New Roman" w:hAnsi="Verdana" w:cs="Times New Roman"/>
          <w:b/>
          <w:bCs/>
          <w:color w:val="000000"/>
          <w:kern w:val="0"/>
          <w:highlight w:val="yellow"/>
          <w:lang w:val="es-CO" w:eastAsia="es-MX"/>
          <w14:ligatures w14:val="none"/>
        </w:rPr>
        <w:t>Vladimir Fernández Andrade</w:t>
      </w:r>
      <w:r w:rsidRPr="007E5390">
        <w:rPr>
          <w:rFonts w:ascii="Verdana" w:eastAsia="Times New Roman" w:hAnsi="Verdana" w:cs="Times New Roman"/>
          <w:color w:val="000000"/>
          <w:kern w:val="0"/>
          <w:highlight w:val="yellow"/>
          <w:lang w:val="es-CO" w:eastAsia="es-MX"/>
          <w14:ligatures w14:val="none"/>
        </w:rPr>
        <w:t xml:space="preserve"> y </w:t>
      </w:r>
      <w:r w:rsidRPr="007E5390">
        <w:rPr>
          <w:rFonts w:ascii="Verdana" w:eastAsia="Times New Roman" w:hAnsi="Verdana" w:cs="Times New Roman"/>
          <w:b/>
          <w:bCs/>
          <w:color w:val="000000"/>
          <w:kern w:val="0"/>
          <w:highlight w:val="yellow"/>
          <w:lang w:val="es-CO" w:eastAsia="es-MX"/>
          <w14:ligatures w14:val="none"/>
        </w:rPr>
        <w:t>Miguel Polo Rosero</w:t>
      </w:r>
      <w:r w:rsidRPr="007E5390">
        <w:rPr>
          <w:rFonts w:ascii="Verdana" w:eastAsia="Times New Roman" w:hAnsi="Verdana" w:cs="Times New Roman"/>
          <w:color w:val="000000"/>
          <w:kern w:val="0"/>
          <w:highlight w:val="yellow"/>
          <w:lang w:val="es-CO" w:eastAsia="es-MX"/>
          <w14:ligatures w14:val="none"/>
        </w:rPr>
        <w:t xml:space="preserve"> aclararon su voto.</w:t>
      </w:r>
    </w:p>
    <w:p w14:paraId="346AAAD4"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7B2869C5"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xml:space="preserve">El magistrado </w:t>
      </w:r>
      <w:r w:rsidRPr="00E16AF9">
        <w:rPr>
          <w:rFonts w:ascii="Verdana" w:eastAsia="Times New Roman" w:hAnsi="Verdana" w:cs="Times New Roman"/>
          <w:b/>
          <w:bCs/>
          <w:color w:val="000000"/>
          <w:kern w:val="0"/>
          <w:lang w:val="es-CO" w:eastAsia="es-MX"/>
          <w14:ligatures w14:val="none"/>
        </w:rPr>
        <w:t>Ibáñez Najar</w:t>
      </w:r>
      <w:r w:rsidRPr="00E16AF9">
        <w:rPr>
          <w:rFonts w:ascii="Verdana" w:eastAsia="Times New Roman" w:hAnsi="Verdana" w:cs="Times New Roman"/>
          <w:color w:val="000000"/>
          <w:kern w:val="0"/>
          <w:lang w:val="es-CO" w:eastAsia="es-MX"/>
          <w14:ligatures w14:val="none"/>
        </w:rPr>
        <w:t xml:space="preserve"> se </w:t>
      </w:r>
      <w:r w:rsidRPr="00E16AF9">
        <w:rPr>
          <w:rFonts w:ascii="Verdana" w:eastAsia="Times New Roman" w:hAnsi="Verdana" w:cs="Times New Roman"/>
          <w:b/>
          <w:bCs/>
          <w:color w:val="000000"/>
          <w:kern w:val="0"/>
          <w:lang w:val="es-CO" w:eastAsia="es-MX"/>
          <w14:ligatures w14:val="none"/>
        </w:rPr>
        <w:t>apartó de la decisión</w:t>
      </w:r>
      <w:r w:rsidRPr="00E16AF9">
        <w:rPr>
          <w:rFonts w:ascii="Verdana" w:eastAsia="Times New Roman" w:hAnsi="Verdana" w:cs="Times New Roman"/>
          <w:color w:val="000000"/>
          <w:kern w:val="0"/>
          <w:lang w:val="es-CO" w:eastAsia="es-MX"/>
          <w14:ligatures w14:val="none"/>
        </w:rPr>
        <w:t xml:space="preserve"> contenida en la Sentencia SU-047 de 2026. En su concepto, la Sala Plena debió negar las </w:t>
      </w:r>
      <w:r w:rsidRPr="00E16AF9">
        <w:rPr>
          <w:rFonts w:ascii="Verdana" w:eastAsia="Times New Roman" w:hAnsi="Verdana" w:cs="Times New Roman"/>
          <w:color w:val="000000"/>
          <w:kern w:val="0"/>
          <w:lang w:val="es-CO" w:eastAsia="es-MX"/>
          <w14:ligatures w14:val="none"/>
        </w:rPr>
        <w:lastRenderedPageBreak/>
        <w:t>pretensiones del Distrito de Santiago de Cali y el municipio de Yopal. En su opinión, en este caso no se configuró un defecto sustantivo frente a las sentencias ordinarias del 4 de julio y el 1º de agosto de 2024, proferidas por la Sección Cuarta del Consejo de Estado, dentro de los expedientes ordinarios 85001-23-33-000-2022-00138-02 (28171) y 76001-23-33-000-2022-01066-01 (28582).</w:t>
      </w:r>
    </w:p>
    <w:p w14:paraId="586E93D7"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52A80E4"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A juicio del magistrado Ibáñez Najar, las sentencias atacadas ofrecieron una interpretación del artículo 14 de la Ley 2082 de 2021 que no resultaba irrazonable, al no contraponerse con los contenidos de la Constitución. A diferencia de lo considerado por la mayoría, la interpretación del Consejo de Estado garantizaba los principios constitucionales de (i) la descentralización territorial y autonomía de las entidades territoriales pues en todo caso reconocía el ajuste del régimen tributario como el resultado de una decisión autónoma de los Concejos municipales y distritales; (</w:t>
      </w:r>
      <w:proofErr w:type="spellStart"/>
      <w:r w:rsidRPr="00E16AF9">
        <w:rPr>
          <w:rFonts w:ascii="Verdana" w:eastAsia="Times New Roman" w:hAnsi="Verdana" w:cs="Times New Roman"/>
          <w:color w:val="000000"/>
          <w:kern w:val="0"/>
          <w:lang w:val="es-CO" w:eastAsia="es-MX"/>
          <w14:ligatures w14:val="none"/>
        </w:rPr>
        <w:t>ii</w:t>
      </w:r>
      <w:proofErr w:type="spellEnd"/>
      <w:r w:rsidRPr="00E16AF9">
        <w:rPr>
          <w:rFonts w:ascii="Verdana" w:eastAsia="Times New Roman" w:hAnsi="Verdana" w:cs="Times New Roman"/>
          <w:color w:val="000000"/>
          <w:kern w:val="0"/>
          <w:lang w:val="es-CO" w:eastAsia="es-MX"/>
          <w14:ligatures w14:val="none"/>
        </w:rPr>
        <w:t>) el de legalidad tributaria en tanto la adopción de las ciudades capitales de las reglas aplicables a Bogotá D.C. comprende los elementos esenciales de los tributos que se igualan; (</w:t>
      </w:r>
      <w:proofErr w:type="spellStart"/>
      <w:r w:rsidRPr="00E16AF9">
        <w:rPr>
          <w:rFonts w:ascii="Verdana" w:eastAsia="Times New Roman" w:hAnsi="Verdana" w:cs="Times New Roman"/>
          <w:color w:val="000000"/>
          <w:kern w:val="0"/>
          <w:lang w:val="es-CO" w:eastAsia="es-MX"/>
          <w14:ligatures w14:val="none"/>
        </w:rPr>
        <w:t>iii</w:t>
      </w:r>
      <w:proofErr w:type="spellEnd"/>
      <w:r w:rsidRPr="00E16AF9">
        <w:rPr>
          <w:rFonts w:ascii="Verdana" w:eastAsia="Times New Roman" w:hAnsi="Verdana" w:cs="Times New Roman"/>
          <w:color w:val="000000"/>
          <w:kern w:val="0"/>
          <w:lang w:val="es-CO" w:eastAsia="es-MX"/>
          <w14:ligatures w14:val="none"/>
        </w:rPr>
        <w:t>) los de equidad y justicia tributaria en tanto la decisión de los Concejos de las ciudades capitales debe considerar la realidad tributaria de sus poblaciones; y, finalmente, (</w:t>
      </w:r>
      <w:proofErr w:type="spellStart"/>
      <w:r w:rsidRPr="00E16AF9">
        <w:rPr>
          <w:rFonts w:ascii="Verdana" w:eastAsia="Times New Roman" w:hAnsi="Verdana" w:cs="Times New Roman"/>
          <w:color w:val="000000"/>
          <w:kern w:val="0"/>
          <w:lang w:val="es-CO" w:eastAsia="es-MX"/>
          <w14:ligatures w14:val="none"/>
        </w:rPr>
        <w:t>iv</w:t>
      </w:r>
      <w:proofErr w:type="spellEnd"/>
      <w:r w:rsidRPr="00E16AF9">
        <w:rPr>
          <w:rFonts w:ascii="Verdana" w:eastAsia="Times New Roman" w:hAnsi="Verdana" w:cs="Times New Roman"/>
          <w:color w:val="000000"/>
          <w:kern w:val="0"/>
          <w:lang w:val="es-CO" w:eastAsia="es-MX"/>
          <w14:ligatures w14:val="none"/>
        </w:rPr>
        <w:t>) el de igualdad, en tanto implica respetar la especialidad del régimen de Bogotá que ordena la Constitución Política.</w:t>
      </w:r>
    </w:p>
    <w:p w14:paraId="6A9F5FE0"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7F2E054A"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xml:space="preserve">De ello se sigue que no se configuró el vicio sustantivo ni mucho menos el vicio de violación directa de la Constitución declarado por la mayoría. La jurisprudencia constitucional ha sido clara en preceptuar que la aplicación del principio de interpretación conforme a la Constitución </w:t>
      </w:r>
      <w:r w:rsidRPr="00E16AF9">
        <w:rPr>
          <w:rFonts w:ascii="Verdana" w:eastAsia="Times New Roman" w:hAnsi="Verdana" w:cs="Times New Roman"/>
          <w:i/>
          <w:iCs/>
          <w:color w:val="000000"/>
          <w:kern w:val="0"/>
          <w:lang w:val="es-CO" w:eastAsia="es-MX"/>
          <w14:ligatures w14:val="none"/>
        </w:rPr>
        <w:t>“</w:t>
      </w:r>
      <w:r w:rsidRPr="00E16AF9">
        <w:rPr>
          <w:rFonts w:ascii="Verdana" w:eastAsia="Times New Roman" w:hAnsi="Verdana" w:cs="Times New Roman"/>
          <w:b/>
          <w:bCs/>
          <w:i/>
          <w:iCs/>
          <w:color w:val="000000"/>
          <w:kern w:val="0"/>
          <w:lang w:val="es-CO" w:eastAsia="es-MX"/>
          <w14:ligatures w14:val="none"/>
        </w:rPr>
        <w:t>solo cabe cuando quiera que, entre las varias interpretaciones en juego, haya una o unas que resulten contrarias a la Carta Política y otra que se acomode al texto superior</w:t>
      </w:r>
      <w:r w:rsidRPr="00E16AF9">
        <w:rPr>
          <w:rFonts w:ascii="Verdana" w:eastAsia="Times New Roman" w:hAnsi="Verdana" w:cs="Times New Roman"/>
          <w:i/>
          <w:iCs/>
          <w:color w:val="000000"/>
          <w:kern w:val="0"/>
          <w:lang w:val="es-CO" w:eastAsia="es-MX"/>
          <w14:ligatures w14:val="none"/>
        </w:rPr>
        <w:t>”</w:t>
      </w:r>
      <w:r w:rsidRPr="00E16AF9">
        <w:rPr>
          <w:rFonts w:ascii="Verdana" w:eastAsia="Times New Roman" w:hAnsi="Verdana" w:cs="Times New Roman"/>
          <w:color w:val="000000"/>
          <w:kern w:val="0"/>
          <w:lang w:val="es-CO" w:eastAsia="es-MX"/>
          <w14:ligatures w14:val="none"/>
        </w:rPr>
        <w:t xml:space="preserve"> (Sentencias SU-418 de 2019 y SU-429 de 2024). Por ello, este supuesto de análisis solo resulta admisible cuando </w:t>
      </w:r>
      <w:r w:rsidRPr="00E16AF9">
        <w:rPr>
          <w:rFonts w:ascii="Verdana" w:eastAsia="Times New Roman" w:hAnsi="Verdana" w:cs="Times New Roman"/>
          <w:i/>
          <w:iCs/>
          <w:color w:val="000000"/>
          <w:kern w:val="0"/>
          <w:lang w:val="es-CO" w:eastAsia="es-MX"/>
          <w14:ligatures w14:val="none"/>
        </w:rPr>
        <w:t>“</w:t>
      </w:r>
      <w:r w:rsidRPr="00E16AF9">
        <w:rPr>
          <w:rFonts w:ascii="Verdana" w:eastAsia="Times New Roman" w:hAnsi="Verdana" w:cs="Times New Roman"/>
          <w:b/>
          <w:bCs/>
          <w:i/>
          <w:iCs/>
          <w:color w:val="000000"/>
          <w:kern w:val="0"/>
          <w:lang w:val="es-CO" w:eastAsia="es-MX"/>
          <w14:ligatures w14:val="none"/>
        </w:rPr>
        <w:t>entre las interpretaciones que se discuten, una fuese incompatible con la Constitución y, por lo mismo, debiendo ser descartada por su oposición a la Carta Política, resulte constitucionalmente imperativa la otra”</w:t>
      </w:r>
      <w:r w:rsidRPr="00E16AF9">
        <w:rPr>
          <w:rFonts w:ascii="Verdana" w:eastAsia="Times New Roman" w:hAnsi="Verdana" w:cs="Times New Roman"/>
          <w:color w:val="000000"/>
          <w:kern w:val="0"/>
          <w:lang w:val="es-CO" w:eastAsia="es-MX"/>
          <w14:ligatures w14:val="none"/>
        </w:rPr>
        <w:t xml:space="preserve"> (Sentencia SU-418 de 2019). En cambio, dice la jurisprudencia constitucional, </w:t>
      </w:r>
      <w:r w:rsidRPr="00E16AF9">
        <w:rPr>
          <w:rFonts w:ascii="Verdana" w:eastAsia="Times New Roman" w:hAnsi="Verdana" w:cs="Times New Roman"/>
          <w:i/>
          <w:iCs/>
          <w:color w:val="000000"/>
          <w:kern w:val="0"/>
          <w:lang w:val="es-CO" w:eastAsia="es-MX"/>
          <w14:ligatures w14:val="none"/>
        </w:rPr>
        <w:t>“</w:t>
      </w:r>
      <w:r w:rsidRPr="00E16AF9">
        <w:rPr>
          <w:rFonts w:ascii="Verdana" w:eastAsia="Times New Roman" w:hAnsi="Verdana" w:cs="Times New Roman"/>
          <w:b/>
          <w:bCs/>
          <w:i/>
          <w:iCs/>
          <w:color w:val="000000"/>
          <w:kern w:val="0"/>
          <w:lang w:val="es-CO" w:eastAsia="es-MX"/>
          <w14:ligatures w14:val="none"/>
        </w:rPr>
        <w:t>[s]i ninguna de las interpretaciones, consideradas por separado, es contraria a la Constitución, no cabe hacer ese ejercicio siguiendo tal método de interpretación”</w:t>
      </w:r>
      <w:r w:rsidRPr="00E16AF9">
        <w:rPr>
          <w:rFonts w:ascii="Verdana" w:eastAsia="Times New Roman" w:hAnsi="Verdana" w:cs="Times New Roman"/>
          <w:color w:val="000000"/>
          <w:kern w:val="0"/>
          <w:lang w:val="es-CO" w:eastAsia="es-MX"/>
          <w14:ligatures w14:val="none"/>
        </w:rPr>
        <w:t xml:space="preserve"> (Sentencia SU-419 de 2019 y SU-429 de 2024).</w:t>
      </w:r>
    </w:p>
    <w:p w14:paraId="238DDDD2"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14839762"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contraste, la decisión mayoritaria revocó las decisiones del Consejo de Estado por considerar que existe una interpretación que se ajusta mejor a la Constitución por maximizar determinados principios constitucionales, pese a que la otra interpretación posible no es contraria a la Constitución. </w:t>
      </w:r>
    </w:p>
    <w:p w14:paraId="17535921"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lastRenderedPageBreak/>
        <w:t>Admitir que el juez de tutela pueda desplazar una interpretación judicial que resulta razonable y fundada en el texto legal, únicamente porque existe otra que maximiza en mayor medida determinados principios constitucionales, implicaría transformar la acción de tutela en un mecanismo orientado a sustituir la interpretación del juez natural por la que el juez constitucional estime preferible. Una suerte de control abstracto de las interpretaciones.</w:t>
      </w:r>
    </w:p>
    <w:p w14:paraId="738F083F"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513C611B"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7E5390">
        <w:rPr>
          <w:rFonts w:ascii="Verdana" w:eastAsia="Times New Roman" w:hAnsi="Verdana" w:cs="Times New Roman"/>
          <w:color w:val="000000"/>
          <w:kern w:val="0"/>
          <w:highlight w:val="yellow"/>
          <w:lang w:val="es-CO" w:eastAsia="es-MX"/>
          <w14:ligatures w14:val="none"/>
        </w:rPr>
        <w:t>A juicio del magistrado, la ruta de análisis aprobada por la mayoría de la Sala Plena terminó por convertir la acción de tutela en un juicio de corrección y no de validez de las providencias cuestionadas, lo cual comporta un riesgo para la autonomía jurisdiccional y desnaturaliza el carácter excepcional de la acción de tutela contra providencia judicial. Para él, en este caso, no está demostrado que la interpretación de la Sección Cuarta del Consejo de Estado fuera irrazonable.</w:t>
      </w:r>
      <w:r w:rsidRPr="00E16AF9">
        <w:rPr>
          <w:rFonts w:ascii="Verdana" w:eastAsia="Times New Roman" w:hAnsi="Verdana" w:cs="Times New Roman"/>
          <w:color w:val="000000"/>
          <w:kern w:val="0"/>
          <w:lang w:val="es-CO" w:eastAsia="es-MX"/>
          <w14:ligatures w14:val="none"/>
        </w:rPr>
        <w:t xml:space="preserve"> Máxime cuando esa interpretación, que se descartó por la posición mayoritaria, salvaguardaba un elemento diferenciador del régimen especial del Distrito Capital, que el Constituyente expresamente consagró en los artículos 322 a 324 de la Constitución Política.</w:t>
      </w:r>
    </w:p>
    <w:p w14:paraId="14662B31"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E93BD3C"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cuanto a esto último, el magistrado Ibáñez Najar estimó que era necesario valorar el hecho de que el Decreto Ley 1421 de 1993, que corresponde al régimen especial de Bogotá D.C., es especial por mandato expreso del artículo 322 de la Constitución Política. En la Sentencia C-268 de 2022, la Corte Constitucional recogió los antecedentes de la Asamblea Nacional Constituyente, que dieron lugar a la adopción del texto que hoy corresponde al artículo 322 de la Constitución Política. En particular, se resaltó que el constituyente reconocía la complejidad social, cultural y económica de Bogotá y por ello previó su división en localidades, así como la necesidad de que la administración y financiación de los servicios a su cargo se atuvieran a un régimen especial. Dado que el legislador no expidió oportunamente la ley orgánica del régimen especial antes del 7 de junio de 1993, en ejercicio de las facultades especiales previstas en el citado artículo transitorio 41, el Presidente de la República expidió el Decreto Ley 1421 de 1993, que contiene el Estatuto Orgánico de Bogotá.</w:t>
      </w:r>
    </w:p>
    <w:p w14:paraId="74CF76BE"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560B4FF5"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xml:space="preserve">Al comparar los regímenes de los impuestos ICA y predial de Bogotá previstos en el Decreto Ley 1421 de 1993, con el que aplica a los demás municipios, resulta claro que la diferencia más relevante radica en la franja tarifaria que se autoriza para unos y otros. Para lo que importa en este asunto, en materia de ICA ello implica la posibilidad de que en Bogotá se aplique una tarifa dentro del rango del 2 x 1000 al 30 x 1000, mientras que para los demás municipios la tarifa consulta el rango del 2 al 7 x 1000 (actividades industriales) y del 2 al 10 x 1000 (actividades comerciales y </w:t>
      </w:r>
      <w:r w:rsidRPr="00E16AF9">
        <w:rPr>
          <w:rFonts w:ascii="Verdana" w:eastAsia="Times New Roman" w:hAnsi="Verdana" w:cs="Times New Roman"/>
          <w:color w:val="000000"/>
          <w:kern w:val="0"/>
          <w:lang w:val="es-CO" w:eastAsia="es-MX"/>
          <w14:ligatures w14:val="none"/>
        </w:rPr>
        <w:lastRenderedPageBreak/>
        <w:t>de servicios). La posición mayoritaria descartó considerar este asunto, y se abstuvo de involucrar en su valoración las normas previstas en los artículos 322 a 324 de la Constitución Política. Esta omisión no es menor, pues de ello se deriva que la decisión adoptada por la mayoría califica como ajustada a la Constitución una interpretación del artículo 14 de la Ley 2082 de 2021 que vacía de contenido la especialidad del régimen del Distrito Capital, que el Constituyente consagró de forma expresa en la Constitución Política. En opinión del Magistrado Ibáñez Najar, el principio de supremacía constitucional y el deber de transparencia y razonabilidad que vincula a la Corte Constitucional en el ejercicio de sus funciones obligaba a la Sala a examinar la norma a la luz de los artículos 322 a 324 de la Constitución Política aún si estos no fueron incluidos dentro de los alegatos de las entidades territoriales accionantes.</w:t>
      </w:r>
    </w:p>
    <w:p w14:paraId="0B074A4A"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1B9BC05"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7E5390">
        <w:rPr>
          <w:rFonts w:ascii="Verdana" w:eastAsia="Times New Roman" w:hAnsi="Verdana" w:cs="Times New Roman"/>
          <w:color w:val="000000"/>
          <w:kern w:val="0"/>
          <w:highlight w:val="yellow"/>
          <w:lang w:val="es-CO" w:eastAsia="es-MX"/>
          <w14:ligatures w14:val="none"/>
        </w:rPr>
        <w:t xml:space="preserve">El magistrado </w:t>
      </w:r>
      <w:r w:rsidRPr="007E5390">
        <w:rPr>
          <w:rFonts w:ascii="Verdana" w:eastAsia="Times New Roman" w:hAnsi="Verdana" w:cs="Times New Roman"/>
          <w:b/>
          <w:bCs/>
          <w:color w:val="000000"/>
          <w:kern w:val="0"/>
          <w:highlight w:val="yellow"/>
          <w:lang w:val="es-CO" w:eastAsia="es-MX"/>
          <w14:ligatures w14:val="none"/>
        </w:rPr>
        <w:t xml:space="preserve">Camargo </w:t>
      </w:r>
      <w:proofErr w:type="spellStart"/>
      <w:r w:rsidRPr="007E5390">
        <w:rPr>
          <w:rFonts w:ascii="Verdana" w:eastAsia="Times New Roman" w:hAnsi="Verdana" w:cs="Times New Roman"/>
          <w:b/>
          <w:bCs/>
          <w:color w:val="000000"/>
          <w:kern w:val="0"/>
          <w:highlight w:val="yellow"/>
          <w:lang w:val="es-CO" w:eastAsia="es-MX"/>
          <w14:ligatures w14:val="none"/>
        </w:rPr>
        <w:t>Assis</w:t>
      </w:r>
      <w:proofErr w:type="spellEnd"/>
      <w:r w:rsidRPr="007E5390">
        <w:rPr>
          <w:rFonts w:ascii="Verdana" w:eastAsia="Times New Roman" w:hAnsi="Verdana" w:cs="Times New Roman"/>
          <w:color w:val="000000"/>
          <w:kern w:val="0"/>
          <w:highlight w:val="yellow"/>
          <w:lang w:val="es-CO" w:eastAsia="es-MX"/>
          <w14:ligatures w14:val="none"/>
        </w:rPr>
        <w:t xml:space="preserve">, por su parte, </w:t>
      </w:r>
      <w:r w:rsidRPr="007E5390">
        <w:rPr>
          <w:rFonts w:ascii="Verdana" w:eastAsia="Times New Roman" w:hAnsi="Verdana" w:cs="Times New Roman"/>
          <w:b/>
          <w:bCs/>
          <w:color w:val="000000"/>
          <w:kern w:val="0"/>
          <w:highlight w:val="yellow"/>
          <w:lang w:val="es-CO" w:eastAsia="es-MX"/>
          <w14:ligatures w14:val="none"/>
        </w:rPr>
        <w:t>aclaró su voto</w:t>
      </w:r>
      <w:r w:rsidRPr="00E16AF9">
        <w:rPr>
          <w:rFonts w:ascii="Verdana" w:eastAsia="Times New Roman" w:hAnsi="Verdana" w:cs="Times New Roman"/>
          <w:color w:val="000000"/>
          <w:kern w:val="0"/>
          <w:lang w:val="es-CO" w:eastAsia="es-MX"/>
          <w14:ligatures w14:val="none"/>
        </w:rPr>
        <w:t xml:space="preserve"> en esta decisión, pues consideró necesario profundizar en el alcance y la afectación del principio de autonomía territorial dada su trascendencia en la resolución de los casos concretos. Al respecto, hizo énfasis en que el constituyente le confirió una entidad normativa significativa a la autonomía territorial, lo que evidencia su centralidad dentro del diseño constitucional y legal aplicable a los casos. En ese contexto, el constituyente buscó frenar la cultura centralista propia de la Constitución de 1886, estableciendo medidas para profundizar la descentralización mediante el protagonismo del principio de autonomía de las entidades territoriales, para lo cual fue especialmente relevante instituir al municipio como “célula fundamental del Estado” y, por tanto, del ordenamiento territorial. Precisamente, este es el gran giro en el régimen territorial de la Constitución de 1991, al presentar al municipio como ente local y como entidad fundamental de la división política administrativa del Estado. A partir de ello, la academia ha indicado que el constituyente quiso beneficiar fiscalmente al municipio, lo cual busca finalmente que se puedan atender los intereses y realidades socioeconómicas de su propia comunidad.</w:t>
      </w:r>
    </w:p>
    <w:p w14:paraId="3D6EDC11"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60FD4041"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Aunado a ello, el magistrado Camargo resaltó que la jurisprudencia constitucional ha reiterado que se debe garantizar a las entidades territoriales un margen de disposición lo suficientemente importante, que les permita adecuar los tributos a sus necesidades, a la realización de sus fines y a la afirmación de su autonomía. De tal manera, esta proscrito establecer reglas que limiten a tal punto la autonomía de las entidades territoriales, que la vacíe de contenido.</w:t>
      </w:r>
    </w:p>
    <w:p w14:paraId="6E96F3C6"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012DDEE"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xml:space="preserve">Por tanto, a su juicio, la jurisprudencia marca una pauta clara que debió observar la interpretación efectuada por el Consejo de Estado en los </w:t>
      </w:r>
      <w:r w:rsidRPr="00E16AF9">
        <w:rPr>
          <w:rFonts w:ascii="Verdana" w:eastAsia="Times New Roman" w:hAnsi="Verdana" w:cs="Times New Roman"/>
          <w:color w:val="000000"/>
          <w:kern w:val="0"/>
          <w:lang w:val="es-CO" w:eastAsia="es-MX"/>
          <w14:ligatures w14:val="none"/>
        </w:rPr>
        <w:lastRenderedPageBreak/>
        <w:t>asuntos bajo examen, esta es, la imposibilidad de reducir la gestión de la entidad territorial de sus propios intereses y sustraer su margen de disposición. Así, el reducto mínimo de la autonomía territorial en los casos bajo estudio imponía que la autoridad judicial accionada interpretara que la remisión efectuada en el artículo 14 de la Ley 2082 de 2021 a “las normas que rigen para el Distrito Capital de Bogotá”, corresponde a las contenidas en el estatuto del Distrito Capital adoptado en virtud del artículo 41 transitorio de la Constitución, es decir, el Decreto Ley 1421 de 1993 (art. 154), que consagra los principios y reglas específicas para el impuesto de industria y comercio en el Distrito Capital.</w:t>
      </w:r>
    </w:p>
    <w:p w14:paraId="5ED8B59F"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ABC7D83"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La interpretación restrictiva del artículo en mención que efectuó el Consejo de Estado, al limitarlo a replicar la tarifa vigente del ICA de Bogotá D.C. por parte de las ciudades capitales que desearan seguir los resultados de la eficiencia tributaria del Distrito Capital, se aleja del propósito del constituyente, el ordenamiento constitucional y la jurisprudencia de esta Corte y, por el contrario, impide que la entidad territorial pueda gestionar sus intereses conforme a su propia realidad y sus necesidades.</w:t>
      </w:r>
    </w:p>
    <w:p w14:paraId="6C27E1E1"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51116607"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xml:space="preserve">El magistrado </w:t>
      </w:r>
      <w:r w:rsidRPr="00E16AF9">
        <w:rPr>
          <w:rFonts w:ascii="Verdana" w:eastAsia="Times New Roman" w:hAnsi="Verdana" w:cs="Times New Roman"/>
          <w:b/>
          <w:bCs/>
          <w:color w:val="000000"/>
          <w:kern w:val="0"/>
          <w:lang w:val="es-CO" w:eastAsia="es-MX"/>
          <w14:ligatures w14:val="none"/>
        </w:rPr>
        <w:t>Polo Rosero también aclaró su voto</w:t>
      </w:r>
      <w:r w:rsidRPr="00E16AF9">
        <w:rPr>
          <w:rFonts w:ascii="Verdana" w:eastAsia="Times New Roman" w:hAnsi="Verdana" w:cs="Times New Roman"/>
          <w:color w:val="000000"/>
          <w:kern w:val="0"/>
          <w:lang w:val="es-CO" w:eastAsia="es-MX"/>
          <w14:ligatures w14:val="none"/>
        </w:rPr>
        <w:t>. A pesar de que estuvo de acuerdo con la mayoría de la Sala Plena en el sentido de amparar el derecho al debido proceso de las partes accionantes, se distanció de la parte motiva de la decisión, en relación con los defectos demostrados en los casos concretos.</w:t>
      </w:r>
    </w:p>
    <w:p w14:paraId="23840CF6"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1BF1FADB"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primer lugar, el magistrado afirmó que la sentencia del Consejo de Estado, en el caso del municipio de Yopal, no incurrió en un defecto fáctico, a diferencia de lo concluido en la sentencia. Lo anterior, porque no se encontró demostrada una indebida o defectuosa valoración probatoria, en estricto sentido. En efecto, el municipio alegó que el juez de lo contencioso no tuvo en cuenta que la modificación de la tarifa del ICA se generó atendiendo a las necesidades de la ciudad y de sus habitantes. No obstante, para llegar a una determinación en este punto, el Consejo de Estado partió de la interpretación del artículo 14 de la Ley 2082 de 2021, en el sentido de señalar que el municipio debía acogerse a las normas sobre el ICA del Distrito Capital, en su integridad.</w:t>
      </w:r>
    </w:p>
    <w:p w14:paraId="2D3173F5"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w:t>
      </w:r>
    </w:p>
    <w:p w14:paraId="5D3A5405"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otras palabras, la exigencia del juez de lo contencioso se sustentó en la interpretación de la ley, no en las pruebas aportadas por el municipio. Así las cosas, no podía concluirse que la providencia se fundamenta en un error respecto de la valoración o análisis de los elementos de juicio aportados, cuando el punto sustantivo de examen de la autoridad judicial era uno totalmente distinto, al que ahora sustenta al amparo.</w:t>
      </w:r>
    </w:p>
    <w:p w14:paraId="21B631BD"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lastRenderedPageBreak/>
        <w:t>En segundo lugar, el magistrado Polo advirtió que tampoco se habría incurrido en un defecto sustantivo, pues la interpretación que el Consejo de Estado habría hecho del artículo 14 de la Ley 2082 de 2021 era razonable. Este defecto se configura, básicamente, cuando (i) la decisión se soporta en normas que son inaplicables al caso concreto, ya sea porque fueron derogadas, son inexistentes o fueron declaradas inconstitucionales; (</w:t>
      </w:r>
      <w:proofErr w:type="spellStart"/>
      <w:r w:rsidRPr="00E16AF9">
        <w:rPr>
          <w:rFonts w:ascii="Verdana" w:eastAsia="Times New Roman" w:hAnsi="Verdana" w:cs="Times New Roman"/>
          <w:color w:val="000000"/>
          <w:kern w:val="0"/>
          <w:lang w:val="es-CO" w:eastAsia="es-MX"/>
          <w14:ligatures w14:val="none"/>
        </w:rPr>
        <w:t>ii</w:t>
      </w:r>
      <w:proofErr w:type="spellEnd"/>
      <w:r w:rsidRPr="00E16AF9">
        <w:rPr>
          <w:rFonts w:ascii="Verdana" w:eastAsia="Times New Roman" w:hAnsi="Verdana" w:cs="Times New Roman"/>
          <w:color w:val="000000"/>
          <w:kern w:val="0"/>
          <w:lang w:val="es-CO" w:eastAsia="es-MX"/>
          <w14:ligatures w14:val="none"/>
        </w:rPr>
        <w:t>) se resuelve la disputa sin tener en cuenta las normas aplicables o necesarias para hacer una interpretación sistemática; (</w:t>
      </w:r>
      <w:proofErr w:type="spellStart"/>
      <w:r w:rsidRPr="00E16AF9">
        <w:rPr>
          <w:rFonts w:ascii="Verdana" w:eastAsia="Times New Roman" w:hAnsi="Verdana" w:cs="Times New Roman"/>
          <w:color w:val="000000"/>
          <w:kern w:val="0"/>
          <w:lang w:val="es-CO" w:eastAsia="es-MX"/>
          <w14:ligatures w14:val="none"/>
        </w:rPr>
        <w:t>iii</w:t>
      </w:r>
      <w:proofErr w:type="spellEnd"/>
      <w:r w:rsidRPr="00E16AF9">
        <w:rPr>
          <w:rFonts w:ascii="Verdana" w:eastAsia="Times New Roman" w:hAnsi="Verdana" w:cs="Times New Roman"/>
          <w:color w:val="000000"/>
          <w:kern w:val="0"/>
          <w:lang w:val="es-CO" w:eastAsia="es-MX"/>
          <w14:ligatures w14:val="none"/>
        </w:rPr>
        <w:t>) la interpretación o aplicación de la norma en el caso concreto no se encuentra dentro de los postulados mínimos de razonabilidad jurídica; (</w:t>
      </w:r>
      <w:proofErr w:type="spellStart"/>
      <w:r w:rsidRPr="00E16AF9">
        <w:rPr>
          <w:rFonts w:ascii="Verdana" w:eastAsia="Times New Roman" w:hAnsi="Verdana" w:cs="Times New Roman"/>
          <w:color w:val="000000"/>
          <w:kern w:val="0"/>
          <w:lang w:val="es-CO" w:eastAsia="es-MX"/>
          <w14:ligatures w14:val="none"/>
        </w:rPr>
        <w:t>iv</w:t>
      </w:r>
      <w:proofErr w:type="spellEnd"/>
      <w:r w:rsidRPr="00E16AF9">
        <w:rPr>
          <w:rFonts w:ascii="Verdana" w:eastAsia="Times New Roman" w:hAnsi="Verdana" w:cs="Times New Roman"/>
          <w:color w:val="000000"/>
          <w:kern w:val="0"/>
          <w:lang w:val="es-CO" w:eastAsia="es-MX"/>
          <w14:ligatures w14:val="none"/>
        </w:rPr>
        <w:t>) pese a que la decisión se fundamenta en una norma que se encuentra vigente, su aplicación no resulta adecuada a la situación fáctica; y (v) cuando se desconoce el significado reconocido o atribuido a las disposiciones objeto de juzgamiento (ley, decreto, resolución, entre otras) en ejercicio del control abstracto de constitucionalidad o de legalidad.</w:t>
      </w:r>
    </w:p>
    <w:p w14:paraId="659EE50B"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1BC5B87B"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los casos estudiados por la Corte en esta ocasión, el juez de lo contencioso realizó una interpretación del artículo 14 de la Ley 2082 de 2021 que no es irrazonable, pues ante la remisión normativa que se hace en aquella disposición sobre “las normas que rigen para el Distrito Capital de Bogotá”, el Consejo de Estado asumió que la entidad territorial debía acogerse al régimen vigente de dicha ciudad, y ello implicaba, incluso la tarifa del ICA.</w:t>
      </w:r>
    </w:p>
    <w:p w14:paraId="0B43063A"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55293BF"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efecto, el artículo 14 de la Ley 2082 de 2021 introdujo una técnica de remisión normativa en favor de las ciudades capitales, por virtud de la cual ellas pueden “adoptar, a iniciativa del alcalde, las normas que rigen para el Distrito Capital de Bogotá en materia de impuesto predial unificado y de industria y comercio”. La experiencia procesal muestra que esa cláusula ha dado lugar a dos lecturas razonables: (i) la primera, es que las ciudades capitales pueden optar (o no) por acogerse al régimen de Bogotá como Distrito Capital. Esto implica, en principio, acudir al Decreto Ley 1421 de 1993, al Decreto 352 de 2002 y al Acuerdo 816 de 2021; y (</w:t>
      </w:r>
      <w:proofErr w:type="spellStart"/>
      <w:r w:rsidRPr="00E16AF9">
        <w:rPr>
          <w:rFonts w:ascii="Verdana" w:eastAsia="Times New Roman" w:hAnsi="Verdana" w:cs="Times New Roman"/>
          <w:color w:val="000000"/>
          <w:kern w:val="0"/>
          <w:lang w:val="es-CO" w:eastAsia="es-MX"/>
          <w14:ligatures w14:val="none"/>
        </w:rPr>
        <w:t>ii</w:t>
      </w:r>
      <w:proofErr w:type="spellEnd"/>
      <w:r w:rsidRPr="00E16AF9">
        <w:rPr>
          <w:rFonts w:ascii="Verdana" w:eastAsia="Times New Roman" w:hAnsi="Verdana" w:cs="Times New Roman"/>
          <w:color w:val="000000"/>
          <w:kern w:val="0"/>
          <w:lang w:val="es-CO" w:eastAsia="es-MX"/>
          <w14:ligatures w14:val="none"/>
        </w:rPr>
        <w:t>) la segunda, que si una ciudad capital decide acogerse a este último régimen, queda vinculada por “las normas que rigen” en Bogotá para el ICA, incluyéndose la tarifa o eligiendo el umbral dispuesto en el artículo 154 del Decreto Ley 1421 de 1993.</w:t>
      </w:r>
    </w:p>
    <w:p w14:paraId="6BFAD476"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w:t>
      </w:r>
    </w:p>
    <w:p w14:paraId="10B5970D"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Esa doble interpretación, en concepto del magistrado, es razonable y no incurre en ninguno de los escenarios de un defecto sustantivo, en los términos ya mencionados. Precisamente, la Sección Cuarta del Consejo de Estado parte de esa expresión (“normas que rigen”), para anudar la adopción normativa a la tarifa vigente en Bogotá, y no a parámetros abstractos o meramente potenciales.</w:t>
      </w:r>
    </w:p>
    <w:p w14:paraId="21707BA8"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lastRenderedPageBreak/>
        <w:t>No obstante, la mayoría de la Sala encontró configurado este defecto, pues consideró que era coherente con la conclusión del otro defecto planteado, esto es, la violación directa de la Constitución. En este punto, el magistrado Polo Rosero estimó que la jurisprudencia constitucional de forma desarticulada y de manera paulatina ha venido incluyendo dentro de las causales del defecto sustantivo, aquella que dice: “cuando la aplicación de la norma desconoce la Constitución o una interpretación conforme a la Constitución”. Esta hipótesis, así planteada, en nada se diferencia del defecto autónomo e independiente de “violación directa de la Constitución”.</w:t>
      </w:r>
    </w:p>
    <w:p w14:paraId="73449CC4"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2A3F0902"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Para el magistrado Polo, este era un buen caso para afinar esta clasificación jurisprudencial, pues las decisiones judiciales analizadas representaban una situación clara de interpretación razonable de la ley (lo que excluía el defecto sustantivo), pero sí se adecuaban a una violación directa de la Constitución. Para el citado magistrado, ambas causales son autónomas e independientes, pues mientras la primera se enfoca en un contraste entre el texto de la ley y el razonamiento judicial; en la segunda, lo que debe realizarse es una verificación del razonamiento judicial respecto de los principios, valores, reglas y derechos que incorpora directamente la propia Constitución, entre ellos, los derivados de la interpretación conforme y de la obligada aplicación de la excepción de inconstitucionalidad.</w:t>
      </w:r>
    </w:p>
    <w:p w14:paraId="4F496AAA"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4E8DECE6"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En tercer lugar, y acorde con la no configuración de un defecto sustantivo, el magistrado Polo estimó que en realidad lo que se había demostrado era la violación directa de la Constitución. En este sentido, afirmó que, a pesar de que la interpretación del juez de lo contencioso era razonable en los términos de la ley, tal hermenéutica desconoció los principios constitucionales de autonomía de las entidades territoriales, legalidad, equidad tributaria e igualdad, en la forma en que se explica en la sentencia. Por ello, instó a la necesidad de que la jurisprudencia revise las causales del defecto sustantivo y se defina su alcance y contenido, independiente de la causal de violación directa de la Constitución. La forma como se está tratando el asunto actualmente en la jurisprudencia, en la práctica, conduce a que esta causal carezca de autonomía y, si es así, no tiene sentido su permanencia en el esquema actual de defectos específicos.</w:t>
      </w:r>
    </w:p>
    <w:p w14:paraId="35C61809"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0B94DB01"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 xml:space="preserve">En cuarto lugar, en el transcurso del debate se planteó la eventual existencia de una violación directa de la Constitución, a partir de lo establecido en el artículo 322 de la Carta Política. El magistrado Polo discrepó de esta propuesta. Afirmó que, (i) en virtud de que la acción de tutela contra providencia judicial es de carácter rogado, la Sala no tenía </w:t>
      </w:r>
      <w:r w:rsidRPr="00E16AF9">
        <w:rPr>
          <w:rFonts w:ascii="Verdana" w:eastAsia="Times New Roman" w:hAnsi="Verdana" w:cs="Times New Roman"/>
          <w:color w:val="000000"/>
          <w:kern w:val="0"/>
          <w:lang w:val="es-CO" w:eastAsia="es-MX"/>
          <w14:ligatures w14:val="none"/>
        </w:rPr>
        <w:lastRenderedPageBreak/>
        <w:t>competencia para pronunciarse sobre dicho argumento, toda vez que las partes accionantes no invocaron ese artículo en sus escritos, ni fue objeto de debate en las instancias; y además, (</w:t>
      </w:r>
      <w:proofErr w:type="spellStart"/>
      <w:r w:rsidRPr="00E16AF9">
        <w:rPr>
          <w:rFonts w:ascii="Verdana" w:eastAsia="Times New Roman" w:hAnsi="Verdana" w:cs="Times New Roman"/>
          <w:color w:val="000000"/>
          <w:kern w:val="0"/>
          <w:lang w:val="es-CO" w:eastAsia="es-MX"/>
          <w14:ligatures w14:val="none"/>
        </w:rPr>
        <w:t>ii</w:t>
      </w:r>
      <w:proofErr w:type="spellEnd"/>
      <w:r w:rsidRPr="00E16AF9">
        <w:rPr>
          <w:rFonts w:ascii="Verdana" w:eastAsia="Times New Roman" w:hAnsi="Verdana" w:cs="Times New Roman"/>
          <w:color w:val="000000"/>
          <w:kern w:val="0"/>
          <w:lang w:val="es-CO" w:eastAsia="es-MX"/>
          <w14:ligatures w14:val="none"/>
        </w:rPr>
        <w:t>) la citada norma constitucional si bien establece la obligación de que exista un régimen especial fiscal en la ciudad de Bogotá como capital de la República, no se refiere a otras entidades territoriales, ni excluye la aplicación de algunas partes de su régimen, por vía de remisión, a otras entidad territoriales, mientras no pierda el esquema especial de configuración que debe tener el Distrito Capital. No puede existir entonces infracción de la Carta, por simplemente replicar esquemas tributarios que cuentan con claridad sustantiva y procedimental, que garantizan seguridad jurídica, y que brindan eficiencia administrativa y tributaria.</w:t>
      </w:r>
    </w:p>
    <w:p w14:paraId="68A25EA6"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815E35E" w14:textId="77777777" w:rsidR="00E16AF9" w:rsidRPr="00E16AF9" w:rsidRDefault="00E16AF9" w:rsidP="00E16AF9">
      <w:pPr>
        <w:jc w:val="both"/>
        <w:rPr>
          <w:rFonts w:ascii="Times New Roman" w:eastAsia="Times New Roman" w:hAnsi="Times New Roman" w:cs="Times New Roman"/>
          <w:kern w:val="0"/>
          <w:lang w:val="es-CO" w:eastAsia="es-MX"/>
          <w14:ligatures w14:val="none"/>
        </w:rPr>
      </w:pPr>
      <w:r w:rsidRPr="00E16AF9">
        <w:rPr>
          <w:rFonts w:ascii="Verdana" w:eastAsia="Times New Roman" w:hAnsi="Verdana" w:cs="Times New Roman"/>
          <w:color w:val="000000"/>
          <w:kern w:val="0"/>
          <w:lang w:val="es-CO" w:eastAsia="es-MX"/>
          <w14:ligatures w14:val="none"/>
        </w:rPr>
        <w:t>Finalmente, el magistrado Polo consideró que la Sala Plena debió señalar de forma expresa que al Consejo de Estado, en las sentencias de reemplazo, le corresponde prever que, para efectos del recaudo del ICA en las entidades municipales aquí involucradas, la modificación eventual de la tarifa solo regiría a partir de la ejecutoria de dichas sentencias, sin efectos retroactivos respecto del impuesto, sanciones e intereses causados durante este interregno, todo ello en garantía de la confianza legítima y de los principios de seguridad jurídica y equidad tributaria.</w:t>
      </w:r>
    </w:p>
    <w:p w14:paraId="3AC0578E" w14:textId="77777777" w:rsidR="00E16AF9" w:rsidRPr="00E16AF9" w:rsidRDefault="00E16AF9" w:rsidP="00E16AF9">
      <w:pPr>
        <w:rPr>
          <w:rFonts w:ascii="Times New Roman" w:eastAsia="Times New Roman" w:hAnsi="Times New Roman" w:cs="Times New Roman"/>
          <w:kern w:val="0"/>
          <w:lang w:val="es-CO" w:eastAsia="es-MX"/>
          <w14:ligatures w14:val="none"/>
        </w:rPr>
      </w:pPr>
    </w:p>
    <w:p w14:paraId="36E1D23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21F7A"/>
    <w:multiLevelType w:val="multilevel"/>
    <w:tmpl w:val="8F46EB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BC079B"/>
    <w:multiLevelType w:val="multilevel"/>
    <w:tmpl w:val="E8CC63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60F09B2"/>
    <w:multiLevelType w:val="multilevel"/>
    <w:tmpl w:val="20F82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CE6768B"/>
    <w:multiLevelType w:val="multilevel"/>
    <w:tmpl w:val="F30A74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712340">
    <w:abstractNumId w:val="2"/>
  </w:num>
  <w:num w:numId="2" w16cid:durableId="1545095611">
    <w:abstractNumId w:val="1"/>
    <w:lvlOverride w:ilvl="0">
      <w:lvl w:ilvl="0">
        <w:numFmt w:val="decimal"/>
        <w:lvlText w:val="%1."/>
        <w:lvlJc w:val="left"/>
      </w:lvl>
    </w:lvlOverride>
  </w:num>
  <w:num w:numId="3" w16cid:durableId="449394490">
    <w:abstractNumId w:val="0"/>
    <w:lvlOverride w:ilvl="0">
      <w:lvl w:ilvl="0">
        <w:numFmt w:val="decimal"/>
        <w:lvlText w:val="%1."/>
        <w:lvlJc w:val="left"/>
      </w:lvl>
    </w:lvlOverride>
  </w:num>
  <w:num w:numId="4" w16cid:durableId="1683117808">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AF9"/>
    <w:rsid w:val="000B2285"/>
    <w:rsid w:val="003866C7"/>
    <w:rsid w:val="00537D8F"/>
    <w:rsid w:val="007E5390"/>
    <w:rsid w:val="00B83A7B"/>
    <w:rsid w:val="00E16AF9"/>
    <w:rsid w:val="00E752F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BC7269B"/>
  <w14:defaultImageDpi w14:val="32767"/>
  <w15:chartTrackingRefBased/>
  <w15:docId w15:val="{F20F166F-9706-2845-BDDA-7D88C30F2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16A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16A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16AF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16AF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16AF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16AF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16AF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16AF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16AF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16AF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16AF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16AF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16AF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16AF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16A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16A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16A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16AF9"/>
    <w:rPr>
      <w:rFonts w:eastAsiaTheme="majorEastAsia" w:cstheme="majorBidi"/>
      <w:color w:val="272727" w:themeColor="text1" w:themeTint="D8"/>
    </w:rPr>
  </w:style>
  <w:style w:type="paragraph" w:styleId="Ttulo">
    <w:name w:val="Title"/>
    <w:basedOn w:val="Normal"/>
    <w:next w:val="Normal"/>
    <w:link w:val="TtuloCar"/>
    <w:uiPriority w:val="10"/>
    <w:qFormat/>
    <w:rsid w:val="00E16AF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16A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16AF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16A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16AF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16AF9"/>
    <w:rPr>
      <w:i/>
      <w:iCs/>
      <w:color w:val="404040" w:themeColor="text1" w:themeTint="BF"/>
    </w:rPr>
  </w:style>
  <w:style w:type="paragraph" w:styleId="Prrafodelista">
    <w:name w:val="List Paragraph"/>
    <w:basedOn w:val="Normal"/>
    <w:uiPriority w:val="34"/>
    <w:qFormat/>
    <w:rsid w:val="00E16AF9"/>
    <w:pPr>
      <w:ind w:left="720"/>
      <w:contextualSpacing/>
    </w:pPr>
  </w:style>
  <w:style w:type="character" w:styleId="nfasisintenso">
    <w:name w:val="Intense Emphasis"/>
    <w:basedOn w:val="Fuentedeprrafopredeter"/>
    <w:uiPriority w:val="21"/>
    <w:qFormat/>
    <w:rsid w:val="00E16AF9"/>
    <w:rPr>
      <w:i/>
      <w:iCs/>
      <w:color w:val="2F5496" w:themeColor="accent1" w:themeShade="BF"/>
    </w:rPr>
  </w:style>
  <w:style w:type="paragraph" w:styleId="Citadestacada">
    <w:name w:val="Intense Quote"/>
    <w:basedOn w:val="Normal"/>
    <w:next w:val="Normal"/>
    <w:link w:val="CitadestacadaCar"/>
    <w:uiPriority w:val="30"/>
    <w:qFormat/>
    <w:rsid w:val="00E16A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16AF9"/>
    <w:rPr>
      <w:i/>
      <w:iCs/>
      <w:color w:val="2F5496" w:themeColor="accent1" w:themeShade="BF"/>
    </w:rPr>
  </w:style>
  <w:style w:type="character" w:styleId="Referenciaintensa">
    <w:name w:val="Intense Reference"/>
    <w:basedOn w:val="Fuentedeprrafopredeter"/>
    <w:uiPriority w:val="32"/>
    <w:qFormat/>
    <w:rsid w:val="00E16AF9"/>
    <w:rPr>
      <w:b/>
      <w:bCs/>
      <w:smallCaps/>
      <w:color w:val="2F5496" w:themeColor="accent1" w:themeShade="BF"/>
      <w:spacing w:val="5"/>
    </w:rPr>
  </w:style>
  <w:style w:type="paragraph" w:styleId="NormalWeb">
    <w:name w:val="Normal (Web)"/>
    <w:basedOn w:val="Normal"/>
    <w:uiPriority w:val="99"/>
    <w:semiHidden/>
    <w:unhideWhenUsed/>
    <w:rsid w:val="00E16AF9"/>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4300</Words>
  <Characters>23656</Characters>
  <Application>Microsoft Office Word</Application>
  <DocSecurity>0</DocSecurity>
  <Lines>197</Lines>
  <Paragraphs>55</Paragraphs>
  <ScaleCrop>false</ScaleCrop>
  <Company/>
  <LinksUpToDate>false</LinksUpToDate>
  <CharactersWithSpaces>27901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2026-03-18T23:05:00Z</dcterms:created>
  <dcterms:modified xsi:type="dcterms:W3CDTF">2026-04-06T16:17:00Z</dcterms:modified>
</cp:coreProperties>
</file>