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AA7AA"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b/>
          <w:bCs/>
          <w:color w:val="000000"/>
          <w:kern w:val="0"/>
          <w:lang w:val="es-CO" w:eastAsia="es-MX"/>
          <w14:ligatures w14:val="none"/>
        </w:rPr>
        <w:t>COMUNICADO DE PRENSA DEL 13 DE ABRIL DE 2026</w:t>
      </w:r>
    </w:p>
    <w:p w14:paraId="30FEE892"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b/>
          <w:bCs/>
          <w:color w:val="000000"/>
          <w:kern w:val="0"/>
          <w:lang w:val="es-CO" w:eastAsia="es-MX"/>
          <w14:ligatures w14:val="none"/>
        </w:rPr>
        <w:t>ALCALDÍA SANTIAGO DE CALI</w:t>
      </w:r>
    </w:p>
    <w:p w14:paraId="3E2CEB47"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5C4ACC25"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b/>
          <w:bCs/>
          <w:color w:val="000000"/>
          <w:kern w:val="0"/>
          <w:lang w:val="es-CO" w:eastAsia="es-MX"/>
          <w14:ligatures w14:val="none"/>
        </w:rPr>
        <w:t>Un solo estatuto tributario, cero estampillas en 61 trámites y vivienda para los más necesitados: así recuperamos Cali</w:t>
      </w:r>
    </w:p>
    <w:p w14:paraId="3C86A0FA"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13DA6220" w14:textId="6B846257" w:rsidR="00A87893" w:rsidRPr="00A87893" w:rsidRDefault="00A87893" w:rsidP="00A87893">
      <w:pPr>
        <w:jc w:val="center"/>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1369053D" wp14:editId="52B1011C">
            <wp:extent cx="4552950" cy="2628900"/>
            <wp:effectExtent l="0" t="0" r="6350" b="0"/>
            <wp:docPr id="12872958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52950" cy="2628900"/>
                    </a:xfrm>
                    <a:prstGeom prst="rect">
                      <a:avLst/>
                    </a:prstGeom>
                    <a:noFill/>
                    <a:ln>
                      <a:noFill/>
                    </a:ln>
                  </pic:spPr>
                </pic:pic>
              </a:graphicData>
            </a:graphic>
          </wp:inline>
        </w:drawing>
      </w:r>
    </w:p>
    <w:p w14:paraId="3BF32E28"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7B3E87C6"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b/>
          <w:bCs/>
          <w:color w:val="000000"/>
          <w:kern w:val="0"/>
          <w:lang w:val="es-CO" w:eastAsia="es-MX"/>
          <w14:ligatures w14:val="none"/>
        </w:rPr>
        <w:t>Santiago de Cali, 13 de abril de 2026</w:t>
      </w:r>
    </w:p>
    <w:p w14:paraId="28EBAF91"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74BB1215"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t>En una jornada decisiva para el futuro fiscal y social de Cali, la </w:t>
      </w:r>
      <w:r w:rsidRPr="00A87893">
        <w:rPr>
          <w:rFonts w:ascii="Verdana" w:eastAsia="Times New Roman" w:hAnsi="Verdana" w:cs="Times New Roman"/>
          <w:i/>
          <w:iCs/>
          <w:color w:val="000000"/>
          <w:kern w:val="0"/>
          <w:lang w:val="es-CO" w:eastAsia="es-MX"/>
          <w14:ligatures w14:val="none"/>
        </w:rPr>
        <w:t>Comisión de Presupuesto </w:t>
      </w:r>
      <w:r w:rsidRPr="00A87893">
        <w:rPr>
          <w:rFonts w:ascii="Verdana" w:eastAsia="Times New Roman" w:hAnsi="Verdana" w:cs="Times New Roman"/>
          <w:color w:val="000000"/>
          <w:kern w:val="0"/>
          <w:lang w:val="es-CO" w:eastAsia="es-MX"/>
          <w14:ligatures w14:val="none"/>
        </w:rPr>
        <w:t>del Concejo Distrital recibió el lunes (</w:t>
      </w:r>
      <w:r w:rsidRPr="00A87893">
        <w:rPr>
          <w:rFonts w:ascii="Verdana" w:eastAsia="Times New Roman" w:hAnsi="Verdana" w:cs="Times New Roman"/>
          <w:i/>
          <w:iCs/>
          <w:color w:val="000000"/>
          <w:kern w:val="0"/>
          <w:lang w:val="es-CO" w:eastAsia="es-MX"/>
          <w14:ligatures w14:val="none"/>
        </w:rPr>
        <w:t>13.04.2026</w:t>
      </w:r>
      <w:r w:rsidRPr="00A87893">
        <w:rPr>
          <w:rFonts w:ascii="Verdana" w:eastAsia="Times New Roman" w:hAnsi="Verdana" w:cs="Times New Roman"/>
          <w:color w:val="000000"/>
          <w:kern w:val="0"/>
          <w:lang w:val="es-CO" w:eastAsia="es-MX"/>
          <w14:ligatures w14:val="none"/>
        </w:rPr>
        <w:t>) la sustentación de la </w:t>
      </w:r>
      <w:r w:rsidRPr="00A87893">
        <w:rPr>
          <w:rFonts w:ascii="Verdana" w:eastAsia="Times New Roman" w:hAnsi="Verdana" w:cs="Times New Roman"/>
          <w:i/>
          <w:iCs/>
          <w:color w:val="000000"/>
          <w:kern w:val="0"/>
          <w:lang w:val="es-CO" w:eastAsia="es-MX"/>
          <w14:ligatures w14:val="none"/>
        </w:rPr>
        <w:t>viabilidad jurídica</w:t>
      </w:r>
      <w:r w:rsidRPr="00A87893">
        <w:rPr>
          <w:rFonts w:ascii="Verdana" w:eastAsia="Times New Roman" w:hAnsi="Verdana" w:cs="Times New Roman"/>
          <w:color w:val="000000"/>
          <w:kern w:val="0"/>
          <w:lang w:val="es-CO" w:eastAsia="es-MX"/>
          <w14:ligatures w14:val="none"/>
        </w:rPr>
        <w:t> de dos proyectos de acuerdo de alto impacto: la </w:t>
      </w:r>
      <w:r w:rsidRPr="00A87893">
        <w:rPr>
          <w:rFonts w:ascii="Verdana" w:eastAsia="Times New Roman" w:hAnsi="Verdana" w:cs="Times New Roman"/>
          <w:b/>
          <w:bCs/>
          <w:i/>
          <w:iCs/>
          <w:color w:val="000000"/>
          <w:kern w:val="0"/>
          <w:lang w:val="es-CO" w:eastAsia="es-MX"/>
          <w14:ligatures w14:val="none"/>
        </w:rPr>
        <w:t>modernización integral del Estatuto Tributario Distrital</w:t>
      </w:r>
      <w:r w:rsidRPr="00A87893">
        <w:rPr>
          <w:rFonts w:ascii="Verdana" w:eastAsia="Times New Roman" w:hAnsi="Verdana" w:cs="Times New Roman"/>
          <w:color w:val="000000"/>
          <w:kern w:val="0"/>
          <w:lang w:val="es-CO" w:eastAsia="es-MX"/>
          <w14:ligatures w14:val="none"/>
        </w:rPr>
        <w:t> (</w:t>
      </w:r>
      <w:r w:rsidRPr="00A87893">
        <w:rPr>
          <w:rFonts w:ascii="Verdana" w:eastAsia="Times New Roman" w:hAnsi="Verdana" w:cs="Times New Roman"/>
          <w:i/>
          <w:iCs/>
          <w:color w:val="000000"/>
          <w:kern w:val="0"/>
          <w:lang w:val="es-CO" w:eastAsia="es-MX"/>
          <w14:ligatures w14:val="none"/>
        </w:rPr>
        <w:t xml:space="preserve">PA </w:t>
      </w:r>
      <w:proofErr w:type="spellStart"/>
      <w:r w:rsidRPr="00A87893">
        <w:rPr>
          <w:rFonts w:ascii="Verdana" w:eastAsia="Times New Roman" w:hAnsi="Verdana" w:cs="Times New Roman"/>
          <w:i/>
          <w:iCs/>
          <w:color w:val="000000"/>
          <w:kern w:val="0"/>
          <w:lang w:val="es-CO" w:eastAsia="es-MX"/>
          <w14:ligatures w14:val="none"/>
        </w:rPr>
        <w:t>Nº</w:t>
      </w:r>
      <w:proofErr w:type="spellEnd"/>
      <w:r w:rsidRPr="00A87893">
        <w:rPr>
          <w:rFonts w:ascii="Verdana" w:eastAsia="Times New Roman" w:hAnsi="Verdana" w:cs="Times New Roman"/>
          <w:i/>
          <w:iCs/>
          <w:color w:val="000000"/>
          <w:kern w:val="0"/>
          <w:lang w:val="es-CO" w:eastAsia="es-MX"/>
          <w14:ligatures w14:val="none"/>
        </w:rPr>
        <w:t xml:space="preserve"> 082</w:t>
      </w:r>
      <w:r w:rsidRPr="00A87893">
        <w:rPr>
          <w:rFonts w:ascii="Verdana" w:eastAsia="Times New Roman" w:hAnsi="Verdana" w:cs="Times New Roman"/>
          <w:color w:val="000000"/>
          <w:kern w:val="0"/>
          <w:lang w:val="es-CO" w:eastAsia="es-MX"/>
          <w14:ligatures w14:val="none"/>
        </w:rPr>
        <w:t>) y el establecimiento del </w:t>
      </w:r>
      <w:r w:rsidRPr="00A87893">
        <w:rPr>
          <w:rFonts w:ascii="Verdana" w:eastAsia="Times New Roman" w:hAnsi="Verdana" w:cs="Times New Roman"/>
          <w:b/>
          <w:bCs/>
          <w:i/>
          <w:iCs/>
          <w:color w:val="000000"/>
          <w:kern w:val="0"/>
          <w:lang w:val="es-CO" w:eastAsia="es-MX"/>
          <w14:ligatures w14:val="none"/>
        </w:rPr>
        <w:t>Subsidio Distrital de Vivienda</w:t>
      </w:r>
      <w:r w:rsidRPr="00A87893">
        <w:rPr>
          <w:rFonts w:ascii="Verdana" w:eastAsia="Times New Roman" w:hAnsi="Verdana" w:cs="Times New Roman"/>
          <w:color w:val="000000"/>
          <w:kern w:val="0"/>
          <w:lang w:val="es-CO" w:eastAsia="es-MX"/>
          <w14:ligatures w14:val="none"/>
        </w:rPr>
        <w:t> (</w:t>
      </w:r>
      <w:r w:rsidRPr="00A87893">
        <w:rPr>
          <w:rFonts w:ascii="Verdana" w:eastAsia="Times New Roman" w:hAnsi="Verdana" w:cs="Times New Roman"/>
          <w:i/>
          <w:iCs/>
          <w:color w:val="000000"/>
          <w:kern w:val="0"/>
          <w:lang w:val="es-CO" w:eastAsia="es-MX"/>
          <w14:ligatures w14:val="none"/>
        </w:rPr>
        <w:t xml:space="preserve">PA </w:t>
      </w:r>
      <w:proofErr w:type="spellStart"/>
      <w:r w:rsidRPr="00A87893">
        <w:rPr>
          <w:rFonts w:ascii="Verdana" w:eastAsia="Times New Roman" w:hAnsi="Verdana" w:cs="Times New Roman"/>
          <w:i/>
          <w:iCs/>
          <w:color w:val="000000"/>
          <w:kern w:val="0"/>
          <w:lang w:val="es-CO" w:eastAsia="es-MX"/>
          <w14:ligatures w14:val="none"/>
        </w:rPr>
        <w:t>Nº</w:t>
      </w:r>
      <w:proofErr w:type="spellEnd"/>
      <w:r w:rsidRPr="00A87893">
        <w:rPr>
          <w:rFonts w:ascii="Verdana" w:eastAsia="Times New Roman" w:hAnsi="Verdana" w:cs="Times New Roman"/>
          <w:i/>
          <w:iCs/>
          <w:color w:val="000000"/>
          <w:kern w:val="0"/>
          <w:lang w:val="es-CO" w:eastAsia="es-MX"/>
          <w14:ligatures w14:val="none"/>
        </w:rPr>
        <w:t xml:space="preserve"> 083</w:t>
      </w:r>
      <w:r w:rsidRPr="00A87893">
        <w:rPr>
          <w:rFonts w:ascii="Verdana" w:eastAsia="Times New Roman" w:hAnsi="Verdana" w:cs="Times New Roman"/>
          <w:color w:val="000000"/>
          <w:kern w:val="0"/>
          <w:lang w:val="es-CO" w:eastAsia="es-MX"/>
          <w14:ligatures w14:val="none"/>
        </w:rPr>
        <w:t>).</w:t>
      </w:r>
    </w:p>
    <w:p w14:paraId="47B1A99D"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05C4BACA"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t>En representación de la Alcaldía de Cali, la doctora </w:t>
      </w:r>
      <w:r w:rsidRPr="00A87893">
        <w:rPr>
          <w:rFonts w:ascii="Verdana" w:eastAsia="Times New Roman" w:hAnsi="Verdana" w:cs="Times New Roman"/>
          <w:b/>
          <w:bCs/>
          <w:i/>
          <w:iCs/>
          <w:color w:val="000000"/>
          <w:kern w:val="0"/>
          <w:lang w:val="es-CO" w:eastAsia="es-MX"/>
          <w14:ligatures w14:val="none"/>
        </w:rPr>
        <w:t>Ana Catalina Castro Lozano</w:t>
      </w:r>
      <w:r w:rsidRPr="00A87893">
        <w:rPr>
          <w:rFonts w:ascii="Verdana" w:eastAsia="Times New Roman" w:hAnsi="Verdana" w:cs="Times New Roman"/>
          <w:color w:val="000000"/>
          <w:kern w:val="0"/>
          <w:lang w:val="es-CO" w:eastAsia="es-MX"/>
          <w14:ligatures w14:val="none"/>
        </w:rPr>
        <w:t>, directora del Departamento Administrativo de Gestión Jurídica Pública, presentó el </w:t>
      </w:r>
      <w:r w:rsidRPr="00A87893">
        <w:rPr>
          <w:rFonts w:ascii="Verdana" w:eastAsia="Times New Roman" w:hAnsi="Verdana" w:cs="Times New Roman"/>
          <w:i/>
          <w:iCs/>
          <w:color w:val="000000"/>
          <w:kern w:val="0"/>
          <w:lang w:val="es-CO" w:eastAsia="es-MX"/>
          <w14:ligatures w14:val="none"/>
        </w:rPr>
        <w:t>aval jurídico</w:t>
      </w:r>
      <w:r w:rsidRPr="00A87893">
        <w:rPr>
          <w:rFonts w:ascii="Verdana" w:eastAsia="Times New Roman" w:hAnsi="Verdana" w:cs="Times New Roman"/>
          <w:color w:val="000000"/>
          <w:kern w:val="0"/>
          <w:lang w:val="es-CO" w:eastAsia="es-MX"/>
          <w14:ligatures w14:val="none"/>
        </w:rPr>
        <w:t> de ambas iniciativas, respaldando su constitucionalidad y legalidad ante los cabildantes.</w:t>
      </w:r>
    </w:p>
    <w:p w14:paraId="673E872F"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64D511EE"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t>El </w:t>
      </w:r>
      <w:r w:rsidRPr="00A87893">
        <w:rPr>
          <w:rFonts w:ascii="Verdana" w:eastAsia="Times New Roman" w:hAnsi="Verdana" w:cs="Times New Roman"/>
          <w:i/>
          <w:iCs/>
          <w:color w:val="000000"/>
          <w:kern w:val="0"/>
          <w:lang w:val="es-CO" w:eastAsia="es-MX"/>
          <w14:ligatures w14:val="none"/>
        </w:rPr>
        <w:t xml:space="preserve">Proyecto de Acuerdo </w:t>
      </w:r>
      <w:proofErr w:type="spellStart"/>
      <w:r w:rsidRPr="00A87893">
        <w:rPr>
          <w:rFonts w:ascii="Verdana" w:eastAsia="Times New Roman" w:hAnsi="Verdana" w:cs="Times New Roman"/>
          <w:i/>
          <w:iCs/>
          <w:color w:val="000000"/>
          <w:kern w:val="0"/>
          <w:lang w:val="es-CO" w:eastAsia="es-MX"/>
          <w14:ligatures w14:val="none"/>
        </w:rPr>
        <w:t>Nº</w:t>
      </w:r>
      <w:proofErr w:type="spellEnd"/>
      <w:r w:rsidRPr="00A87893">
        <w:rPr>
          <w:rFonts w:ascii="Verdana" w:eastAsia="Times New Roman" w:hAnsi="Verdana" w:cs="Times New Roman"/>
          <w:i/>
          <w:iCs/>
          <w:color w:val="000000"/>
          <w:kern w:val="0"/>
          <w:lang w:val="es-CO" w:eastAsia="es-MX"/>
          <w14:ligatures w14:val="none"/>
        </w:rPr>
        <w:t xml:space="preserve"> 082</w:t>
      </w:r>
      <w:r w:rsidRPr="00A87893">
        <w:rPr>
          <w:rFonts w:ascii="Verdana" w:eastAsia="Times New Roman" w:hAnsi="Verdana" w:cs="Times New Roman"/>
          <w:color w:val="000000"/>
          <w:kern w:val="0"/>
          <w:lang w:val="es-CO" w:eastAsia="es-MX"/>
          <w14:ligatures w14:val="none"/>
        </w:rPr>
        <w:t> representa un hito histórico para las finanzas públicas de Cali: por primera vez el Distrito contará con un </w:t>
      </w:r>
      <w:r w:rsidRPr="00A87893">
        <w:rPr>
          <w:rFonts w:ascii="Verdana" w:eastAsia="Times New Roman" w:hAnsi="Verdana" w:cs="Times New Roman"/>
          <w:i/>
          <w:iCs/>
          <w:color w:val="000000"/>
          <w:kern w:val="0"/>
          <w:lang w:val="es-CO" w:eastAsia="es-MX"/>
          <w14:ligatures w14:val="none"/>
        </w:rPr>
        <w:t>Estatuto Tributario</w:t>
      </w:r>
      <w:r w:rsidRPr="00A87893">
        <w:rPr>
          <w:rFonts w:ascii="Verdana" w:eastAsia="Times New Roman" w:hAnsi="Verdana" w:cs="Times New Roman"/>
          <w:color w:val="000000"/>
          <w:kern w:val="0"/>
          <w:lang w:val="es-CO" w:eastAsia="es-MX"/>
          <w14:ligatures w14:val="none"/>
        </w:rPr>
        <w:t> moderno, depurado y unificado en un solo cuerpo normativo, que integra el Impuesto Predial Unificado, el Impuesto de Industria y Comercio, las obras por impuestos, el Impuesto de Delineación Urbana con fomento a la vivienda, beneficios procedimentales para los contribuyentes y la eliminación de estampillas en </w:t>
      </w:r>
      <w:r w:rsidRPr="00A87893">
        <w:rPr>
          <w:rFonts w:ascii="Verdana" w:eastAsia="Times New Roman" w:hAnsi="Verdana" w:cs="Times New Roman"/>
          <w:i/>
          <w:iCs/>
          <w:color w:val="000000"/>
          <w:kern w:val="0"/>
          <w:lang w:val="es-CO" w:eastAsia="es-MX"/>
          <w14:ligatures w14:val="none"/>
        </w:rPr>
        <w:t>61 trámites distritales.</w:t>
      </w:r>
    </w:p>
    <w:p w14:paraId="5D1DBAF7"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589A77F6"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lastRenderedPageBreak/>
        <w:t>La iniciativa actualiza disposiciones acumuladas desde el </w:t>
      </w:r>
      <w:r w:rsidRPr="00A87893">
        <w:rPr>
          <w:rFonts w:ascii="Verdana" w:eastAsia="Times New Roman" w:hAnsi="Verdana" w:cs="Times New Roman"/>
          <w:i/>
          <w:iCs/>
          <w:color w:val="000000"/>
          <w:kern w:val="0"/>
          <w:lang w:val="es-CO" w:eastAsia="es-MX"/>
          <w14:ligatures w14:val="none"/>
        </w:rPr>
        <w:t>Decreto Extraordinario 0416 de 2021</w:t>
      </w:r>
      <w:r w:rsidRPr="00A87893">
        <w:rPr>
          <w:rFonts w:ascii="Verdana" w:eastAsia="Times New Roman" w:hAnsi="Verdana" w:cs="Times New Roman"/>
          <w:color w:val="000000"/>
          <w:kern w:val="0"/>
          <w:lang w:val="es-CO" w:eastAsia="es-MX"/>
          <w14:ligatures w14:val="none"/>
        </w:rPr>
        <w:t>, pasando por una cadena de acuerdos que modificaron parcialmente el régimen tributario entre 2022 y 2024, generando la </w:t>
      </w:r>
      <w:r w:rsidRPr="00A87893">
        <w:rPr>
          <w:rFonts w:ascii="Verdana" w:eastAsia="Times New Roman" w:hAnsi="Verdana" w:cs="Times New Roman"/>
          <w:i/>
          <w:iCs/>
          <w:color w:val="000000"/>
          <w:kern w:val="0"/>
          <w:lang w:val="es-CO" w:eastAsia="es-MX"/>
          <w14:ligatures w14:val="none"/>
        </w:rPr>
        <w:t>dispersión normativa</w:t>
      </w:r>
      <w:r w:rsidRPr="00A87893">
        <w:rPr>
          <w:rFonts w:ascii="Verdana" w:eastAsia="Times New Roman" w:hAnsi="Verdana" w:cs="Times New Roman"/>
          <w:color w:val="000000"/>
          <w:kern w:val="0"/>
          <w:lang w:val="es-CO" w:eastAsia="es-MX"/>
          <w14:ligatures w14:val="none"/>
        </w:rPr>
        <w:t> que hoy se corrige con decisión y visión de ciudad.</w:t>
      </w:r>
    </w:p>
    <w:p w14:paraId="38F8F73A"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42314443"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i/>
          <w:iCs/>
          <w:color w:val="000000"/>
          <w:kern w:val="0"/>
          <w:lang w:val="es-CO" w:eastAsia="es-MX"/>
          <w14:ligatures w14:val="none"/>
        </w:rPr>
        <w:t>“El nuevo Estatuto Tributario no es solo una reforma técnica: es una promesa de claridad, equidad y modernidad que Cali le hace a sus ciudadanos y a sus empresas. Un contribuyente que entiende sus obligaciones, paga mejor; una ciudad que cobra bien, invierte mejor y recupera su camino”,</w:t>
      </w:r>
      <w:r w:rsidRPr="00A87893">
        <w:rPr>
          <w:rFonts w:ascii="Verdana" w:eastAsia="Times New Roman" w:hAnsi="Verdana" w:cs="Times New Roman"/>
          <w:color w:val="000000"/>
          <w:kern w:val="0"/>
          <w:lang w:val="es-CO" w:eastAsia="es-MX"/>
          <w14:ligatures w14:val="none"/>
        </w:rPr>
        <w:t> aseguró Ana Catalina Castro Lozano.</w:t>
      </w:r>
    </w:p>
    <w:p w14:paraId="77149029"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6AEB5C38"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t>En cuanto al </w:t>
      </w:r>
      <w:r w:rsidRPr="00A87893">
        <w:rPr>
          <w:rFonts w:ascii="Verdana" w:eastAsia="Times New Roman" w:hAnsi="Verdana" w:cs="Times New Roman"/>
          <w:i/>
          <w:iCs/>
          <w:color w:val="000000"/>
          <w:kern w:val="0"/>
          <w:lang w:val="es-CO" w:eastAsia="es-MX"/>
          <w14:ligatures w14:val="none"/>
        </w:rPr>
        <w:t xml:space="preserve">Proyecto de Acuerdo </w:t>
      </w:r>
      <w:proofErr w:type="spellStart"/>
      <w:r w:rsidRPr="00A87893">
        <w:rPr>
          <w:rFonts w:ascii="Verdana" w:eastAsia="Times New Roman" w:hAnsi="Verdana" w:cs="Times New Roman"/>
          <w:i/>
          <w:iCs/>
          <w:color w:val="000000"/>
          <w:kern w:val="0"/>
          <w:lang w:val="es-CO" w:eastAsia="es-MX"/>
          <w14:ligatures w14:val="none"/>
        </w:rPr>
        <w:t>N°</w:t>
      </w:r>
      <w:proofErr w:type="spellEnd"/>
      <w:r w:rsidRPr="00A87893">
        <w:rPr>
          <w:rFonts w:ascii="Verdana" w:eastAsia="Times New Roman" w:hAnsi="Verdana" w:cs="Times New Roman"/>
          <w:i/>
          <w:iCs/>
          <w:color w:val="000000"/>
          <w:kern w:val="0"/>
          <w:lang w:val="es-CO" w:eastAsia="es-MX"/>
          <w14:ligatures w14:val="none"/>
        </w:rPr>
        <w:t xml:space="preserve"> 083</w:t>
      </w:r>
      <w:r w:rsidRPr="00A87893">
        <w:rPr>
          <w:rFonts w:ascii="Verdana" w:eastAsia="Times New Roman" w:hAnsi="Verdana" w:cs="Times New Roman"/>
          <w:color w:val="000000"/>
          <w:kern w:val="0"/>
          <w:lang w:val="es-CO" w:eastAsia="es-MX"/>
          <w14:ligatures w14:val="none"/>
        </w:rPr>
        <w:t>, la funcionaria explicó que el </w:t>
      </w:r>
      <w:r w:rsidRPr="00A87893">
        <w:rPr>
          <w:rFonts w:ascii="Verdana" w:eastAsia="Times New Roman" w:hAnsi="Verdana" w:cs="Times New Roman"/>
          <w:i/>
          <w:iCs/>
          <w:color w:val="000000"/>
          <w:kern w:val="0"/>
          <w:lang w:val="es-CO" w:eastAsia="es-MX"/>
          <w14:ligatures w14:val="none"/>
        </w:rPr>
        <w:t>Subsidio Distrital de Vivienda</w:t>
      </w:r>
      <w:r w:rsidRPr="00A87893">
        <w:rPr>
          <w:rFonts w:ascii="Verdana" w:eastAsia="Times New Roman" w:hAnsi="Verdana" w:cs="Times New Roman"/>
          <w:color w:val="000000"/>
          <w:kern w:val="0"/>
          <w:lang w:val="es-CO" w:eastAsia="es-MX"/>
          <w14:ligatures w14:val="none"/>
        </w:rPr>
        <w:t> se sustenta en un sólido andamiaje legal y constitucional, que incluye la Constitución Política (</w:t>
      </w:r>
      <w:r w:rsidRPr="00A87893">
        <w:rPr>
          <w:rFonts w:ascii="Verdana" w:eastAsia="Times New Roman" w:hAnsi="Verdana" w:cs="Times New Roman"/>
          <w:i/>
          <w:iCs/>
          <w:color w:val="000000"/>
          <w:kern w:val="0"/>
          <w:lang w:val="es-CO" w:eastAsia="es-MX"/>
          <w14:ligatures w14:val="none"/>
        </w:rPr>
        <w:t>artículos 313 y 315</w:t>
      </w:r>
      <w:r w:rsidRPr="00A87893">
        <w:rPr>
          <w:rFonts w:ascii="Verdana" w:eastAsia="Times New Roman" w:hAnsi="Verdana" w:cs="Times New Roman"/>
          <w:color w:val="000000"/>
          <w:kern w:val="0"/>
          <w:lang w:val="es-CO" w:eastAsia="es-MX"/>
          <w14:ligatures w14:val="none"/>
        </w:rPr>
        <w:t>), la </w:t>
      </w:r>
      <w:r w:rsidRPr="00A87893">
        <w:rPr>
          <w:rFonts w:ascii="Verdana" w:eastAsia="Times New Roman" w:hAnsi="Verdana" w:cs="Times New Roman"/>
          <w:i/>
          <w:iCs/>
          <w:color w:val="000000"/>
          <w:kern w:val="0"/>
          <w:lang w:val="es-CO" w:eastAsia="es-MX"/>
          <w14:ligatures w14:val="none"/>
        </w:rPr>
        <w:t>Ley 3ª de 1991</w:t>
      </w:r>
      <w:r w:rsidRPr="00A87893">
        <w:rPr>
          <w:rFonts w:ascii="Verdana" w:eastAsia="Times New Roman" w:hAnsi="Verdana" w:cs="Times New Roman"/>
          <w:color w:val="000000"/>
          <w:kern w:val="0"/>
          <w:lang w:val="es-CO" w:eastAsia="es-MX"/>
          <w14:ligatures w14:val="none"/>
        </w:rPr>
        <w:t>, la </w:t>
      </w:r>
      <w:r w:rsidRPr="00A87893">
        <w:rPr>
          <w:rFonts w:ascii="Verdana" w:eastAsia="Times New Roman" w:hAnsi="Verdana" w:cs="Times New Roman"/>
          <w:i/>
          <w:iCs/>
          <w:color w:val="000000"/>
          <w:kern w:val="0"/>
          <w:lang w:val="es-CO" w:eastAsia="es-MX"/>
          <w14:ligatures w14:val="none"/>
        </w:rPr>
        <w:t>Ley 1537 de 2012</w:t>
      </w:r>
      <w:r w:rsidRPr="00A87893">
        <w:rPr>
          <w:rFonts w:ascii="Verdana" w:eastAsia="Times New Roman" w:hAnsi="Verdana" w:cs="Times New Roman"/>
          <w:color w:val="000000"/>
          <w:kern w:val="0"/>
          <w:lang w:val="es-CO" w:eastAsia="es-MX"/>
          <w14:ligatures w14:val="none"/>
        </w:rPr>
        <w:t>, el </w:t>
      </w:r>
      <w:r w:rsidRPr="00A87893">
        <w:rPr>
          <w:rFonts w:ascii="Verdana" w:eastAsia="Times New Roman" w:hAnsi="Verdana" w:cs="Times New Roman"/>
          <w:i/>
          <w:iCs/>
          <w:color w:val="000000"/>
          <w:kern w:val="0"/>
          <w:lang w:val="es-CO" w:eastAsia="es-MX"/>
          <w14:ligatures w14:val="none"/>
        </w:rPr>
        <w:t>Decreto 1077 de 2015</w:t>
      </w:r>
      <w:r w:rsidRPr="00A87893">
        <w:rPr>
          <w:rFonts w:ascii="Verdana" w:eastAsia="Times New Roman" w:hAnsi="Verdana" w:cs="Times New Roman"/>
          <w:color w:val="000000"/>
          <w:kern w:val="0"/>
          <w:lang w:val="es-CO" w:eastAsia="es-MX"/>
          <w14:ligatures w14:val="none"/>
        </w:rPr>
        <w:t> y normativa reciente como el </w:t>
      </w:r>
      <w:r w:rsidRPr="00A87893">
        <w:rPr>
          <w:rFonts w:ascii="Verdana" w:eastAsia="Times New Roman" w:hAnsi="Verdana" w:cs="Times New Roman"/>
          <w:i/>
          <w:iCs/>
          <w:color w:val="000000"/>
          <w:kern w:val="0"/>
          <w:lang w:val="es-CO" w:eastAsia="es-MX"/>
          <w14:ligatures w14:val="none"/>
        </w:rPr>
        <w:t>Decreto 1166 de 2025</w:t>
      </w:r>
      <w:r w:rsidRPr="00A87893">
        <w:rPr>
          <w:rFonts w:ascii="Verdana" w:eastAsia="Times New Roman" w:hAnsi="Verdana" w:cs="Times New Roman"/>
          <w:color w:val="000000"/>
          <w:kern w:val="0"/>
          <w:lang w:val="es-CO" w:eastAsia="es-MX"/>
          <w14:ligatures w14:val="none"/>
        </w:rPr>
        <w:t>.</w:t>
      </w:r>
    </w:p>
    <w:p w14:paraId="623DBCC3"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757F7EBF"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t>La iniciativa cuenta, además, con </w:t>
      </w:r>
      <w:r w:rsidRPr="00A87893">
        <w:rPr>
          <w:rFonts w:ascii="Verdana" w:eastAsia="Times New Roman" w:hAnsi="Verdana" w:cs="Times New Roman"/>
          <w:i/>
          <w:iCs/>
          <w:color w:val="000000"/>
          <w:kern w:val="0"/>
          <w:lang w:val="es-CO" w:eastAsia="es-MX"/>
          <w14:ligatures w14:val="none"/>
        </w:rPr>
        <w:t>viabilidad técnica</w:t>
      </w:r>
      <w:r w:rsidRPr="00A87893">
        <w:rPr>
          <w:rFonts w:ascii="Verdana" w:eastAsia="Times New Roman" w:hAnsi="Verdana" w:cs="Times New Roman"/>
          <w:color w:val="000000"/>
          <w:kern w:val="0"/>
          <w:lang w:val="es-CO" w:eastAsia="es-MX"/>
          <w14:ligatures w14:val="none"/>
        </w:rPr>
        <w:t> del Departamento Administrativo de Planeación y </w:t>
      </w:r>
      <w:r w:rsidRPr="00A87893">
        <w:rPr>
          <w:rFonts w:ascii="Verdana" w:eastAsia="Times New Roman" w:hAnsi="Verdana" w:cs="Times New Roman"/>
          <w:i/>
          <w:iCs/>
          <w:color w:val="000000"/>
          <w:kern w:val="0"/>
          <w:lang w:val="es-CO" w:eastAsia="es-MX"/>
          <w14:ligatures w14:val="none"/>
        </w:rPr>
        <w:t>viabilidad financiera</w:t>
      </w:r>
      <w:r w:rsidRPr="00A87893">
        <w:rPr>
          <w:rFonts w:ascii="Verdana" w:eastAsia="Times New Roman" w:hAnsi="Verdana" w:cs="Times New Roman"/>
          <w:color w:val="000000"/>
          <w:kern w:val="0"/>
          <w:lang w:val="es-CO" w:eastAsia="es-MX"/>
          <w14:ligatures w14:val="none"/>
        </w:rPr>
        <w:t> del Departamento Administrativo de Hacienda.</w:t>
      </w:r>
    </w:p>
    <w:p w14:paraId="372E5388"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074762B3"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t>La Corte Constitucional, en </w:t>
      </w:r>
      <w:r w:rsidRPr="00A87893">
        <w:rPr>
          <w:rFonts w:ascii="Verdana" w:eastAsia="Times New Roman" w:hAnsi="Verdana" w:cs="Times New Roman"/>
          <w:i/>
          <w:iCs/>
          <w:color w:val="000000"/>
          <w:kern w:val="0"/>
          <w:lang w:val="es-CO" w:eastAsia="es-MX"/>
          <w14:ligatures w14:val="none"/>
        </w:rPr>
        <w:t>Sentencia T-585 de 2008</w:t>
      </w:r>
      <w:r w:rsidRPr="00A87893">
        <w:rPr>
          <w:rFonts w:ascii="Verdana" w:eastAsia="Times New Roman" w:hAnsi="Verdana" w:cs="Times New Roman"/>
          <w:color w:val="000000"/>
          <w:kern w:val="0"/>
          <w:lang w:val="es-CO" w:eastAsia="es-MX"/>
          <w14:ligatures w14:val="none"/>
        </w:rPr>
        <w:t>, fue contundente: </w:t>
      </w:r>
      <w:r w:rsidRPr="00A87893">
        <w:rPr>
          <w:rFonts w:ascii="Verdana" w:eastAsia="Times New Roman" w:hAnsi="Verdana" w:cs="Times New Roman"/>
          <w:i/>
          <w:iCs/>
          <w:color w:val="000000"/>
          <w:kern w:val="0"/>
          <w:lang w:val="es-CO" w:eastAsia="es-MX"/>
          <w14:ligatures w14:val="none"/>
        </w:rPr>
        <w:t>la vivienda digna es un derecho fundamental vinculado directamente a la dignidad humana </w:t>
      </w:r>
      <w:r w:rsidRPr="00A87893">
        <w:rPr>
          <w:rFonts w:ascii="Verdana" w:eastAsia="Times New Roman" w:hAnsi="Verdana" w:cs="Times New Roman"/>
          <w:color w:val="000000"/>
          <w:kern w:val="0"/>
          <w:lang w:val="es-CO" w:eastAsia="es-MX"/>
          <w14:ligatures w14:val="none"/>
        </w:rPr>
        <w:t>y, en ese sentido, </w:t>
      </w:r>
      <w:r w:rsidRPr="00A87893">
        <w:rPr>
          <w:rFonts w:ascii="Verdana" w:eastAsia="Times New Roman" w:hAnsi="Verdana" w:cs="Times New Roman"/>
          <w:i/>
          <w:iCs/>
          <w:color w:val="000000"/>
          <w:kern w:val="0"/>
          <w:lang w:val="es-CO" w:eastAsia="es-MX"/>
          <w14:ligatures w14:val="none"/>
        </w:rPr>
        <w:t>recuperar Cali</w:t>
      </w:r>
      <w:r w:rsidRPr="00A87893">
        <w:rPr>
          <w:rFonts w:ascii="Verdana" w:eastAsia="Times New Roman" w:hAnsi="Verdana" w:cs="Times New Roman"/>
          <w:color w:val="000000"/>
          <w:kern w:val="0"/>
          <w:lang w:val="es-CO" w:eastAsia="es-MX"/>
          <w14:ligatures w14:val="none"/>
        </w:rPr>
        <w:t> pasa necesariamente por garantizarla a los más necesitados.</w:t>
      </w:r>
    </w:p>
    <w:p w14:paraId="58A21BC8"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5E10AEAE"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i/>
          <w:iCs/>
          <w:color w:val="000000"/>
          <w:kern w:val="0"/>
          <w:lang w:val="es-CO" w:eastAsia="es-MX"/>
          <w14:ligatures w14:val="none"/>
        </w:rPr>
        <w:t>“Nuestro departamento existe para que cada decisión de la Alcaldía de Cali esté blindada jurídicamente. Presentar ante el Concejo el sustento legal de estos proyectos es parte esencial de esa misión: recuperar a Cali también es cuidar la norma”,</w:t>
      </w:r>
      <w:r w:rsidRPr="00A87893">
        <w:rPr>
          <w:rFonts w:ascii="Verdana" w:eastAsia="Times New Roman" w:hAnsi="Verdana" w:cs="Times New Roman"/>
          <w:color w:val="000000"/>
          <w:kern w:val="0"/>
          <w:lang w:val="es-CO" w:eastAsia="es-MX"/>
          <w14:ligatures w14:val="none"/>
        </w:rPr>
        <w:t> precisó Castro Lozano.</w:t>
      </w:r>
    </w:p>
    <w:p w14:paraId="410A400C" w14:textId="77777777" w:rsidR="00A87893" w:rsidRPr="00A87893" w:rsidRDefault="00A87893" w:rsidP="00A87893">
      <w:pPr>
        <w:rPr>
          <w:rFonts w:ascii="Times New Roman" w:eastAsia="Times New Roman" w:hAnsi="Times New Roman" w:cs="Times New Roman"/>
          <w:kern w:val="0"/>
          <w:lang w:val="es-CO" w:eastAsia="es-MX"/>
          <w14:ligatures w14:val="none"/>
        </w:rPr>
      </w:pPr>
    </w:p>
    <w:p w14:paraId="4147E958" w14:textId="77777777" w:rsidR="00A87893" w:rsidRPr="00A87893" w:rsidRDefault="00A87893" w:rsidP="00A87893">
      <w:pPr>
        <w:jc w:val="both"/>
        <w:rPr>
          <w:rFonts w:ascii="Times New Roman" w:eastAsia="Times New Roman" w:hAnsi="Times New Roman" w:cs="Times New Roman"/>
          <w:kern w:val="0"/>
          <w:lang w:val="es-CO" w:eastAsia="es-MX"/>
          <w14:ligatures w14:val="none"/>
        </w:rPr>
      </w:pPr>
      <w:r w:rsidRPr="00A87893">
        <w:rPr>
          <w:rFonts w:ascii="Verdana" w:eastAsia="Times New Roman" w:hAnsi="Verdana" w:cs="Times New Roman"/>
          <w:color w:val="000000"/>
          <w:kern w:val="0"/>
          <w:lang w:val="es-CO" w:eastAsia="es-MX"/>
          <w14:ligatures w14:val="none"/>
        </w:rPr>
        <w:t>Ambas iniciativas superaron el análisis de requisitos legales del Departamento Administrativo de Gestión Jurídica Pública, que les otorgó viabilidad jurídica formal.</w:t>
      </w:r>
    </w:p>
    <w:p w14:paraId="2F595954" w14:textId="7ECFBEC4" w:rsidR="00537D8F" w:rsidRDefault="00A87893" w:rsidP="00A87893">
      <w:r w:rsidRPr="00A87893">
        <w:rPr>
          <w:rFonts w:ascii="Times New Roman" w:eastAsia="Times New Roman" w:hAnsi="Times New Roman" w:cs="Times New Roman"/>
          <w:kern w:val="0"/>
          <w:lang w:val="es-CO" w:eastAsia="es-MX"/>
          <w14:ligatures w14:val="none"/>
        </w:rPr>
        <w:br/>
      </w:r>
      <w:r w:rsidRPr="00A87893">
        <w:rPr>
          <w:rFonts w:ascii="Verdana" w:eastAsia="Times New Roman" w:hAnsi="Verdana" w:cs="Times New Roman"/>
          <w:b/>
          <w:bCs/>
          <w:i/>
          <w:iCs/>
          <w:color w:val="000000"/>
          <w:kern w:val="0"/>
          <w:lang w:val="es-CO" w:eastAsia="es-MX"/>
          <w14:ligatures w14:val="none"/>
        </w:rPr>
        <w:t>Así recuperamos Cali:</w:t>
      </w:r>
      <w:r w:rsidRPr="00A87893">
        <w:rPr>
          <w:rFonts w:ascii="Verdana" w:eastAsia="Times New Roman" w:hAnsi="Verdana" w:cs="Times New Roman"/>
          <w:color w:val="000000"/>
          <w:kern w:val="0"/>
          <w:lang w:val="es-CO" w:eastAsia="es-MX"/>
          <w14:ligatures w14:val="none"/>
        </w:rPr>
        <w:t> a partir de propuestas concretas para recaudar con equidad, simplificar nuestra relación con el ciudadano y proteger a las familias más vulnerables a través del acceso a una vivienda digna.</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893"/>
    <w:rsid w:val="000B2285"/>
    <w:rsid w:val="001D3E0D"/>
    <w:rsid w:val="00537D8F"/>
    <w:rsid w:val="00A87893"/>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1FB2BE4"/>
  <w14:defaultImageDpi w14:val="32767"/>
  <w15:chartTrackingRefBased/>
  <w15:docId w15:val="{ACA0D8D9-B412-644B-A80F-986A2D58D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878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878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8789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8789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8789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8789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8789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8789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8789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8789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8789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8789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8789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8789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8789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8789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8789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87893"/>
    <w:rPr>
      <w:rFonts w:eastAsiaTheme="majorEastAsia" w:cstheme="majorBidi"/>
      <w:color w:val="272727" w:themeColor="text1" w:themeTint="D8"/>
    </w:rPr>
  </w:style>
  <w:style w:type="paragraph" w:styleId="Ttulo">
    <w:name w:val="Title"/>
    <w:basedOn w:val="Normal"/>
    <w:next w:val="Normal"/>
    <w:link w:val="TtuloCar"/>
    <w:uiPriority w:val="10"/>
    <w:qFormat/>
    <w:rsid w:val="00A8789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8789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8789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8789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8789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87893"/>
    <w:rPr>
      <w:i/>
      <w:iCs/>
      <w:color w:val="404040" w:themeColor="text1" w:themeTint="BF"/>
    </w:rPr>
  </w:style>
  <w:style w:type="paragraph" w:styleId="Prrafodelista">
    <w:name w:val="List Paragraph"/>
    <w:basedOn w:val="Normal"/>
    <w:uiPriority w:val="34"/>
    <w:qFormat/>
    <w:rsid w:val="00A87893"/>
    <w:pPr>
      <w:ind w:left="720"/>
      <w:contextualSpacing/>
    </w:pPr>
  </w:style>
  <w:style w:type="character" w:styleId="nfasisintenso">
    <w:name w:val="Intense Emphasis"/>
    <w:basedOn w:val="Fuentedeprrafopredeter"/>
    <w:uiPriority w:val="21"/>
    <w:qFormat/>
    <w:rsid w:val="00A87893"/>
    <w:rPr>
      <w:i/>
      <w:iCs/>
      <w:color w:val="2F5496" w:themeColor="accent1" w:themeShade="BF"/>
    </w:rPr>
  </w:style>
  <w:style w:type="paragraph" w:styleId="Citadestacada">
    <w:name w:val="Intense Quote"/>
    <w:basedOn w:val="Normal"/>
    <w:next w:val="Normal"/>
    <w:link w:val="CitadestacadaCar"/>
    <w:uiPriority w:val="30"/>
    <w:qFormat/>
    <w:rsid w:val="00A878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87893"/>
    <w:rPr>
      <w:i/>
      <w:iCs/>
      <w:color w:val="2F5496" w:themeColor="accent1" w:themeShade="BF"/>
    </w:rPr>
  </w:style>
  <w:style w:type="character" w:styleId="Referenciaintensa">
    <w:name w:val="Intense Reference"/>
    <w:basedOn w:val="Fuentedeprrafopredeter"/>
    <w:uiPriority w:val="32"/>
    <w:qFormat/>
    <w:rsid w:val="00A87893"/>
    <w:rPr>
      <w:b/>
      <w:bCs/>
      <w:smallCaps/>
      <w:color w:val="2F5496" w:themeColor="accent1" w:themeShade="BF"/>
      <w:spacing w:val="5"/>
    </w:rPr>
  </w:style>
  <w:style w:type="paragraph" w:styleId="NormalWeb">
    <w:name w:val="Normal (Web)"/>
    <w:basedOn w:val="Normal"/>
    <w:uiPriority w:val="99"/>
    <w:semiHidden/>
    <w:unhideWhenUsed/>
    <w:rsid w:val="00A87893"/>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521</Words>
  <Characters>2869</Characters>
  <Application>Microsoft Office Word</Application>
  <DocSecurity>0</DocSecurity>
  <Lines>23</Lines>
  <Paragraphs>6</Paragraphs>
  <ScaleCrop>false</ScaleCrop>
  <Company/>
  <LinksUpToDate>false</LinksUpToDate>
  <CharactersWithSpaces>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2026-04-20T16:03:00Z</dcterms:created>
  <dcterms:modified xsi:type="dcterms:W3CDTF">2026-04-20T16:04:00Z</dcterms:modified>
</cp:coreProperties>
</file>