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8D644"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b/>
          <w:bCs/>
          <w:color w:val="000000"/>
          <w:kern w:val="0"/>
          <w:lang w:val="es-CO" w:eastAsia="es-MX"/>
          <w14:ligatures w14:val="none"/>
        </w:rPr>
        <w:t>CONCEPTO 40 DEL 20 DE FEBRERO DE 2026</w:t>
      </w:r>
    </w:p>
    <w:p w14:paraId="3C609272"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b/>
          <w:bCs/>
          <w:color w:val="000000"/>
          <w:kern w:val="0"/>
          <w:lang w:val="es-CO" w:eastAsia="es-MX"/>
          <w14:ligatures w14:val="none"/>
        </w:rPr>
        <w:t>CONSEJO TÉCNICO DE LA CONTADURÍA PÚBLICA</w:t>
      </w:r>
    </w:p>
    <w:p w14:paraId="5FDEEB8B"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05FF12F5"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color w:val="000000"/>
          <w:kern w:val="0"/>
          <w:lang w:val="es-CO" w:eastAsia="es-MX"/>
          <w14:ligatures w14:val="none"/>
        </w:rPr>
        <w:t>Bogotá, D.C.,</w:t>
      </w:r>
    </w:p>
    <w:p w14:paraId="25870437"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47B98932"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color w:val="000000"/>
          <w:kern w:val="0"/>
          <w:lang w:val="es-CO" w:eastAsia="es-MX"/>
          <w14:ligatures w14:val="none"/>
        </w:rPr>
        <w:t>Señor (a)</w:t>
      </w:r>
    </w:p>
    <w:p w14:paraId="33D12D7D"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7ACAE495"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b/>
          <w:bCs/>
          <w:color w:val="000000"/>
          <w:kern w:val="0"/>
          <w:lang w:val="es-CO" w:eastAsia="es-MX"/>
          <w14:ligatures w14:val="none"/>
        </w:rPr>
        <w:t>REFERENCIA</w:t>
      </w:r>
    </w:p>
    <w:p w14:paraId="54B00F9B"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b/>
          <w:bCs/>
          <w:color w:val="000000"/>
          <w:kern w:val="0"/>
          <w:lang w:val="es-CO" w:eastAsia="es-MX"/>
          <w14:ligatures w14:val="none"/>
        </w:rPr>
        <w:t>No. del Radicado</w:t>
      </w:r>
      <w:r w:rsidRPr="0097202B">
        <w:rPr>
          <w:rFonts w:ascii="Verdana" w:eastAsia="Times New Roman" w:hAnsi="Verdana" w:cs="Times New Roman"/>
          <w:b/>
          <w:bCs/>
          <w:color w:val="000000"/>
          <w:kern w:val="0"/>
          <w:lang w:val="es-CO" w:eastAsia="es-MX"/>
          <w14:ligatures w14:val="none"/>
        </w:rPr>
        <w:tab/>
      </w:r>
      <w:r w:rsidRPr="0097202B">
        <w:rPr>
          <w:rFonts w:ascii="Verdana" w:eastAsia="Times New Roman" w:hAnsi="Verdana" w:cs="Times New Roman"/>
          <w:b/>
          <w:bCs/>
          <w:color w:val="000000"/>
          <w:kern w:val="0"/>
          <w:lang w:val="es-CO" w:eastAsia="es-MX"/>
          <w14:ligatures w14:val="none"/>
        </w:rPr>
        <w:tab/>
      </w:r>
      <w:r w:rsidRPr="0097202B">
        <w:rPr>
          <w:rFonts w:ascii="Verdana" w:eastAsia="Times New Roman" w:hAnsi="Verdana" w:cs="Times New Roman"/>
          <w:color w:val="000000"/>
          <w:kern w:val="0"/>
          <w:lang w:val="es-CO" w:eastAsia="es-MX"/>
          <w14:ligatures w14:val="none"/>
        </w:rPr>
        <w:t>1-2026-006005</w:t>
      </w:r>
    </w:p>
    <w:p w14:paraId="0153814F"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b/>
          <w:bCs/>
          <w:color w:val="000000"/>
          <w:kern w:val="0"/>
          <w:lang w:val="es-CO" w:eastAsia="es-MX"/>
          <w14:ligatures w14:val="none"/>
        </w:rPr>
        <w:t>Fecha de Radicado</w:t>
      </w:r>
      <w:r w:rsidRPr="0097202B">
        <w:rPr>
          <w:rFonts w:ascii="Verdana" w:eastAsia="Times New Roman" w:hAnsi="Verdana" w:cs="Times New Roman"/>
          <w:b/>
          <w:bCs/>
          <w:color w:val="000000"/>
          <w:kern w:val="0"/>
          <w:lang w:val="es-CO" w:eastAsia="es-MX"/>
          <w14:ligatures w14:val="none"/>
        </w:rPr>
        <w:tab/>
      </w:r>
      <w:r w:rsidRPr="0097202B">
        <w:rPr>
          <w:rFonts w:ascii="Verdana" w:eastAsia="Times New Roman" w:hAnsi="Verdana" w:cs="Times New Roman"/>
          <w:b/>
          <w:bCs/>
          <w:color w:val="000000"/>
          <w:kern w:val="0"/>
          <w:lang w:val="es-CO" w:eastAsia="es-MX"/>
          <w14:ligatures w14:val="none"/>
        </w:rPr>
        <w:tab/>
      </w:r>
      <w:r w:rsidRPr="0097202B">
        <w:rPr>
          <w:rFonts w:ascii="Verdana" w:eastAsia="Times New Roman" w:hAnsi="Verdana" w:cs="Times New Roman"/>
          <w:color w:val="000000"/>
          <w:kern w:val="0"/>
          <w:lang w:val="es-CO" w:eastAsia="es-MX"/>
          <w14:ligatures w14:val="none"/>
        </w:rPr>
        <w:t>20 de febrero de 2026</w:t>
      </w:r>
    </w:p>
    <w:p w14:paraId="7B945890"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proofErr w:type="spellStart"/>
      <w:r w:rsidRPr="0097202B">
        <w:rPr>
          <w:rFonts w:ascii="Verdana" w:eastAsia="Times New Roman" w:hAnsi="Verdana" w:cs="Times New Roman"/>
          <w:b/>
          <w:bCs/>
          <w:color w:val="000000"/>
          <w:kern w:val="0"/>
          <w:lang w:val="es-CO" w:eastAsia="es-MX"/>
          <w14:ligatures w14:val="none"/>
        </w:rPr>
        <w:t>Nº</w:t>
      </w:r>
      <w:proofErr w:type="spellEnd"/>
      <w:r w:rsidRPr="0097202B">
        <w:rPr>
          <w:rFonts w:ascii="Verdana" w:eastAsia="Times New Roman" w:hAnsi="Verdana" w:cs="Times New Roman"/>
          <w:b/>
          <w:bCs/>
          <w:color w:val="000000"/>
          <w:kern w:val="0"/>
          <w:lang w:val="es-CO" w:eastAsia="es-MX"/>
          <w14:ligatures w14:val="none"/>
        </w:rPr>
        <w:t xml:space="preserve"> de Radicación CTCP</w:t>
      </w:r>
      <w:r w:rsidRPr="0097202B">
        <w:rPr>
          <w:rFonts w:ascii="Verdana" w:eastAsia="Times New Roman" w:hAnsi="Verdana" w:cs="Times New Roman"/>
          <w:b/>
          <w:bCs/>
          <w:color w:val="000000"/>
          <w:kern w:val="0"/>
          <w:lang w:val="es-CO" w:eastAsia="es-MX"/>
          <w14:ligatures w14:val="none"/>
        </w:rPr>
        <w:tab/>
      </w:r>
      <w:r w:rsidRPr="0097202B">
        <w:rPr>
          <w:rFonts w:ascii="Verdana" w:eastAsia="Times New Roman" w:hAnsi="Verdana" w:cs="Times New Roman"/>
          <w:color w:val="000000"/>
          <w:kern w:val="0"/>
          <w:lang w:val="es-CO" w:eastAsia="es-MX"/>
          <w14:ligatures w14:val="none"/>
        </w:rPr>
        <w:t>2026-0040</w:t>
      </w:r>
    </w:p>
    <w:p w14:paraId="0516743E"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b/>
          <w:bCs/>
          <w:color w:val="000000"/>
          <w:kern w:val="0"/>
          <w:lang w:val="es-CO" w:eastAsia="es-MX"/>
          <w14:ligatures w14:val="none"/>
        </w:rPr>
        <w:t>Tema</w:t>
      </w:r>
      <w:r w:rsidRPr="0097202B">
        <w:rPr>
          <w:rFonts w:ascii="Verdana" w:eastAsia="Times New Roman" w:hAnsi="Verdana" w:cs="Times New Roman"/>
          <w:b/>
          <w:bCs/>
          <w:color w:val="000000"/>
          <w:kern w:val="0"/>
          <w:lang w:val="es-CO" w:eastAsia="es-MX"/>
          <w14:ligatures w14:val="none"/>
        </w:rPr>
        <w:tab/>
      </w:r>
      <w:r w:rsidRPr="0097202B">
        <w:rPr>
          <w:rFonts w:ascii="Verdana" w:eastAsia="Times New Roman" w:hAnsi="Verdana" w:cs="Times New Roman"/>
          <w:b/>
          <w:bCs/>
          <w:color w:val="000000"/>
          <w:kern w:val="0"/>
          <w:lang w:val="es-CO" w:eastAsia="es-MX"/>
          <w14:ligatures w14:val="none"/>
        </w:rPr>
        <w:tab/>
      </w:r>
      <w:r w:rsidRPr="0097202B">
        <w:rPr>
          <w:rFonts w:ascii="Verdana" w:eastAsia="Times New Roman" w:hAnsi="Verdana" w:cs="Times New Roman"/>
          <w:b/>
          <w:bCs/>
          <w:color w:val="000000"/>
          <w:kern w:val="0"/>
          <w:lang w:val="es-CO" w:eastAsia="es-MX"/>
          <w14:ligatures w14:val="none"/>
        </w:rPr>
        <w:tab/>
      </w:r>
      <w:r w:rsidRPr="0097202B">
        <w:rPr>
          <w:rFonts w:ascii="Verdana" w:eastAsia="Times New Roman" w:hAnsi="Verdana" w:cs="Times New Roman"/>
          <w:b/>
          <w:bCs/>
          <w:color w:val="000000"/>
          <w:kern w:val="0"/>
          <w:lang w:val="es-CO" w:eastAsia="es-MX"/>
          <w14:ligatures w14:val="none"/>
        </w:rPr>
        <w:tab/>
      </w:r>
      <w:r w:rsidRPr="0097202B">
        <w:rPr>
          <w:rFonts w:ascii="Verdana" w:eastAsia="Times New Roman" w:hAnsi="Verdana" w:cs="Times New Roman"/>
          <w:color w:val="000000"/>
          <w:kern w:val="0"/>
          <w:lang w:val="es-CO" w:eastAsia="es-MX"/>
          <w14:ligatures w14:val="none"/>
        </w:rPr>
        <w:t>PH - Renting bajo NIIF para las Pymes</w:t>
      </w:r>
    </w:p>
    <w:p w14:paraId="49762AFE"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555C1C27"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b/>
          <w:bCs/>
          <w:color w:val="000000"/>
          <w:kern w:val="0"/>
          <w:lang w:val="es-CO" w:eastAsia="es-MX"/>
          <w14:ligatures w14:val="none"/>
        </w:rPr>
        <w:t>CONSULTA (TEXTUAL)</w:t>
      </w:r>
    </w:p>
    <w:p w14:paraId="49B0E1C1"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21D17DEF"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i/>
          <w:iCs/>
          <w:color w:val="000000"/>
          <w:kern w:val="0"/>
          <w:sz w:val="22"/>
          <w:szCs w:val="22"/>
          <w:lang w:val="es-CO" w:eastAsia="es-MX"/>
          <w14:ligatures w14:val="none"/>
        </w:rPr>
        <w:t>“(…) Quisiera nos ayudaran con la interpretación del manejo contable en una Propiedad Horizontal de lo siguiente:</w:t>
      </w:r>
    </w:p>
    <w:p w14:paraId="7CD904F9"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2CA0CBC7"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i/>
          <w:iCs/>
          <w:color w:val="000000"/>
          <w:kern w:val="0"/>
          <w:sz w:val="22"/>
          <w:szCs w:val="22"/>
          <w:lang w:val="es-CO" w:eastAsia="es-MX"/>
          <w14:ligatures w14:val="none"/>
        </w:rPr>
        <w:t>La PH va a automatizar la entrada y salida a los parqueaderos del Centro Comercial, para esto ha firmado un contrato con una entidad que pone toda la infraestructura y software necesario para el funcionamiento, quien será la encargada de su funcionamiento, mantenimiento y actualización por lo que dure el contrato.</w:t>
      </w:r>
    </w:p>
    <w:p w14:paraId="2FB66CC8"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0478062F"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i/>
          <w:iCs/>
          <w:color w:val="000000"/>
          <w:kern w:val="0"/>
          <w:sz w:val="22"/>
          <w:szCs w:val="22"/>
          <w:lang w:val="es-CO" w:eastAsia="es-MX"/>
          <w14:ligatures w14:val="none"/>
        </w:rPr>
        <w:t>Interviene una tercera entidad que es la que presta el servicio de Renting para el financiamiento, la empresa que suministra los equipos vende a la empresa de Renting los mismos y la empresa de Renting cobra a la PH un canon mensual de arrendamiento.</w:t>
      </w:r>
    </w:p>
    <w:p w14:paraId="0B91DE2B"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7604C7B9"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i/>
          <w:iCs/>
          <w:color w:val="000000"/>
          <w:kern w:val="0"/>
          <w:sz w:val="22"/>
          <w:szCs w:val="22"/>
          <w:lang w:val="es-CO" w:eastAsia="es-MX"/>
          <w14:ligatures w14:val="none"/>
        </w:rPr>
        <w:t>Nos surge la duda sobre si bajo esta figura de Renting debe aplicarse la Sección 20 de NIIF para Pymes, en donde muy probablemente se cumpla 1 de las condiciones de la sección 20.5 y esto genere el reconocimiento de un activo y un pasivo.</w:t>
      </w:r>
    </w:p>
    <w:p w14:paraId="306EF593"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2BCFDB80"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i/>
          <w:iCs/>
          <w:color w:val="000000"/>
          <w:kern w:val="0"/>
          <w:sz w:val="22"/>
          <w:szCs w:val="22"/>
          <w:lang w:val="es-CO" w:eastAsia="es-MX"/>
          <w14:ligatures w14:val="none"/>
        </w:rPr>
        <w:t>También nos cuestionamos si estos activos serían bienes comunes y por ende bajo esa interpretación, no habría lugar a reconocer el activo y solo se contabilizaría cada mes el canon de arrendamiento pagado al Renting. (…)”</w:t>
      </w:r>
    </w:p>
    <w:p w14:paraId="602481D5"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7395BB64"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b/>
          <w:bCs/>
          <w:color w:val="000000"/>
          <w:kern w:val="0"/>
          <w:lang w:val="es-CO" w:eastAsia="es-MX"/>
          <w14:ligatures w14:val="none"/>
        </w:rPr>
        <w:t>RESUMEN:</w:t>
      </w:r>
    </w:p>
    <w:p w14:paraId="5242E490"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6B473E1A"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color w:val="000000"/>
          <w:kern w:val="0"/>
          <w:lang w:val="es-CO" w:eastAsia="es-MX"/>
          <w14:ligatures w14:val="none"/>
        </w:rPr>
        <w:t xml:space="preserve">Cuando una entidad celebra un contrato denominado de renting, debe analizar la sustancia económica del acuerdo con el fin de determinar si corresponde a un arrendamiento en los términos de la Sección 20, Arrendamientos de las NIIF para las PYMES, incorporada en el Anexo para el Grupo 2 del Decreto Único Reglamentario (DUR) 2420 de 2015, o si se trata de un contrato de prestación de servicios o un acuerdo combinado. </w:t>
      </w:r>
      <w:r w:rsidRPr="0097202B">
        <w:rPr>
          <w:rFonts w:ascii="Verdana" w:eastAsia="Times New Roman" w:hAnsi="Verdana" w:cs="Times New Roman"/>
          <w:color w:val="000000"/>
          <w:kern w:val="0"/>
          <w:lang w:val="es-CO" w:eastAsia="es-MX"/>
          <w14:ligatures w14:val="none"/>
        </w:rPr>
        <w:lastRenderedPageBreak/>
        <w:t>En caso de tratarse de un arrendamiento, el contrato deberá clasificarse como financiero u operativo dependiendo de si transfiere sustancialmente los riesgos y ventajas del activo. En las propiedades horizontales, si bien pueden considerarse aspectos jurídicos relacionados con los bienes comunes, el reconocimiento contable deberá fundamentarse en el análisis del control sobre los beneficios económicos o el potencial de servicio del recurso, conforme a los marcos técnicos normativos.</w:t>
      </w:r>
    </w:p>
    <w:p w14:paraId="27266AD3"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07DCF267"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b/>
          <w:bCs/>
          <w:color w:val="000000"/>
          <w:kern w:val="0"/>
          <w:lang w:val="es-CO" w:eastAsia="es-MX"/>
          <w14:ligatures w14:val="none"/>
        </w:rPr>
        <w:t>CONSIDERACIONES Y CONCEPTO</w:t>
      </w:r>
    </w:p>
    <w:p w14:paraId="424C136A"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7B91939C"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1AD8BA2A"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076AA5B8"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color w:val="000000"/>
          <w:kern w:val="0"/>
          <w:lang w:val="es-CO" w:eastAsia="es-MX"/>
          <w14:ligatures w14:val="none"/>
        </w:rPr>
        <w:t>Es importante señalar que las respuestas emitidas por este organismo se realizan con base en la información suministrada por el peticionario. De esta manera, se entiende que en el caso descrito intervienen tres partes:</w:t>
      </w:r>
    </w:p>
    <w:p w14:paraId="216429C2" w14:textId="77777777" w:rsidR="0097202B" w:rsidRPr="0097202B" w:rsidRDefault="0097202B" w:rsidP="0097202B">
      <w:pPr>
        <w:rPr>
          <w:rFonts w:ascii="Times New Roman" w:eastAsia="Times New Roman" w:hAnsi="Times New Roman" w:cs="Times New Roman"/>
          <w:kern w:val="0"/>
          <w:lang w:val="es-CO" w:eastAsia="es-MX"/>
          <w14:ligatures w14:val="none"/>
        </w:rPr>
      </w:pPr>
      <w:r w:rsidRPr="0097202B">
        <w:rPr>
          <w:rFonts w:ascii="Times New Roman" w:eastAsia="Times New Roman" w:hAnsi="Times New Roman" w:cs="Times New Roman"/>
          <w:kern w:val="0"/>
          <w:lang w:val="es-CO" w:eastAsia="es-MX"/>
          <w14:ligatures w14:val="none"/>
        </w:rPr>
        <w:br/>
      </w:r>
    </w:p>
    <w:p w14:paraId="1AA2CDDF" w14:textId="77777777" w:rsidR="0097202B" w:rsidRPr="0097202B" w:rsidRDefault="0097202B" w:rsidP="0097202B">
      <w:pPr>
        <w:numPr>
          <w:ilvl w:val="0"/>
          <w:numId w:val="1"/>
        </w:numPr>
        <w:jc w:val="both"/>
        <w:textAlignment w:val="baseline"/>
        <w:rPr>
          <w:rFonts w:ascii="Verdana" w:eastAsia="Times New Roman" w:hAnsi="Verdana" w:cs="Times New Roman"/>
          <w:color w:val="000000"/>
          <w:kern w:val="0"/>
          <w:lang w:val="es-CO" w:eastAsia="es-MX"/>
          <w14:ligatures w14:val="none"/>
        </w:rPr>
      </w:pPr>
      <w:r w:rsidRPr="0097202B">
        <w:rPr>
          <w:rFonts w:ascii="Verdana" w:eastAsia="Times New Roman" w:hAnsi="Verdana" w:cs="Times New Roman"/>
          <w:b/>
          <w:bCs/>
          <w:color w:val="000000"/>
          <w:kern w:val="0"/>
          <w:lang w:val="es-CO" w:eastAsia="es-MX"/>
          <w14:ligatures w14:val="none"/>
        </w:rPr>
        <w:t>Proveedor del sistema:</w:t>
      </w:r>
      <w:r w:rsidRPr="0097202B">
        <w:rPr>
          <w:rFonts w:ascii="Verdana" w:eastAsia="Times New Roman" w:hAnsi="Verdana" w:cs="Times New Roman"/>
          <w:color w:val="000000"/>
          <w:kern w:val="0"/>
          <w:lang w:val="es-CO" w:eastAsia="es-MX"/>
          <w14:ligatures w14:val="none"/>
        </w:rPr>
        <w:t xml:space="preserve"> suministra equipos, la infraestructura tecnológica y software para la automatización del control de acceso a los parqueaderos.</w:t>
      </w:r>
    </w:p>
    <w:p w14:paraId="72C0A80B" w14:textId="77777777" w:rsidR="0097202B" w:rsidRPr="0097202B" w:rsidRDefault="0097202B" w:rsidP="0097202B">
      <w:pPr>
        <w:numPr>
          <w:ilvl w:val="0"/>
          <w:numId w:val="1"/>
        </w:numPr>
        <w:jc w:val="both"/>
        <w:textAlignment w:val="baseline"/>
        <w:rPr>
          <w:rFonts w:ascii="Verdana" w:eastAsia="Times New Roman" w:hAnsi="Verdana" w:cs="Times New Roman"/>
          <w:color w:val="000000"/>
          <w:kern w:val="0"/>
          <w:lang w:val="es-CO" w:eastAsia="es-MX"/>
          <w14:ligatures w14:val="none"/>
        </w:rPr>
      </w:pPr>
      <w:r w:rsidRPr="0097202B">
        <w:rPr>
          <w:rFonts w:ascii="Verdana" w:eastAsia="Times New Roman" w:hAnsi="Verdana" w:cs="Times New Roman"/>
          <w:b/>
          <w:bCs/>
          <w:color w:val="000000"/>
          <w:kern w:val="0"/>
          <w:lang w:val="es-CO" w:eastAsia="es-MX"/>
          <w14:ligatures w14:val="none"/>
        </w:rPr>
        <w:t>Entidad de Renting:</w:t>
      </w:r>
      <w:r w:rsidRPr="0097202B">
        <w:rPr>
          <w:rFonts w:ascii="Verdana" w:eastAsia="Times New Roman" w:hAnsi="Verdana" w:cs="Times New Roman"/>
          <w:color w:val="000000"/>
          <w:kern w:val="0"/>
          <w:lang w:val="es-CO" w:eastAsia="es-MX"/>
          <w14:ligatures w14:val="none"/>
        </w:rPr>
        <w:t xml:space="preserve"> adquiere los equipos al proveedor y los entrega a la propiedad horizontal mediante un contrato denominado “Renting”.</w:t>
      </w:r>
    </w:p>
    <w:p w14:paraId="63FBAB80" w14:textId="77777777" w:rsidR="0097202B" w:rsidRPr="0097202B" w:rsidRDefault="0097202B" w:rsidP="0097202B">
      <w:pPr>
        <w:numPr>
          <w:ilvl w:val="0"/>
          <w:numId w:val="1"/>
        </w:numPr>
        <w:jc w:val="both"/>
        <w:textAlignment w:val="baseline"/>
        <w:rPr>
          <w:rFonts w:ascii="Verdana" w:eastAsia="Times New Roman" w:hAnsi="Verdana" w:cs="Times New Roman"/>
          <w:color w:val="000000"/>
          <w:kern w:val="0"/>
          <w:lang w:val="es-CO" w:eastAsia="es-MX"/>
          <w14:ligatures w14:val="none"/>
        </w:rPr>
      </w:pPr>
      <w:r w:rsidRPr="0097202B">
        <w:rPr>
          <w:rFonts w:ascii="Verdana" w:eastAsia="Times New Roman" w:hAnsi="Verdana" w:cs="Times New Roman"/>
          <w:b/>
          <w:bCs/>
          <w:color w:val="000000"/>
          <w:kern w:val="0"/>
          <w:lang w:val="es-CO" w:eastAsia="es-MX"/>
          <w14:ligatures w14:val="none"/>
        </w:rPr>
        <w:t>Propiedad Horizontal (PH):</w:t>
      </w:r>
      <w:r w:rsidRPr="0097202B">
        <w:rPr>
          <w:rFonts w:ascii="Verdana" w:eastAsia="Times New Roman" w:hAnsi="Verdana" w:cs="Times New Roman"/>
          <w:color w:val="000000"/>
          <w:kern w:val="0"/>
          <w:lang w:val="es-CO" w:eastAsia="es-MX"/>
          <w14:ligatures w14:val="none"/>
        </w:rPr>
        <w:t xml:space="preserve"> paga un canon mensual por el uso del sistema.</w:t>
      </w:r>
    </w:p>
    <w:p w14:paraId="48EF30EE"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1B34F5BA"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color w:val="000000"/>
          <w:kern w:val="0"/>
          <w:lang w:val="es-CO" w:eastAsia="es-MX"/>
          <w14:ligatures w14:val="none"/>
        </w:rPr>
        <w:t>Según lo indicado en la consulta, la copropiedad paga un canon por el uso de la infraestructura y del sistema tecnológico. No obstante, para efectos contables, la entidad deberá analizar las condiciones sustanciales del acuerdo con el fin de determinar si el contrato corresponde efectivamente a un arrendamiento, en los términos de la Sección 20 -Arrendamientos, párrafo 20.2 del Anexo para el Grupo 2 del DUR 2420 de 2015, o si se trata de un contrato de prestación de servicios o un acuerdo que combine ambos componentes, en cuyo caso deberá evaluarse la posibilidad de su separación si resulta practicable.</w:t>
      </w:r>
    </w:p>
    <w:p w14:paraId="59C39D30"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40721241"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color w:val="000000"/>
          <w:kern w:val="0"/>
          <w:lang w:val="es-CO" w:eastAsia="es-MX"/>
          <w14:ligatures w14:val="none"/>
        </w:rPr>
        <w:lastRenderedPageBreak/>
        <w:t>La Sección 20 establece que un arrendamiento es un acuerdo mediante el cual el arrendador transfiere al arrendatario el derecho de usar un activo durante un periodo determinado a cambio de uno o varios pagos.</w:t>
      </w:r>
    </w:p>
    <w:p w14:paraId="73331CF4"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0AEAB893"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color w:val="000000"/>
          <w:kern w:val="0"/>
          <w:lang w:val="es-CO" w:eastAsia="es-MX"/>
          <w14:ligatures w14:val="none"/>
        </w:rPr>
        <w:t>En su párrafo 20.5, establece que un arrendamiento se clasifica como financiero cuando transfiere sustancialmente todos los riesgos y ventajas inherentes a la propiedad del activo. Para efectos de esta evaluación, el estándar identifica, entre otros, los siguientes indicadores:</w:t>
      </w:r>
    </w:p>
    <w:p w14:paraId="69B7A383" w14:textId="77777777" w:rsidR="0097202B" w:rsidRPr="0097202B" w:rsidRDefault="0097202B" w:rsidP="0097202B">
      <w:pPr>
        <w:rPr>
          <w:rFonts w:ascii="Times New Roman" w:eastAsia="Times New Roman" w:hAnsi="Times New Roman" w:cs="Times New Roman"/>
          <w:kern w:val="0"/>
          <w:lang w:val="es-CO" w:eastAsia="es-MX"/>
          <w14:ligatures w14:val="none"/>
        </w:rPr>
      </w:pPr>
      <w:r w:rsidRPr="0097202B">
        <w:rPr>
          <w:rFonts w:ascii="Times New Roman" w:eastAsia="Times New Roman" w:hAnsi="Times New Roman" w:cs="Times New Roman"/>
          <w:kern w:val="0"/>
          <w:lang w:val="es-CO" w:eastAsia="es-MX"/>
          <w14:ligatures w14:val="none"/>
        </w:rPr>
        <w:br/>
      </w:r>
    </w:p>
    <w:p w14:paraId="4508B6B3" w14:textId="77777777" w:rsidR="0097202B" w:rsidRPr="0097202B" w:rsidRDefault="0097202B" w:rsidP="0097202B">
      <w:pPr>
        <w:numPr>
          <w:ilvl w:val="0"/>
          <w:numId w:val="2"/>
        </w:numPr>
        <w:jc w:val="both"/>
        <w:textAlignment w:val="baseline"/>
        <w:rPr>
          <w:rFonts w:ascii="Verdana" w:eastAsia="Times New Roman" w:hAnsi="Verdana" w:cs="Times New Roman"/>
          <w:color w:val="000000"/>
          <w:kern w:val="0"/>
          <w:lang w:val="es-CO" w:eastAsia="es-MX"/>
          <w14:ligatures w14:val="none"/>
        </w:rPr>
      </w:pPr>
      <w:r w:rsidRPr="0097202B">
        <w:rPr>
          <w:rFonts w:ascii="Verdana" w:eastAsia="Times New Roman" w:hAnsi="Verdana" w:cs="Times New Roman"/>
          <w:color w:val="000000"/>
          <w:kern w:val="0"/>
          <w:lang w:val="es-CO" w:eastAsia="es-MX"/>
          <w14:ligatures w14:val="none"/>
        </w:rPr>
        <w:t>Transferencia de la propiedad al final del contrato.</w:t>
      </w:r>
    </w:p>
    <w:p w14:paraId="7A55D042" w14:textId="77777777" w:rsidR="0097202B" w:rsidRPr="0097202B" w:rsidRDefault="0097202B" w:rsidP="0097202B">
      <w:pPr>
        <w:numPr>
          <w:ilvl w:val="0"/>
          <w:numId w:val="2"/>
        </w:numPr>
        <w:jc w:val="both"/>
        <w:textAlignment w:val="baseline"/>
        <w:rPr>
          <w:rFonts w:ascii="Verdana" w:eastAsia="Times New Roman" w:hAnsi="Verdana" w:cs="Times New Roman"/>
          <w:color w:val="000000"/>
          <w:kern w:val="0"/>
          <w:lang w:val="es-CO" w:eastAsia="es-MX"/>
          <w14:ligatures w14:val="none"/>
        </w:rPr>
      </w:pPr>
      <w:r w:rsidRPr="0097202B">
        <w:rPr>
          <w:rFonts w:ascii="Verdana" w:eastAsia="Times New Roman" w:hAnsi="Verdana" w:cs="Times New Roman"/>
          <w:color w:val="000000"/>
          <w:kern w:val="0"/>
          <w:lang w:val="es-CO" w:eastAsia="es-MX"/>
          <w14:ligatures w14:val="none"/>
        </w:rPr>
        <w:t>Existencia de una opción de compra a precio inferior al valor razonable del activo.</w:t>
      </w:r>
    </w:p>
    <w:p w14:paraId="49236F02" w14:textId="77777777" w:rsidR="0097202B" w:rsidRPr="0097202B" w:rsidRDefault="0097202B" w:rsidP="0097202B">
      <w:pPr>
        <w:numPr>
          <w:ilvl w:val="0"/>
          <w:numId w:val="2"/>
        </w:numPr>
        <w:jc w:val="both"/>
        <w:textAlignment w:val="baseline"/>
        <w:rPr>
          <w:rFonts w:ascii="Verdana" w:eastAsia="Times New Roman" w:hAnsi="Verdana" w:cs="Times New Roman"/>
          <w:color w:val="000000"/>
          <w:kern w:val="0"/>
          <w:lang w:val="es-CO" w:eastAsia="es-MX"/>
          <w14:ligatures w14:val="none"/>
        </w:rPr>
      </w:pPr>
      <w:r w:rsidRPr="0097202B">
        <w:rPr>
          <w:rFonts w:ascii="Verdana" w:eastAsia="Times New Roman" w:hAnsi="Verdana" w:cs="Times New Roman"/>
          <w:color w:val="000000"/>
          <w:kern w:val="0"/>
          <w:lang w:val="es-CO" w:eastAsia="es-MX"/>
          <w14:ligatures w14:val="none"/>
        </w:rPr>
        <w:t>Que el plazo del arrendamiento cubra la mayor parte de la vida económica del activo.</w:t>
      </w:r>
    </w:p>
    <w:p w14:paraId="6F66834E" w14:textId="77777777" w:rsidR="0097202B" w:rsidRPr="0097202B" w:rsidRDefault="0097202B" w:rsidP="0097202B">
      <w:pPr>
        <w:numPr>
          <w:ilvl w:val="0"/>
          <w:numId w:val="2"/>
        </w:numPr>
        <w:jc w:val="both"/>
        <w:textAlignment w:val="baseline"/>
        <w:rPr>
          <w:rFonts w:ascii="Verdana" w:eastAsia="Times New Roman" w:hAnsi="Verdana" w:cs="Times New Roman"/>
          <w:color w:val="000000"/>
          <w:kern w:val="0"/>
          <w:lang w:val="es-CO" w:eastAsia="es-MX"/>
          <w14:ligatures w14:val="none"/>
        </w:rPr>
      </w:pPr>
      <w:r w:rsidRPr="0097202B">
        <w:rPr>
          <w:rFonts w:ascii="Verdana" w:eastAsia="Times New Roman" w:hAnsi="Verdana" w:cs="Times New Roman"/>
          <w:color w:val="000000"/>
          <w:kern w:val="0"/>
          <w:lang w:val="es-CO" w:eastAsia="es-MX"/>
          <w14:ligatures w14:val="none"/>
        </w:rPr>
        <w:t>Que el valor presente de los pagos mínimos por arrendamiento sea sustancialmente equivalente al valor razonable del activo.</w:t>
      </w:r>
    </w:p>
    <w:p w14:paraId="4AC83089" w14:textId="77777777" w:rsidR="0097202B" w:rsidRPr="0097202B" w:rsidRDefault="0097202B" w:rsidP="0097202B">
      <w:pPr>
        <w:numPr>
          <w:ilvl w:val="0"/>
          <w:numId w:val="2"/>
        </w:numPr>
        <w:jc w:val="both"/>
        <w:textAlignment w:val="baseline"/>
        <w:rPr>
          <w:rFonts w:ascii="Verdana" w:eastAsia="Times New Roman" w:hAnsi="Verdana" w:cs="Times New Roman"/>
          <w:color w:val="000000"/>
          <w:kern w:val="0"/>
          <w:lang w:val="es-CO" w:eastAsia="es-MX"/>
          <w14:ligatures w14:val="none"/>
        </w:rPr>
      </w:pPr>
      <w:r w:rsidRPr="0097202B">
        <w:rPr>
          <w:rFonts w:ascii="Verdana" w:eastAsia="Times New Roman" w:hAnsi="Verdana" w:cs="Times New Roman"/>
          <w:color w:val="000000"/>
          <w:kern w:val="0"/>
          <w:lang w:val="es-CO" w:eastAsia="es-MX"/>
          <w14:ligatures w14:val="none"/>
        </w:rPr>
        <w:t>Que el activo sea de naturaleza especializada.</w:t>
      </w:r>
    </w:p>
    <w:p w14:paraId="7CFAD281"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3D6A9DCB"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color w:val="000000"/>
          <w:kern w:val="0"/>
          <w:lang w:val="es-CO" w:eastAsia="es-MX"/>
          <w14:ligatures w14:val="none"/>
        </w:rPr>
        <w:t>La presencia de uno o varios de estos indicadores deberá evaluarse en conjunto, atendiendo a la sustancia económica del acuerdo, sin que por sí sola la denominación contractual determine su clasificación.</w:t>
      </w:r>
    </w:p>
    <w:p w14:paraId="3E34430C"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75FCF614"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color w:val="000000"/>
          <w:kern w:val="0"/>
          <w:lang w:val="es-CO" w:eastAsia="es-MX"/>
          <w14:ligatures w14:val="none"/>
        </w:rPr>
        <w:t>Si del análisis del contrato se concluye que se transfieren sustancialmente los riesgos y ventajas, el contrato se clasifica como arrendamiento financiero, lo cual implicaría reconocer un activo objeto del arrendamiento y un pasivo por arrendamiento, de conformidad con los párrafos 20.9 y 20.10 del Anexo para el Grupo 2 del DUR 2420 de 2015.</w:t>
      </w:r>
    </w:p>
    <w:p w14:paraId="04794B7D"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3C51B561"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color w:val="000000"/>
          <w:kern w:val="0"/>
          <w:lang w:val="es-CO" w:eastAsia="es-MX"/>
          <w14:ligatures w14:val="none"/>
        </w:rPr>
        <w:t>Por el contrario, si del análisis no se evidencia dicha transferencia, el contrato se clasificará como arrendamiento operativo, lo cual implica reconocer el canon como gasto durante el periodo del contrato, conforme a lo establecido en el párrafo 20.15 del mismo marco normativo.</w:t>
      </w:r>
    </w:p>
    <w:p w14:paraId="25A82235"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3E35082C"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color w:val="000000"/>
          <w:kern w:val="0"/>
          <w:lang w:val="es-CO" w:eastAsia="es-MX"/>
          <w14:ligatures w14:val="none"/>
        </w:rPr>
        <w:t>Ahora bien, tratándose de propiedades horizontales, es pertinente considerar lo establecido en la Ley 675 de 2001 respecto de los bienes comunes. No obstante, para efectos de la información financiera, la clasificación contable no depende exclusivamente de la naturaleza jurídica de dichos bienes, sino del análisis de control sobre los beneficios económicos o el potencial de servicio del recurso, conforme a los marcos técnicos normativos.</w:t>
      </w:r>
    </w:p>
    <w:p w14:paraId="13874D50"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48ADBAEC"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color w:val="000000"/>
          <w:kern w:val="0"/>
          <w:lang w:val="es-CO" w:eastAsia="es-MX"/>
          <w14:ligatures w14:val="none"/>
        </w:rPr>
        <w:t xml:space="preserve">Sobre este aspecto, el Documento de Orientación Técnica – DOT 15 – Actualizado – Propiedades horizontales de uso residencial o mixto grupos 2 y 3, señala que estas entidades deben reconocer en sus estados </w:t>
      </w:r>
      <w:r w:rsidRPr="0097202B">
        <w:rPr>
          <w:rFonts w:ascii="Verdana" w:eastAsia="Times New Roman" w:hAnsi="Verdana" w:cs="Times New Roman"/>
          <w:color w:val="000000"/>
          <w:kern w:val="0"/>
          <w:lang w:val="es-CO" w:eastAsia="es-MX"/>
          <w14:ligatures w14:val="none"/>
        </w:rPr>
        <w:lastRenderedPageBreak/>
        <w:t>financieros aquellos recursos que controla y sobre los cuales obtiene beneficios económicos o potencial de servicio, independientemente de su denominación jurídica.</w:t>
      </w:r>
    </w:p>
    <w:p w14:paraId="4BE8C6CD"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3C1F82DC"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color w:val="000000"/>
          <w:kern w:val="0"/>
          <w:lang w:val="es-CO" w:eastAsia="es-MX"/>
          <w14:ligatures w14:val="none"/>
        </w:rPr>
        <w:t>Po (sic) lo anterior, la administración de la propiedad horizontal deberá evaluar, con base en las condiciones contractuales, si el acuerdo de renting le otorga el derecho de uso de un activo específico y si asume sustancialmente los riesgos y ventajas asociados, o si, por el contrario, recibe un servicio integral de automatización que incluye infraestructura, operación, mantenimiento y actualización.</w:t>
      </w:r>
    </w:p>
    <w:p w14:paraId="1FEC0A57"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3D556BF8"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color w:val="000000"/>
          <w:kern w:val="0"/>
          <w:lang w:val="es-CO" w:eastAsia="es-MX"/>
          <w14:ligatures w14:val="none"/>
        </w:rPr>
        <w:t>Si del análisis se concluye que la copropiedad no controla el activo subyacente y que el acuerdo corresponde, en esencia, a la prestación de un servicio, no habría lugar al reconocimiento de un activo ni de un pasivo por arrendamiento, reconociéndose los pagos como gasto durante el periodo correspondiente.</w:t>
      </w:r>
    </w:p>
    <w:p w14:paraId="111BE40F"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7608DA8E"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color w:val="000000"/>
          <w:kern w:val="0"/>
          <w:lang w:val="es-CO" w:eastAsia="es-MX"/>
          <w14:ligatures w14:val="none"/>
        </w:rPr>
        <w:t>Por el contrario, si el acuerdo cumple la definición y condiciones de un arrendamiento en los términos de la Sección 20 de la NIIF para las PYMES, la copropiedad deberá aplicar las disposiciones establecidas en dicha sección para su reconocimiento, medición y presentación.</w:t>
      </w:r>
    </w:p>
    <w:p w14:paraId="4CB561E3"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6579154F"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71335B5A" w14:textId="77777777" w:rsidR="0097202B" w:rsidRPr="0097202B" w:rsidRDefault="0097202B" w:rsidP="0097202B">
      <w:pPr>
        <w:spacing w:after="240"/>
        <w:rPr>
          <w:rFonts w:ascii="Times New Roman" w:eastAsia="Times New Roman" w:hAnsi="Times New Roman" w:cs="Times New Roman"/>
          <w:kern w:val="0"/>
          <w:lang w:val="es-CO" w:eastAsia="es-MX"/>
          <w14:ligatures w14:val="none"/>
        </w:rPr>
      </w:pPr>
    </w:p>
    <w:p w14:paraId="5A447BDD"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color w:val="000000"/>
          <w:kern w:val="0"/>
          <w:lang w:val="es-CO" w:eastAsia="es-MX"/>
          <w14:ligatures w14:val="none"/>
        </w:rPr>
        <w:t>Cordialmente,</w:t>
      </w:r>
    </w:p>
    <w:p w14:paraId="1050A3FB" w14:textId="77777777" w:rsidR="0097202B" w:rsidRPr="0097202B" w:rsidRDefault="0097202B" w:rsidP="0097202B">
      <w:pPr>
        <w:spacing w:after="240"/>
        <w:rPr>
          <w:rFonts w:ascii="Times New Roman" w:eastAsia="Times New Roman" w:hAnsi="Times New Roman" w:cs="Times New Roman"/>
          <w:kern w:val="0"/>
          <w:lang w:val="es-CO" w:eastAsia="es-MX"/>
          <w14:ligatures w14:val="none"/>
        </w:rPr>
      </w:pPr>
      <w:r w:rsidRPr="0097202B">
        <w:rPr>
          <w:rFonts w:ascii="Times New Roman" w:eastAsia="Times New Roman" w:hAnsi="Times New Roman" w:cs="Times New Roman"/>
          <w:kern w:val="0"/>
          <w:lang w:val="es-CO" w:eastAsia="es-MX"/>
          <w14:ligatures w14:val="none"/>
        </w:rPr>
        <w:br/>
      </w:r>
    </w:p>
    <w:p w14:paraId="00AF8DBC"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b/>
          <w:bCs/>
          <w:color w:val="000000"/>
          <w:kern w:val="0"/>
          <w:lang w:val="es-CO" w:eastAsia="es-MX"/>
          <w14:ligatures w14:val="none"/>
        </w:rPr>
        <w:t>JORGE HERNANDO RODRÍGUEZ HERRERA</w:t>
      </w:r>
    </w:p>
    <w:p w14:paraId="69DD0597" w14:textId="77777777" w:rsidR="0097202B" w:rsidRPr="0097202B" w:rsidRDefault="0097202B" w:rsidP="0097202B">
      <w:pPr>
        <w:jc w:val="both"/>
        <w:rPr>
          <w:rFonts w:ascii="Times New Roman" w:eastAsia="Times New Roman" w:hAnsi="Times New Roman" w:cs="Times New Roman"/>
          <w:kern w:val="0"/>
          <w:lang w:val="es-CO" w:eastAsia="es-MX"/>
          <w14:ligatures w14:val="none"/>
        </w:rPr>
      </w:pPr>
      <w:r w:rsidRPr="0097202B">
        <w:rPr>
          <w:rFonts w:ascii="Verdana" w:eastAsia="Times New Roman" w:hAnsi="Verdana" w:cs="Times New Roman"/>
          <w:color w:val="000000"/>
          <w:kern w:val="0"/>
          <w:lang w:val="es-CO" w:eastAsia="es-MX"/>
          <w14:ligatures w14:val="none"/>
        </w:rPr>
        <w:t>Consejero – CTCP</w:t>
      </w:r>
    </w:p>
    <w:p w14:paraId="5F2C56B5" w14:textId="77777777" w:rsidR="0097202B" w:rsidRPr="0097202B" w:rsidRDefault="0097202B" w:rsidP="0097202B">
      <w:pPr>
        <w:rPr>
          <w:rFonts w:ascii="Times New Roman" w:eastAsia="Times New Roman" w:hAnsi="Times New Roman" w:cs="Times New Roman"/>
          <w:kern w:val="0"/>
          <w:lang w:val="es-CO" w:eastAsia="es-MX"/>
          <w14:ligatures w14:val="none"/>
        </w:rPr>
      </w:pPr>
    </w:p>
    <w:p w14:paraId="7841A539"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B33428"/>
    <w:multiLevelType w:val="multilevel"/>
    <w:tmpl w:val="3EE40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A1C618E"/>
    <w:multiLevelType w:val="multilevel"/>
    <w:tmpl w:val="83C46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1956160">
    <w:abstractNumId w:val="0"/>
  </w:num>
  <w:num w:numId="2" w16cid:durableId="1769642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02B"/>
    <w:rsid w:val="000B2285"/>
    <w:rsid w:val="0050630A"/>
    <w:rsid w:val="00537D8F"/>
    <w:rsid w:val="0097202B"/>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166AE52"/>
  <w14:defaultImageDpi w14:val="32767"/>
  <w15:chartTrackingRefBased/>
  <w15:docId w15:val="{D8A6C385-6A9D-BA44-B539-C1F916BEF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7202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7202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7202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7202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7202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7202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7202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7202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7202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7202B"/>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7202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7202B"/>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7202B"/>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7202B"/>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7202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7202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7202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7202B"/>
    <w:rPr>
      <w:rFonts w:eastAsiaTheme="majorEastAsia" w:cstheme="majorBidi"/>
      <w:color w:val="272727" w:themeColor="text1" w:themeTint="D8"/>
    </w:rPr>
  </w:style>
  <w:style w:type="paragraph" w:styleId="Ttulo">
    <w:name w:val="Title"/>
    <w:basedOn w:val="Normal"/>
    <w:next w:val="Normal"/>
    <w:link w:val="TtuloCar"/>
    <w:uiPriority w:val="10"/>
    <w:qFormat/>
    <w:rsid w:val="0097202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7202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7202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7202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7202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97202B"/>
    <w:rPr>
      <w:i/>
      <w:iCs/>
      <w:color w:val="404040" w:themeColor="text1" w:themeTint="BF"/>
    </w:rPr>
  </w:style>
  <w:style w:type="paragraph" w:styleId="Prrafodelista">
    <w:name w:val="List Paragraph"/>
    <w:basedOn w:val="Normal"/>
    <w:uiPriority w:val="34"/>
    <w:qFormat/>
    <w:rsid w:val="0097202B"/>
    <w:pPr>
      <w:ind w:left="720"/>
      <w:contextualSpacing/>
    </w:pPr>
  </w:style>
  <w:style w:type="character" w:styleId="nfasisintenso">
    <w:name w:val="Intense Emphasis"/>
    <w:basedOn w:val="Fuentedeprrafopredeter"/>
    <w:uiPriority w:val="21"/>
    <w:qFormat/>
    <w:rsid w:val="0097202B"/>
    <w:rPr>
      <w:i/>
      <w:iCs/>
      <w:color w:val="2F5496" w:themeColor="accent1" w:themeShade="BF"/>
    </w:rPr>
  </w:style>
  <w:style w:type="paragraph" w:styleId="Citadestacada">
    <w:name w:val="Intense Quote"/>
    <w:basedOn w:val="Normal"/>
    <w:next w:val="Normal"/>
    <w:link w:val="CitadestacadaCar"/>
    <w:uiPriority w:val="30"/>
    <w:qFormat/>
    <w:rsid w:val="0097202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7202B"/>
    <w:rPr>
      <w:i/>
      <w:iCs/>
      <w:color w:val="2F5496" w:themeColor="accent1" w:themeShade="BF"/>
    </w:rPr>
  </w:style>
  <w:style w:type="character" w:styleId="Referenciaintensa">
    <w:name w:val="Intense Reference"/>
    <w:basedOn w:val="Fuentedeprrafopredeter"/>
    <w:uiPriority w:val="32"/>
    <w:qFormat/>
    <w:rsid w:val="0097202B"/>
    <w:rPr>
      <w:b/>
      <w:bCs/>
      <w:smallCaps/>
      <w:color w:val="2F5496" w:themeColor="accent1" w:themeShade="BF"/>
      <w:spacing w:val="5"/>
    </w:rPr>
  </w:style>
  <w:style w:type="paragraph" w:styleId="NormalWeb">
    <w:name w:val="Normal (Web)"/>
    <w:basedOn w:val="Normal"/>
    <w:uiPriority w:val="99"/>
    <w:semiHidden/>
    <w:unhideWhenUsed/>
    <w:rsid w:val="0097202B"/>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9720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1226</Words>
  <Characters>6743</Characters>
  <Application>Microsoft Office Word</Application>
  <DocSecurity>0</DocSecurity>
  <Lines>56</Lines>
  <Paragraphs>15</Paragraphs>
  <ScaleCrop>false</ScaleCrop>
  <Company/>
  <LinksUpToDate>false</LinksUpToDate>
  <CharactersWithSpaces>7954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2026-04-09T13:09:00Z</dcterms:created>
  <dcterms:modified xsi:type="dcterms:W3CDTF">2026-04-09T13:10:00Z</dcterms:modified>
</cp:coreProperties>
</file>