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5363B4"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b/>
          <w:bCs/>
          <w:color w:val="000000"/>
          <w:kern w:val="0"/>
          <w:lang w:val="es-CO" w:eastAsia="es-MX"/>
          <w14:ligatures w14:val="none"/>
        </w:rPr>
        <w:t>CONCEPTO 49 DEL 26 DE FEBRERO DE 2026</w:t>
      </w:r>
    </w:p>
    <w:p w14:paraId="0624CE5B"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b/>
          <w:bCs/>
          <w:color w:val="000000"/>
          <w:kern w:val="0"/>
          <w:lang w:val="es-CO" w:eastAsia="es-MX"/>
          <w14:ligatures w14:val="none"/>
        </w:rPr>
        <w:t>CONSEJO TÉCNICO DE LA CONTADURÍA PÚBLICA</w:t>
      </w:r>
    </w:p>
    <w:p w14:paraId="4D0D23FE" w14:textId="77777777" w:rsidR="001D3EF6" w:rsidRPr="001D3EF6" w:rsidRDefault="001D3EF6" w:rsidP="001D3EF6">
      <w:pPr>
        <w:rPr>
          <w:rFonts w:ascii="Times New Roman" w:eastAsia="Times New Roman" w:hAnsi="Times New Roman" w:cs="Times New Roman"/>
          <w:kern w:val="0"/>
          <w:lang w:val="es-CO" w:eastAsia="es-MX"/>
          <w14:ligatures w14:val="none"/>
        </w:rPr>
      </w:pPr>
    </w:p>
    <w:p w14:paraId="0C2AA430"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color w:val="000000"/>
          <w:kern w:val="0"/>
          <w:lang w:val="es-CO" w:eastAsia="es-MX"/>
          <w14:ligatures w14:val="none"/>
        </w:rPr>
        <w:t>Bogotá, D.C., </w:t>
      </w:r>
    </w:p>
    <w:p w14:paraId="5AE981E7" w14:textId="77777777" w:rsidR="001D3EF6" w:rsidRPr="001D3EF6" w:rsidRDefault="001D3EF6" w:rsidP="001D3EF6">
      <w:pPr>
        <w:rPr>
          <w:rFonts w:ascii="Times New Roman" w:eastAsia="Times New Roman" w:hAnsi="Times New Roman" w:cs="Times New Roman"/>
          <w:kern w:val="0"/>
          <w:lang w:val="es-CO" w:eastAsia="es-MX"/>
          <w14:ligatures w14:val="none"/>
        </w:rPr>
      </w:pPr>
    </w:p>
    <w:p w14:paraId="4B296B29"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color w:val="000000"/>
          <w:kern w:val="0"/>
          <w:lang w:val="es-CO" w:eastAsia="es-MX"/>
          <w14:ligatures w14:val="none"/>
        </w:rPr>
        <w:t>Señor(a)</w:t>
      </w:r>
    </w:p>
    <w:p w14:paraId="0F00E17C" w14:textId="77777777" w:rsidR="001D3EF6" w:rsidRPr="001D3EF6" w:rsidRDefault="001D3EF6" w:rsidP="001D3EF6">
      <w:pPr>
        <w:rPr>
          <w:rFonts w:ascii="Times New Roman" w:eastAsia="Times New Roman" w:hAnsi="Times New Roman" w:cs="Times New Roman"/>
          <w:kern w:val="0"/>
          <w:lang w:val="es-CO" w:eastAsia="es-MX"/>
          <w14:ligatures w14:val="none"/>
        </w:rPr>
      </w:pPr>
    </w:p>
    <w:tbl>
      <w:tblPr>
        <w:tblW w:w="0" w:type="auto"/>
        <w:tblCellMar>
          <w:top w:w="15" w:type="dxa"/>
          <w:left w:w="15" w:type="dxa"/>
          <w:bottom w:w="15" w:type="dxa"/>
          <w:right w:w="15" w:type="dxa"/>
        </w:tblCellMar>
        <w:tblLook w:val="04A0" w:firstRow="1" w:lastRow="0" w:firstColumn="1" w:lastColumn="0" w:noHBand="0" w:noVBand="1"/>
      </w:tblPr>
      <w:tblGrid>
        <w:gridCol w:w="2794"/>
        <w:gridCol w:w="5757"/>
      </w:tblGrid>
      <w:tr w:rsidR="001D3EF6" w:rsidRPr="001D3EF6" w14:paraId="663B2004" w14:textId="77777777">
        <w:trPr>
          <w:trHeight w:val="263"/>
        </w:trPr>
        <w:tc>
          <w:tcPr>
            <w:tcW w:w="0" w:type="auto"/>
            <w:gridSpan w:val="2"/>
            <w:tcBorders>
              <w:left w:val="single" w:sz="4" w:space="0" w:color="000000"/>
              <w:right w:val="single" w:sz="4" w:space="0" w:color="000000"/>
            </w:tcBorders>
            <w:shd w:val="clear" w:color="auto" w:fill="000000"/>
            <w:hideMark/>
          </w:tcPr>
          <w:p w14:paraId="2FD70081"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b/>
                <w:bCs/>
                <w:color w:val="FFFFFF"/>
                <w:kern w:val="0"/>
                <w:lang w:val="es-CO" w:eastAsia="es-MX"/>
                <w14:ligatures w14:val="none"/>
              </w:rPr>
              <w:t>REFERENCIA:</w:t>
            </w:r>
          </w:p>
        </w:tc>
      </w:tr>
      <w:tr w:rsidR="001D3EF6" w:rsidRPr="001D3EF6" w14:paraId="79C05D5F" w14:textId="77777777">
        <w:trPr>
          <w:trHeight w:val="239"/>
        </w:trPr>
        <w:tc>
          <w:tcPr>
            <w:tcW w:w="0" w:type="auto"/>
            <w:tcBorders>
              <w:left w:val="single" w:sz="4" w:space="0" w:color="000000"/>
            </w:tcBorders>
            <w:hideMark/>
          </w:tcPr>
          <w:p w14:paraId="05481A6A"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b/>
                <w:bCs/>
                <w:color w:val="000000"/>
                <w:kern w:val="0"/>
                <w:lang w:val="es-CO" w:eastAsia="es-MX"/>
                <w14:ligatures w14:val="none"/>
              </w:rPr>
              <w:t>No. del Radicado</w:t>
            </w:r>
          </w:p>
        </w:tc>
        <w:tc>
          <w:tcPr>
            <w:tcW w:w="0" w:type="auto"/>
            <w:tcBorders>
              <w:right w:val="single" w:sz="4" w:space="0" w:color="000000"/>
            </w:tcBorders>
            <w:hideMark/>
          </w:tcPr>
          <w:p w14:paraId="3A2A09A2"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b/>
                <w:bCs/>
                <w:color w:val="000000"/>
                <w:kern w:val="0"/>
                <w:lang w:val="es-CO" w:eastAsia="es-MX"/>
                <w14:ligatures w14:val="none"/>
              </w:rPr>
              <w:t>1-2026-006891</w:t>
            </w:r>
          </w:p>
        </w:tc>
      </w:tr>
      <w:tr w:rsidR="001D3EF6" w:rsidRPr="001D3EF6" w14:paraId="3530996C" w14:textId="77777777">
        <w:trPr>
          <w:trHeight w:val="244"/>
        </w:trPr>
        <w:tc>
          <w:tcPr>
            <w:tcW w:w="0" w:type="auto"/>
            <w:tcBorders>
              <w:left w:val="single" w:sz="4" w:space="0" w:color="000000"/>
            </w:tcBorders>
            <w:hideMark/>
          </w:tcPr>
          <w:p w14:paraId="63CAF753"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b/>
                <w:bCs/>
                <w:color w:val="000000"/>
                <w:kern w:val="0"/>
                <w:lang w:val="es-CO" w:eastAsia="es-MX"/>
                <w14:ligatures w14:val="none"/>
              </w:rPr>
              <w:t>Fecha de Radicado</w:t>
            </w:r>
          </w:p>
        </w:tc>
        <w:tc>
          <w:tcPr>
            <w:tcW w:w="0" w:type="auto"/>
            <w:tcBorders>
              <w:right w:val="single" w:sz="4" w:space="0" w:color="000000"/>
            </w:tcBorders>
            <w:hideMark/>
          </w:tcPr>
          <w:p w14:paraId="7C7F280E"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b/>
                <w:bCs/>
                <w:color w:val="000000"/>
                <w:kern w:val="0"/>
                <w:lang w:val="es-CO" w:eastAsia="es-MX"/>
                <w14:ligatures w14:val="none"/>
              </w:rPr>
              <w:t>26 de febrero de 2026</w:t>
            </w:r>
          </w:p>
        </w:tc>
      </w:tr>
      <w:tr w:rsidR="001D3EF6" w:rsidRPr="001D3EF6" w14:paraId="6BD34CC1" w14:textId="77777777">
        <w:trPr>
          <w:trHeight w:val="242"/>
        </w:trPr>
        <w:tc>
          <w:tcPr>
            <w:tcW w:w="0" w:type="auto"/>
            <w:tcBorders>
              <w:left w:val="single" w:sz="4" w:space="0" w:color="000000"/>
            </w:tcBorders>
            <w:hideMark/>
          </w:tcPr>
          <w:p w14:paraId="247A9323"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b/>
                <w:bCs/>
                <w:color w:val="000000"/>
                <w:kern w:val="0"/>
                <w:lang w:val="es-CO" w:eastAsia="es-MX"/>
                <w14:ligatures w14:val="none"/>
              </w:rPr>
              <w:t>No. Radicación CTCP</w:t>
            </w:r>
          </w:p>
        </w:tc>
        <w:tc>
          <w:tcPr>
            <w:tcW w:w="0" w:type="auto"/>
            <w:tcBorders>
              <w:right w:val="single" w:sz="4" w:space="0" w:color="000000"/>
            </w:tcBorders>
            <w:hideMark/>
          </w:tcPr>
          <w:p w14:paraId="0D6B6376"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b/>
                <w:bCs/>
                <w:color w:val="000000"/>
                <w:kern w:val="0"/>
                <w:lang w:val="es-CO" w:eastAsia="es-MX"/>
                <w14:ligatures w14:val="none"/>
              </w:rPr>
              <w:t>2026-0049</w:t>
            </w:r>
          </w:p>
        </w:tc>
      </w:tr>
      <w:tr w:rsidR="001D3EF6" w:rsidRPr="001D3EF6" w14:paraId="288E1842" w14:textId="77777777">
        <w:trPr>
          <w:trHeight w:val="243"/>
        </w:trPr>
        <w:tc>
          <w:tcPr>
            <w:tcW w:w="0" w:type="auto"/>
            <w:tcBorders>
              <w:left w:val="single" w:sz="4" w:space="0" w:color="000000"/>
              <w:bottom w:val="single" w:sz="4" w:space="0" w:color="000000"/>
            </w:tcBorders>
            <w:hideMark/>
          </w:tcPr>
          <w:p w14:paraId="24346C5F"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b/>
                <w:bCs/>
                <w:color w:val="000000"/>
                <w:kern w:val="0"/>
                <w:lang w:val="es-CO" w:eastAsia="es-MX"/>
                <w14:ligatures w14:val="none"/>
              </w:rPr>
              <w:t>Tema</w:t>
            </w:r>
          </w:p>
        </w:tc>
        <w:tc>
          <w:tcPr>
            <w:tcW w:w="0" w:type="auto"/>
            <w:tcBorders>
              <w:bottom w:val="single" w:sz="4" w:space="0" w:color="000000"/>
              <w:right w:val="single" w:sz="4" w:space="0" w:color="000000"/>
            </w:tcBorders>
            <w:hideMark/>
          </w:tcPr>
          <w:p w14:paraId="0A2E2D57"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b/>
                <w:bCs/>
                <w:color w:val="000000"/>
                <w:kern w:val="0"/>
                <w:lang w:val="es-CO" w:eastAsia="es-MX"/>
                <w14:ligatures w14:val="none"/>
              </w:rPr>
              <w:t>Método de participación patrimonial – ORI</w:t>
            </w:r>
          </w:p>
        </w:tc>
      </w:tr>
    </w:tbl>
    <w:p w14:paraId="6E45518C" w14:textId="77777777" w:rsidR="001D3EF6" w:rsidRPr="001D3EF6" w:rsidRDefault="001D3EF6" w:rsidP="001D3EF6">
      <w:pPr>
        <w:rPr>
          <w:rFonts w:ascii="Times New Roman" w:eastAsia="Times New Roman" w:hAnsi="Times New Roman" w:cs="Times New Roman"/>
          <w:kern w:val="0"/>
          <w:lang w:val="es-CO" w:eastAsia="es-MX"/>
          <w14:ligatures w14:val="none"/>
        </w:rPr>
      </w:pPr>
    </w:p>
    <w:p w14:paraId="74566330" w14:textId="77777777" w:rsidR="001D3EF6" w:rsidRPr="001D3EF6" w:rsidRDefault="001D3EF6" w:rsidP="001D3EF6">
      <w:pPr>
        <w:jc w:val="both"/>
        <w:outlineLvl w:val="0"/>
        <w:rPr>
          <w:rFonts w:ascii="Times New Roman" w:eastAsia="Times New Roman" w:hAnsi="Times New Roman" w:cs="Times New Roman"/>
          <w:b/>
          <w:bCs/>
          <w:kern w:val="36"/>
          <w:sz w:val="48"/>
          <w:szCs w:val="48"/>
          <w:lang w:val="es-CO" w:eastAsia="es-MX"/>
          <w14:ligatures w14:val="none"/>
        </w:rPr>
      </w:pPr>
      <w:r w:rsidRPr="001D3EF6">
        <w:rPr>
          <w:rFonts w:ascii="Verdana" w:eastAsia="Times New Roman" w:hAnsi="Verdana" w:cs="Times New Roman"/>
          <w:b/>
          <w:bCs/>
          <w:color w:val="000000"/>
          <w:kern w:val="36"/>
          <w:lang w:val="es-CO" w:eastAsia="es-MX"/>
          <w14:ligatures w14:val="none"/>
        </w:rPr>
        <w:t>CONSULTA (TEXTUAL)</w:t>
      </w:r>
    </w:p>
    <w:p w14:paraId="312827E4" w14:textId="77777777" w:rsidR="001D3EF6" w:rsidRPr="001D3EF6" w:rsidRDefault="001D3EF6" w:rsidP="001D3EF6">
      <w:pPr>
        <w:rPr>
          <w:rFonts w:ascii="Times New Roman" w:eastAsia="Times New Roman" w:hAnsi="Times New Roman" w:cs="Times New Roman"/>
          <w:kern w:val="0"/>
          <w:lang w:val="es-CO" w:eastAsia="es-MX"/>
          <w14:ligatures w14:val="none"/>
        </w:rPr>
      </w:pPr>
    </w:p>
    <w:p w14:paraId="6C8F2E9E"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i/>
          <w:iCs/>
          <w:color w:val="000000"/>
          <w:kern w:val="0"/>
          <w:lang w:val="es-CO" w:eastAsia="es-MX"/>
          <w14:ligatures w14:val="none"/>
        </w:rPr>
        <w:t>“(…) De manera atenta, me permito solicitar su orientación respecto de las siguientes inquietudes relacionadas con la aplicación del marco técnico normativo de la NIIF para las PYMES:</w:t>
      </w:r>
    </w:p>
    <w:p w14:paraId="4BFC469A" w14:textId="77777777" w:rsidR="001D3EF6" w:rsidRPr="001D3EF6" w:rsidRDefault="001D3EF6" w:rsidP="001D3EF6">
      <w:pPr>
        <w:rPr>
          <w:rFonts w:ascii="Times New Roman" w:eastAsia="Times New Roman" w:hAnsi="Times New Roman" w:cs="Times New Roman"/>
          <w:kern w:val="0"/>
          <w:lang w:val="es-CO" w:eastAsia="es-MX"/>
          <w14:ligatures w14:val="none"/>
        </w:rPr>
      </w:pPr>
      <w:r w:rsidRPr="001D3EF6">
        <w:rPr>
          <w:rFonts w:ascii="Times New Roman" w:eastAsia="Times New Roman" w:hAnsi="Times New Roman" w:cs="Times New Roman"/>
          <w:kern w:val="0"/>
          <w:lang w:val="es-CO" w:eastAsia="es-MX"/>
          <w14:ligatures w14:val="none"/>
        </w:rPr>
        <w:br/>
      </w:r>
    </w:p>
    <w:p w14:paraId="282D6EAB" w14:textId="77777777" w:rsidR="001D3EF6" w:rsidRPr="001D3EF6" w:rsidRDefault="001D3EF6" w:rsidP="001D3EF6">
      <w:pPr>
        <w:numPr>
          <w:ilvl w:val="0"/>
          <w:numId w:val="1"/>
        </w:numPr>
        <w:ind w:left="360"/>
        <w:jc w:val="both"/>
        <w:textAlignment w:val="baseline"/>
        <w:rPr>
          <w:rFonts w:ascii="Verdana" w:eastAsia="Times New Roman" w:hAnsi="Verdana" w:cs="Times New Roman"/>
          <w:i/>
          <w:iCs/>
          <w:color w:val="000000"/>
          <w:kern w:val="0"/>
          <w:lang w:val="es-CO" w:eastAsia="es-MX"/>
          <w14:ligatures w14:val="none"/>
        </w:rPr>
      </w:pPr>
      <w:r w:rsidRPr="001D3EF6">
        <w:rPr>
          <w:rFonts w:ascii="Verdana" w:eastAsia="Times New Roman" w:hAnsi="Verdana" w:cs="Times New Roman"/>
          <w:i/>
          <w:iCs/>
          <w:color w:val="000000"/>
          <w:kern w:val="0"/>
          <w:lang w:val="es-CO" w:eastAsia="es-MX"/>
          <w14:ligatures w14:val="none"/>
        </w:rPr>
        <w:t>Una sociedad colombiana controlante, que desde el año 2015 aplica el método de la participación para el reconocimiento de sus inversiones y posee el 100% de participación en sus subsidiarias, ha reconocido en su patrimonio una partida denominada “participación en subsidiarias”, originada en la aplicación de dicho método. En este contexto, ¿se encuentra obligada a presentar el Estado de Otro Resultado Integral tanto en sus estados financieros separados como en los estados financieros consolidados?</w:t>
      </w:r>
    </w:p>
    <w:p w14:paraId="71FB5F19" w14:textId="77777777" w:rsidR="001D3EF6" w:rsidRPr="001D3EF6" w:rsidRDefault="001D3EF6" w:rsidP="001D3EF6">
      <w:pPr>
        <w:rPr>
          <w:rFonts w:ascii="Times New Roman" w:eastAsia="Times New Roman" w:hAnsi="Times New Roman" w:cs="Times New Roman"/>
          <w:kern w:val="0"/>
          <w:lang w:val="es-CO" w:eastAsia="es-MX"/>
          <w14:ligatures w14:val="none"/>
        </w:rPr>
      </w:pPr>
      <w:r w:rsidRPr="001D3EF6">
        <w:rPr>
          <w:rFonts w:ascii="Times New Roman" w:eastAsia="Times New Roman" w:hAnsi="Times New Roman" w:cs="Times New Roman"/>
          <w:kern w:val="0"/>
          <w:lang w:val="es-CO" w:eastAsia="es-MX"/>
          <w14:ligatures w14:val="none"/>
        </w:rPr>
        <w:br/>
      </w:r>
    </w:p>
    <w:p w14:paraId="537C3F23" w14:textId="77777777" w:rsidR="001D3EF6" w:rsidRPr="001D3EF6" w:rsidRDefault="001D3EF6" w:rsidP="001D3EF6">
      <w:pPr>
        <w:numPr>
          <w:ilvl w:val="0"/>
          <w:numId w:val="2"/>
        </w:numPr>
        <w:jc w:val="both"/>
        <w:textAlignment w:val="baseline"/>
        <w:rPr>
          <w:rFonts w:ascii="Verdana" w:eastAsia="Times New Roman" w:hAnsi="Verdana" w:cs="Times New Roman"/>
          <w:i/>
          <w:iCs/>
          <w:color w:val="000000"/>
          <w:kern w:val="0"/>
          <w:lang w:val="es-CO" w:eastAsia="es-MX"/>
          <w14:ligatures w14:val="none"/>
        </w:rPr>
      </w:pPr>
      <w:r w:rsidRPr="001D3EF6">
        <w:rPr>
          <w:rFonts w:ascii="Verdana" w:eastAsia="Times New Roman" w:hAnsi="Verdana" w:cs="Times New Roman"/>
          <w:i/>
          <w:iCs/>
          <w:color w:val="000000"/>
          <w:kern w:val="0"/>
          <w:lang w:val="es-CO" w:eastAsia="es-MX"/>
          <w14:ligatures w14:val="none"/>
        </w:rPr>
        <w:t>En caso de existir dicha obligación, y considerando que desde el año 2015 no se ha elaborado el Estado de Otro Resultado Integral, ¿sería procedente iniciar su presentación a partir del año 2025? De ser así, ¿cuál debería ser el tratamiento contable respecto de los periodos anteriores y de la información comparativa?</w:t>
      </w:r>
    </w:p>
    <w:p w14:paraId="608F01B2" w14:textId="77777777" w:rsidR="001D3EF6" w:rsidRPr="001D3EF6" w:rsidRDefault="001D3EF6" w:rsidP="001D3EF6">
      <w:pPr>
        <w:rPr>
          <w:rFonts w:ascii="Times New Roman" w:eastAsia="Times New Roman" w:hAnsi="Times New Roman" w:cs="Times New Roman"/>
          <w:kern w:val="0"/>
          <w:lang w:val="es-CO" w:eastAsia="es-MX"/>
          <w14:ligatures w14:val="none"/>
        </w:rPr>
      </w:pPr>
      <w:r w:rsidRPr="001D3EF6">
        <w:rPr>
          <w:rFonts w:ascii="Times New Roman" w:eastAsia="Times New Roman" w:hAnsi="Times New Roman" w:cs="Times New Roman"/>
          <w:kern w:val="0"/>
          <w:lang w:val="es-CO" w:eastAsia="es-MX"/>
          <w14:ligatures w14:val="none"/>
        </w:rPr>
        <w:br/>
      </w:r>
    </w:p>
    <w:p w14:paraId="6940FDA7" w14:textId="77777777" w:rsidR="001D3EF6" w:rsidRPr="001D3EF6" w:rsidRDefault="001D3EF6" w:rsidP="001D3EF6">
      <w:pPr>
        <w:numPr>
          <w:ilvl w:val="0"/>
          <w:numId w:val="3"/>
        </w:numPr>
        <w:ind w:left="360"/>
        <w:jc w:val="both"/>
        <w:textAlignment w:val="baseline"/>
        <w:rPr>
          <w:rFonts w:ascii="Verdana" w:eastAsia="Times New Roman" w:hAnsi="Verdana" w:cs="Times New Roman"/>
          <w:i/>
          <w:iCs/>
          <w:color w:val="000000"/>
          <w:kern w:val="0"/>
          <w:lang w:val="es-CO" w:eastAsia="es-MX"/>
          <w14:ligatures w14:val="none"/>
        </w:rPr>
      </w:pPr>
      <w:r w:rsidRPr="001D3EF6">
        <w:rPr>
          <w:rFonts w:ascii="Verdana" w:eastAsia="Times New Roman" w:hAnsi="Verdana" w:cs="Times New Roman"/>
          <w:i/>
          <w:iCs/>
          <w:color w:val="000000"/>
          <w:kern w:val="0"/>
          <w:lang w:val="es-CO" w:eastAsia="es-MX"/>
          <w14:ligatures w14:val="none"/>
        </w:rPr>
        <w:t>En relación con la presentación del Estado de Otro Resultado Integral, este requiere la clasificación de sus componentes en partidas que se reclasificarán posteriormente al resultado del periodo y partidas que no se reclasificarán.</w:t>
      </w:r>
    </w:p>
    <w:p w14:paraId="7D4FD066"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i/>
          <w:iCs/>
          <w:color w:val="000000"/>
          <w:kern w:val="0"/>
          <w:lang w:val="es-CO" w:eastAsia="es-MX"/>
          <w14:ligatures w14:val="none"/>
        </w:rPr>
        <w:t>Para el caso específico de:</w:t>
      </w:r>
    </w:p>
    <w:p w14:paraId="79FAC5FF" w14:textId="77777777" w:rsidR="001D3EF6" w:rsidRPr="001D3EF6" w:rsidRDefault="001D3EF6" w:rsidP="001D3EF6">
      <w:pPr>
        <w:rPr>
          <w:rFonts w:ascii="Times New Roman" w:eastAsia="Times New Roman" w:hAnsi="Times New Roman" w:cs="Times New Roman"/>
          <w:kern w:val="0"/>
          <w:lang w:val="es-CO" w:eastAsia="es-MX"/>
          <w14:ligatures w14:val="none"/>
        </w:rPr>
      </w:pPr>
      <w:r w:rsidRPr="001D3EF6">
        <w:rPr>
          <w:rFonts w:ascii="Times New Roman" w:eastAsia="Times New Roman" w:hAnsi="Times New Roman" w:cs="Times New Roman"/>
          <w:kern w:val="0"/>
          <w:lang w:val="es-CO" w:eastAsia="es-MX"/>
          <w14:ligatures w14:val="none"/>
        </w:rPr>
        <w:br/>
      </w:r>
    </w:p>
    <w:p w14:paraId="248ACBE3" w14:textId="77777777" w:rsidR="001D3EF6" w:rsidRPr="001D3EF6" w:rsidRDefault="001D3EF6" w:rsidP="001D3EF6">
      <w:pPr>
        <w:numPr>
          <w:ilvl w:val="0"/>
          <w:numId w:val="4"/>
        </w:numPr>
        <w:ind w:left="360"/>
        <w:jc w:val="both"/>
        <w:textAlignment w:val="baseline"/>
        <w:rPr>
          <w:rFonts w:ascii="Verdana" w:eastAsia="Times New Roman" w:hAnsi="Verdana" w:cs="Times New Roman"/>
          <w:i/>
          <w:iCs/>
          <w:color w:val="000000"/>
          <w:kern w:val="0"/>
          <w:lang w:val="es-CO" w:eastAsia="es-MX"/>
          <w14:ligatures w14:val="none"/>
        </w:rPr>
      </w:pPr>
      <w:r w:rsidRPr="001D3EF6">
        <w:rPr>
          <w:rFonts w:ascii="Verdana" w:eastAsia="Times New Roman" w:hAnsi="Verdana" w:cs="Times New Roman"/>
          <w:i/>
          <w:iCs/>
          <w:color w:val="000000"/>
          <w:kern w:val="0"/>
          <w:lang w:val="es-CO" w:eastAsia="es-MX"/>
          <w14:ligatures w14:val="none"/>
        </w:rPr>
        <w:lastRenderedPageBreak/>
        <w:t>La aplicación del método de la participación en subsidiarias respecto de las cuales, a la fecha, no existe intención de venta.</w:t>
      </w:r>
    </w:p>
    <w:p w14:paraId="7BBC8DDE" w14:textId="77777777" w:rsidR="001D3EF6" w:rsidRPr="001D3EF6" w:rsidRDefault="001D3EF6" w:rsidP="001D3EF6">
      <w:pPr>
        <w:numPr>
          <w:ilvl w:val="0"/>
          <w:numId w:val="4"/>
        </w:numPr>
        <w:ind w:left="360"/>
        <w:jc w:val="both"/>
        <w:textAlignment w:val="baseline"/>
        <w:rPr>
          <w:rFonts w:ascii="Verdana" w:eastAsia="Times New Roman" w:hAnsi="Verdana" w:cs="Times New Roman"/>
          <w:i/>
          <w:iCs/>
          <w:color w:val="000000"/>
          <w:kern w:val="0"/>
          <w:lang w:val="es-CO" w:eastAsia="es-MX"/>
          <w14:ligatures w14:val="none"/>
        </w:rPr>
      </w:pPr>
      <w:r w:rsidRPr="001D3EF6">
        <w:rPr>
          <w:rFonts w:ascii="Verdana" w:eastAsia="Times New Roman" w:hAnsi="Verdana" w:cs="Times New Roman"/>
          <w:i/>
          <w:iCs/>
          <w:color w:val="000000"/>
          <w:kern w:val="0"/>
          <w:lang w:val="es-CO" w:eastAsia="es-MX"/>
          <w14:ligatures w14:val="none"/>
        </w:rPr>
        <w:t>El reconocimiento de diferencias en conversión de moneda extranjera correspondientes a una subsidiaria en el exterior.</w:t>
      </w:r>
    </w:p>
    <w:p w14:paraId="0B9B65A7" w14:textId="77777777" w:rsidR="001D3EF6" w:rsidRPr="001D3EF6" w:rsidRDefault="001D3EF6" w:rsidP="001D3EF6">
      <w:pPr>
        <w:rPr>
          <w:rFonts w:ascii="Times New Roman" w:eastAsia="Times New Roman" w:hAnsi="Times New Roman" w:cs="Times New Roman"/>
          <w:kern w:val="0"/>
          <w:lang w:val="es-CO" w:eastAsia="es-MX"/>
          <w14:ligatures w14:val="none"/>
        </w:rPr>
      </w:pPr>
    </w:p>
    <w:p w14:paraId="63976FA3"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i/>
          <w:iCs/>
          <w:color w:val="000000"/>
          <w:kern w:val="0"/>
          <w:lang w:val="es-CO" w:eastAsia="es-MX"/>
          <w14:ligatures w14:val="none"/>
        </w:rPr>
        <w:t>¿Cuál sería la clasificación adecuada de estas partidas dentro del Estado de Otro Resultado Integral? (…)”</w:t>
      </w:r>
    </w:p>
    <w:p w14:paraId="43A2B45B" w14:textId="77777777" w:rsidR="001D3EF6" w:rsidRPr="001D3EF6" w:rsidRDefault="001D3EF6" w:rsidP="001D3EF6">
      <w:pPr>
        <w:rPr>
          <w:rFonts w:ascii="Times New Roman" w:eastAsia="Times New Roman" w:hAnsi="Times New Roman" w:cs="Times New Roman"/>
          <w:kern w:val="0"/>
          <w:lang w:val="es-CO" w:eastAsia="es-MX"/>
          <w14:ligatures w14:val="none"/>
        </w:rPr>
      </w:pPr>
    </w:p>
    <w:p w14:paraId="53EDCF5D" w14:textId="77777777" w:rsidR="001D3EF6" w:rsidRPr="001D3EF6" w:rsidRDefault="001D3EF6" w:rsidP="001D3EF6">
      <w:pPr>
        <w:jc w:val="both"/>
        <w:outlineLvl w:val="0"/>
        <w:rPr>
          <w:rFonts w:ascii="Times New Roman" w:eastAsia="Times New Roman" w:hAnsi="Times New Roman" w:cs="Times New Roman"/>
          <w:b/>
          <w:bCs/>
          <w:kern w:val="36"/>
          <w:sz w:val="48"/>
          <w:szCs w:val="48"/>
          <w:lang w:val="es-CO" w:eastAsia="es-MX"/>
          <w14:ligatures w14:val="none"/>
        </w:rPr>
      </w:pPr>
      <w:r w:rsidRPr="001D3EF6">
        <w:rPr>
          <w:rFonts w:ascii="Verdana" w:eastAsia="Times New Roman" w:hAnsi="Verdana" w:cs="Times New Roman"/>
          <w:b/>
          <w:bCs/>
          <w:color w:val="000000"/>
          <w:kern w:val="36"/>
          <w:lang w:val="es-CO" w:eastAsia="es-MX"/>
          <w14:ligatures w14:val="none"/>
        </w:rPr>
        <w:t>RESUMEN:</w:t>
      </w:r>
    </w:p>
    <w:p w14:paraId="6539077D" w14:textId="77777777" w:rsidR="001D3EF6" w:rsidRPr="001D3EF6" w:rsidRDefault="001D3EF6" w:rsidP="001D3EF6">
      <w:pPr>
        <w:rPr>
          <w:rFonts w:ascii="Times New Roman" w:eastAsia="Times New Roman" w:hAnsi="Times New Roman" w:cs="Times New Roman"/>
          <w:kern w:val="0"/>
          <w:lang w:val="es-CO" w:eastAsia="es-MX"/>
          <w14:ligatures w14:val="none"/>
        </w:rPr>
      </w:pPr>
    </w:p>
    <w:p w14:paraId="57E1250B"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color w:val="000000"/>
          <w:kern w:val="0"/>
          <w:lang w:val="es-CO" w:eastAsia="es-MX"/>
          <w14:ligatures w14:val="none"/>
        </w:rPr>
        <w:t>Cuando una entidad controladora aplica el método de la participación para reconocer sus inversiones en subsidiarias en sus estados financieros separados, deberá reflejar su participación tanto en el resultado del periodo como en el otro resultado integral (ORI) de la participada. En consecuencia, si las subsidiarias reconocen partidas en ORI, la controladora deberá reconocer su participación proporcional en dichas partidas dentro de su resultado integral total, manteniendo la misma naturaleza y clasificación que tengan en los estados financieros de la subsidiaria. La presentación del resultado integral deberá realizarse conforme a la Sección 5 de la NIIF para las PYMES.</w:t>
      </w:r>
    </w:p>
    <w:p w14:paraId="735700A4" w14:textId="77777777" w:rsidR="001D3EF6" w:rsidRPr="001D3EF6" w:rsidRDefault="001D3EF6" w:rsidP="001D3EF6">
      <w:pPr>
        <w:rPr>
          <w:rFonts w:ascii="Times New Roman" w:eastAsia="Times New Roman" w:hAnsi="Times New Roman" w:cs="Times New Roman"/>
          <w:kern w:val="0"/>
          <w:lang w:val="es-CO" w:eastAsia="es-MX"/>
          <w14:ligatures w14:val="none"/>
        </w:rPr>
      </w:pPr>
    </w:p>
    <w:p w14:paraId="6BC09820" w14:textId="77777777" w:rsidR="001D3EF6" w:rsidRPr="001D3EF6" w:rsidRDefault="001D3EF6" w:rsidP="001D3EF6">
      <w:pPr>
        <w:jc w:val="both"/>
        <w:outlineLvl w:val="0"/>
        <w:rPr>
          <w:rFonts w:ascii="Times New Roman" w:eastAsia="Times New Roman" w:hAnsi="Times New Roman" w:cs="Times New Roman"/>
          <w:b/>
          <w:bCs/>
          <w:kern w:val="36"/>
          <w:sz w:val="48"/>
          <w:szCs w:val="48"/>
          <w:lang w:val="es-CO" w:eastAsia="es-MX"/>
          <w14:ligatures w14:val="none"/>
        </w:rPr>
      </w:pPr>
      <w:r w:rsidRPr="001D3EF6">
        <w:rPr>
          <w:rFonts w:ascii="Verdana" w:eastAsia="Times New Roman" w:hAnsi="Verdana" w:cs="Times New Roman"/>
          <w:b/>
          <w:bCs/>
          <w:color w:val="000000"/>
          <w:kern w:val="36"/>
          <w:lang w:val="es-CO" w:eastAsia="es-MX"/>
          <w14:ligatures w14:val="none"/>
        </w:rPr>
        <w:t>CONSIDERACIONES Y CONCEPTO</w:t>
      </w:r>
    </w:p>
    <w:p w14:paraId="5698E9E7" w14:textId="77777777" w:rsidR="001D3EF6" w:rsidRPr="001D3EF6" w:rsidRDefault="001D3EF6" w:rsidP="001D3EF6">
      <w:pPr>
        <w:rPr>
          <w:rFonts w:ascii="Times New Roman" w:eastAsia="Times New Roman" w:hAnsi="Times New Roman" w:cs="Times New Roman"/>
          <w:kern w:val="0"/>
          <w:lang w:val="es-CO" w:eastAsia="es-MX"/>
          <w14:ligatures w14:val="none"/>
        </w:rPr>
      </w:pPr>
    </w:p>
    <w:p w14:paraId="43521A82"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color w:val="000000"/>
          <w:kern w:val="0"/>
          <w:lang w:val="es-CO" w:eastAsia="es-MX"/>
          <w14:ligatures w14:val="none"/>
        </w:rPr>
        <w:t>El Consejo Técnico de la Contaduría Pública (CTCP), en su calidad de organismo permanente de normalización técnica de Normas de Contabilidad, Información Financiera y Aseguramiento de la Información, adscrito al Ministerio de Comercio, Industria y Turismo, y conforme a las disposiciones legales vigentes, principalmente las contempladas en la Ley 43 de 1990, la Ley 1314 de 2009 y los decretos que las desarrollan, procede a dar respuesta a la consulta de manera general, sin pretender resolver casos particulares, en los siguientes términos:</w:t>
      </w:r>
    </w:p>
    <w:p w14:paraId="3FCFD407" w14:textId="77777777" w:rsidR="001D3EF6" w:rsidRPr="001D3EF6" w:rsidRDefault="001D3EF6" w:rsidP="001D3EF6">
      <w:pPr>
        <w:rPr>
          <w:rFonts w:ascii="Times New Roman" w:eastAsia="Times New Roman" w:hAnsi="Times New Roman" w:cs="Times New Roman"/>
          <w:kern w:val="0"/>
          <w:lang w:val="es-CO" w:eastAsia="es-MX"/>
          <w14:ligatures w14:val="none"/>
        </w:rPr>
      </w:pPr>
    </w:p>
    <w:p w14:paraId="2305F27A"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color w:val="000000"/>
          <w:kern w:val="0"/>
          <w:lang w:val="es-CO" w:eastAsia="es-MX"/>
          <w14:ligatures w14:val="none"/>
        </w:rPr>
        <w:t xml:space="preserve">Como contexto inicial, es importante considerar lo que establece el párrafo 14.8 de la NIIF para las PYMES, incorporado en el Anexo del Grupo 2 del Decreto Único Reglamentario 2420 de 2015, respecto al método de participación: </w:t>
      </w:r>
      <w:r w:rsidRPr="001D3EF6">
        <w:rPr>
          <w:rFonts w:ascii="Verdana" w:eastAsia="Times New Roman" w:hAnsi="Verdana" w:cs="Times New Roman"/>
          <w:i/>
          <w:iCs/>
          <w:color w:val="000000"/>
          <w:kern w:val="0"/>
          <w:lang w:val="es-CO" w:eastAsia="es-MX"/>
          <w14:ligatures w14:val="none"/>
        </w:rPr>
        <w:t>“Según el método de la participación, una inversión en patrimonio se reconocerá inicialmente al precio de la transacción (incluyendo los costos de transacción) y se ajustará posteriormente para reflejar la participación del inversor tanto en el resultado como en otro resultado integral de la asociada (…)”</w:t>
      </w:r>
      <w:r w:rsidRPr="001D3EF6">
        <w:rPr>
          <w:rFonts w:ascii="Verdana" w:eastAsia="Times New Roman" w:hAnsi="Verdana" w:cs="Times New Roman"/>
          <w:color w:val="000000"/>
          <w:kern w:val="0"/>
          <w:lang w:val="es-CO" w:eastAsia="es-MX"/>
          <w14:ligatures w14:val="none"/>
        </w:rPr>
        <w:t>.</w:t>
      </w:r>
    </w:p>
    <w:p w14:paraId="3633F54F" w14:textId="77777777" w:rsidR="001D3EF6" w:rsidRPr="001D3EF6" w:rsidRDefault="001D3EF6" w:rsidP="001D3EF6">
      <w:pPr>
        <w:rPr>
          <w:rFonts w:ascii="Times New Roman" w:eastAsia="Times New Roman" w:hAnsi="Times New Roman" w:cs="Times New Roman"/>
          <w:kern w:val="0"/>
          <w:lang w:val="es-CO" w:eastAsia="es-MX"/>
          <w14:ligatures w14:val="none"/>
        </w:rPr>
      </w:pPr>
    </w:p>
    <w:p w14:paraId="02569A04"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color w:val="000000"/>
          <w:kern w:val="0"/>
          <w:lang w:val="es-CO" w:eastAsia="es-MX"/>
          <w14:ligatures w14:val="none"/>
        </w:rPr>
        <w:t>Por otra parte, es pertinente precisar los tipos de estados financieros que debe presentar una entidad controladora en Colombia:</w:t>
      </w:r>
    </w:p>
    <w:p w14:paraId="4F5F356A" w14:textId="77777777" w:rsidR="001D3EF6" w:rsidRPr="001D3EF6" w:rsidRDefault="001D3EF6" w:rsidP="001D3EF6">
      <w:pPr>
        <w:rPr>
          <w:rFonts w:ascii="Times New Roman" w:eastAsia="Times New Roman" w:hAnsi="Times New Roman" w:cs="Times New Roman"/>
          <w:kern w:val="0"/>
          <w:lang w:val="es-CO" w:eastAsia="es-MX"/>
          <w14:ligatures w14:val="none"/>
        </w:rPr>
      </w:pPr>
    </w:p>
    <w:p w14:paraId="1290F290"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b/>
          <w:bCs/>
          <w:color w:val="000000"/>
          <w:kern w:val="0"/>
          <w:lang w:val="es-CO" w:eastAsia="es-MX"/>
          <w14:ligatures w14:val="none"/>
        </w:rPr>
        <w:lastRenderedPageBreak/>
        <w:t xml:space="preserve">Estados financieros consolidados: </w:t>
      </w:r>
      <w:r w:rsidRPr="001D3EF6">
        <w:rPr>
          <w:rFonts w:ascii="Verdana" w:eastAsia="Times New Roman" w:hAnsi="Verdana" w:cs="Times New Roman"/>
          <w:color w:val="000000"/>
          <w:kern w:val="0"/>
          <w:lang w:val="es-CO" w:eastAsia="es-MX"/>
          <w14:ligatures w14:val="none"/>
        </w:rPr>
        <w:t>son aquellos en los que los activos, pasivos, patrimonio, ingresos, gastos y flujos de efectivo de la controladora y sus subsidiarias (subordinadas) se presentan como si fuesen una sola entidad económica (artículo 35 de la Ley 222 de 1995 y Sección 9 – Estados Financieros Consolidados de la NIIF para las PYMES).</w:t>
      </w:r>
    </w:p>
    <w:p w14:paraId="5DB63AA1" w14:textId="77777777" w:rsidR="001D3EF6" w:rsidRPr="001D3EF6" w:rsidRDefault="001D3EF6" w:rsidP="001D3EF6">
      <w:pPr>
        <w:rPr>
          <w:rFonts w:ascii="Times New Roman" w:eastAsia="Times New Roman" w:hAnsi="Times New Roman" w:cs="Times New Roman"/>
          <w:kern w:val="0"/>
          <w:lang w:val="es-CO" w:eastAsia="es-MX"/>
          <w14:ligatures w14:val="none"/>
        </w:rPr>
      </w:pPr>
    </w:p>
    <w:p w14:paraId="32F414CC"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b/>
          <w:bCs/>
          <w:color w:val="000000"/>
          <w:kern w:val="0"/>
          <w:lang w:val="es-CO" w:eastAsia="es-MX"/>
          <w14:ligatures w14:val="none"/>
        </w:rPr>
        <w:t xml:space="preserve">Estados financieros separados: </w:t>
      </w:r>
      <w:r w:rsidRPr="001D3EF6">
        <w:rPr>
          <w:rFonts w:ascii="Verdana" w:eastAsia="Times New Roman" w:hAnsi="Verdana" w:cs="Times New Roman"/>
          <w:color w:val="000000"/>
          <w:kern w:val="0"/>
          <w:lang w:val="es-CO" w:eastAsia="es-MX"/>
          <w14:ligatures w14:val="none"/>
        </w:rPr>
        <w:t>son aquellos en los que la entidad controladora presenta sus propios activos, pasivos, patrimonio, ingresos, gastos y flujos de efectivo. Para el reconocimiento de las inversiones en subsidiarias, asociadas o negocios conjuntos, la Sección 9 de la NIIF para las PYMES permite que dichas inversiones se midan al costo, al valor razonable con cambios en resultados o mediante el método de participación.</w:t>
      </w:r>
    </w:p>
    <w:p w14:paraId="58CE9593" w14:textId="77777777" w:rsidR="001D3EF6" w:rsidRPr="001D3EF6" w:rsidRDefault="001D3EF6" w:rsidP="001D3EF6">
      <w:pPr>
        <w:rPr>
          <w:rFonts w:ascii="Times New Roman" w:eastAsia="Times New Roman" w:hAnsi="Times New Roman" w:cs="Times New Roman"/>
          <w:kern w:val="0"/>
          <w:lang w:val="es-CO" w:eastAsia="es-MX"/>
          <w14:ligatures w14:val="none"/>
        </w:rPr>
      </w:pPr>
    </w:p>
    <w:p w14:paraId="084CFC7A"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color w:val="000000"/>
          <w:kern w:val="0"/>
          <w:lang w:val="es-CO" w:eastAsia="es-MX"/>
          <w14:ligatures w14:val="none"/>
        </w:rPr>
        <w:t>No obstante, en Colombia, y para los fines previstos en la Ley 222 de 1995, la medición de las inversiones en subsidiarias (subordinadas) debe realizarse mediante el método de la participación.</w:t>
      </w:r>
    </w:p>
    <w:p w14:paraId="0C7E8028" w14:textId="77777777" w:rsidR="001D3EF6" w:rsidRPr="001D3EF6" w:rsidRDefault="001D3EF6" w:rsidP="001D3EF6">
      <w:pPr>
        <w:rPr>
          <w:rFonts w:ascii="Times New Roman" w:eastAsia="Times New Roman" w:hAnsi="Times New Roman" w:cs="Times New Roman"/>
          <w:kern w:val="0"/>
          <w:lang w:val="es-CO" w:eastAsia="es-MX"/>
          <w14:ligatures w14:val="none"/>
        </w:rPr>
      </w:pPr>
      <w:r w:rsidRPr="001D3EF6">
        <w:rPr>
          <w:rFonts w:ascii="Times New Roman" w:eastAsia="Times New Roman" w:hAnsi="Times New Roman" w:cs="Times New Roman"/>
          <w:kern w:val="0"/>
          <w:lang w:val="es-CO" w:eastAsia="es-MX"/>
          <w14:ligatures w14:val="none"/>
        </w:rPr>
        <w:br/>
      </w:r>
    </w:p>
    <w:p w14:paraId="6C073BF8" w14:textId="77777777" w:rsidR="001D3EF6" w:rsidRPr="001D3EF6" w:rsidRDefault="001D3EF6" w:rsidP="001D3EF6">
      <w:pPr>
        <w:numPr>
          <w:ilvl w:val="0"/>
          <w:numId w:val="5"/>
        </w:numPr>
        <w:ind w:left="360"/>
        <w:jc w:val="both"/>
        <w:textAlignment w:val="baseline"/>
        <w:rPr>
          <w:rFonts w:ascii="Verdana" w:eastAsia="Times New Roman" w:hAnsi="Verdana" w:cs="Times New Roman"/>
          <w:b/>
          <w:bCs/>
          <w:i/>
          <w:iCs/>
          <w:color w:val="000000"/>
          <w:kern w:val="0"/>
          <w:lang w:val="es-CO" w:eastAsia="es-MX"/>
          <w14:ligatures w14:val="none"/>
        </w:rPr>
      </w:pPr>
      <w:r w:rsidRPr="001D3EF6">
        <w:rPr>
          <w:rFonts w:ascii="Verdana" w:eastAsia="Times New Roman" w:hAnsi="Verdana" w:cs="Times New Roman"/>
          <w:b/>
          <w:bCs/>
          <w:i/>
          <w:iCs/>
          <w:color w:val="000000"/>
          <w:kern w:val="0"/>
          <w:lang w:val="es-CO" w:eastAsia="es-MX"/>
          <w14:ligatures w14:val="none"/>
        </w:rPr>
        <w:t>Una sociedad colombiana controlante, que desde el año 2015 aplica el método de la participación para el reconocimiento de sus inversiones y posee el 100% de participación en sus subsidiarias, ha reconocido en su patrimonio una partida denominada “participación en subsidiarias”, originada en la aplicación de dicho método. En este contexto, ¿se encuentra obligada a presentar el Estado de Otro Resultado Integral tanto en sus estados financieros separados como en los estados financieros consolidados?</w:t>
      </w:r>
    </w:p>
    <w:p w14:paraId="6C949732" w14:textId="77777777" w:rsidR="001D3EF6" w:rsidRPr="001D3EF6" w:rsidRDefault="001D3EF6" w:rsidP="001D3EF6">
      <w:pPr>
        <w:rPr>
          <w:rFonts w:ascii="Times New Roman" w:eastAsia="Times New Roman" w:hAnsi="Times New Roman" w:cs="Times New Roman"/>
          <w:kern w:val="0"/>
          <w:lang w:val="es-CO" w:eastAsia="es-MX"/>
          <w14:ligatures w14:val="none"/>
        </w:rPr>
      </w:pPr>
    </w:p>
    <w:p w14:paraId="1B794DFB"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color w:val="000000"/>
          <w:kern w:val="0"/>
          <w:lang w:val="es-CO" w:eastAsia="es-MX"/>
          <w14:ligatures w14:val="none"/>
        </w:rPr>
        <w:t>En el caso descrito por el consultante, se puede inferir que la entidad controladora aplica el método de la participación en sus estados financieros separados, conforme a lo permitido por la Sección 9 de la NIIF para las PYMES y requerido en Colombia por el artículo 35 de la Ley 222 de 1995 para el reconocimiento de inversiones en subsidiarias.</w:t>
      </w:r>
    </w:p>
    <w:p w14:paraId="17B1508E" w14:textId="77777777" w:rsidR="001D3EF6" w:rsidRPr="001D3EF6" w:rsidRDefault="001D3EF6" w:rsidP="001D3EF6">
      <w:pPr>
        <w:rPr>
          <w:rFonts w:ascii="Times New Roman" w:eastAsia="Times New Roman" w:hAnsi="Times New Roman" w:cs="Times New Roman"/>
          <w:kern w:val="0"/>
          <w:lang w:val="es-CO" w:eastAsia="es-MX"/>
          <w14:ligatures w14:val="none"/>
        </w:rPr>
      </w:pPr>
    </w:p>
    <w:p w14:paraId="086C1E2C"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color w:val="000000"/>
          <w:kern w:val="0"/>
          <w:lang w:val="es-CO" w:eastAsia="es-MX"/>
          <w14:ligatures w14:val="none"/>
        </w:rPr>
        <w:t xml:space="preserve">En este contexto, debe considerarse lo establecido en el párrafo 14.8 de la NIIF para las PYMES, cuando se aplica el método de la participación, el valor en libros de la inversión se ajusta posteriormente para reflejar la participación del inversor </w:t>
      </w:r>
      <w:r w:rsidRPr="001D3EF6">
        <w:rPr>
          <w:rFonts w:ascii="Verdana" w:eastAsia="Times New Roman" w:hAnsi="Verdana" w:cs="Times New Roman"/>
          <w:b/>
          <w:bCs/>
          <w:color w:val="000000"/>
          <w:kern w:val="0"/>
          <w:lang w:val="es-CO" w:eastAsia="es-MX"/>
          <w14:ligatures w14:val="none"/>
        </w:rPr>
        <w:t>tanto en el resultado como en el otro resultado integral de la participada</w:t>
      </w:r>
      <w:r w:rsidRPr="001D3EF6">
        <w:rPr>
          <w:rFonts w:ascii="Verdana" w:eastAsia="Times New Roman" w:hAnsi="Verdana" w:cs="Times New Roman"/>
          <w:color w:val="000000"/>
          <w:kern w:val="0"/>
          <w:lang w:val="es-CO" w:eastAsia="es-MX"/>
          <w14:ligatures w14:val="none"/>
        </w:rPr>
        <w:t>.</w:t>
      </w:r>
    </w:p>
    <w:p w14:paraId="36CE3582" w14:textId="77777777" w:rsidR="001D3EF6" w:rsidRPr="001D3EF6" w:rsidRDefault="001D3EF6" w:rsidP="001D3EF6">
      <w:pPr>
        <w:rPr>
          <w:rFonts w:ascii="Times New Roman" w:eastAsia="Times New Roman" w:hAnsi="Times New Roman" w:cs="Times New Roman"/>
          <w:kern w:val="0"/>
          <w:lang w:val="es-CO" w:eastAsia="es-MX"/>
          <w14:ligatures w14:val="none"/>
        </w:rPr>
      </w:pPr>
    </w:p>
    <w:p w14:paraId="1FE7868F"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color w:val="000000"/>
          <w:kern w:val="0"/>
          <w:lang w:val="es-CO" w:eastAsia="es-MX"/>
          <w14:ligatures w14:val="none"/>
        </w:rPr>
        <w:t xml:space="preserve">Por lo tanto, si las subsidiarias reconocen partidas en otro resultado integral (ORI), estas deberán presentarse conforme a lo indicado en el párrafo 5.4(b) de la NIIF para las PYMES. En tal caso, la controladora </w:t>
      </w:r>
      <w:r w:rsidRPr="001D3EF6">
        <w:rPr>
          <w:rFonts w:ascii="Verdana" w:eastAsia="Times New Roman" w:hAnsi="Verdana" w:cs="Times New Roman"/>
          <w:color w:val="000000"/>
          <w:kern w:val="0"/>
          <w:lang w:val="es-CO" w:eastAsia="es-MX"/>
          <w14:ligatures w14:val="none"/>
        </w:rPr>
        <w:lastRenderedPageBreak/>
        <w:t xml:space="preserve">deberá reconocer </w:t>
      </w:r>
      <w:r w:rsidRPr="001D3EF6">
        <w:rPr>
          <w:rFonts w:ascii="Verdana" w:eastAsia="Times New Roman" w:hAnsi="Verdana" w:cs="Times New Roman"/>
          <w:b/>
          <w:bCs/>
          <w:color w:val="000000"/>
          <w:kern w:val="0"/>
          <w:lang w:val="es-CO" w:eastAsia="es-MX"/>
          <w14:ligatures w14:val="none"/>
        </w:rPr>
        <w:t xml:space="preserve">su participación proporcional </w:t>
      </w:r>
      <w:r w:rsidRPr="001D3EF6">
        <w:rPr>
          <w:rFonts w:ascii="Verdana" w:eastAsia="Times New Roman" w:hAnsi="Verdana" w:cs="Times New Roman"/>
          <w:color w:val="000000"/>
          <w:kern w:val="0"/>
          <w:lang w:val="es-CO" w:eastAsia="es-MX"/>
          <w14:ligatures w14:val="none"/>
        </w:rPr>
        <w:t xml:space="preserve">en dichas partidas mediante la aplicación del método de la participación, </w:t>
      </w:r>
      <w:r w:rsidRPr="001D3EF6">
        <w:rPr>
          <w:rFonts w:ascii="Verdana" w:eastAsia="Times New Roman" w:hAnsi="Verdana" w:cs="Times New Roman"/>
          <w:b/>
          <w:bCs/>
          <w:color w:val="000000"/>
          <w:kern w:val="0"/>
          <w:lang w:val="es-CO" w:eastAsia="es-MX"/>
          <w14:ligatures w14:val="none"/>
        </w:rPr>
        <w:t xml:space="preserve">incorporándolas en su propio resultado integral </w:t>
      </w:r>
      <w:r w:rsidRPr="001D3EF6">
        <w:rPr>
          <w:rFonts w:ascii="Verdana" w:eastAsia="Times New Roman" w:hAnsi="Verdana" w:cs="Times New Roman"/>
          <w:color w:val="000000"/>
          <w:kern w:val="0"/>
          <w:lang w:val="es-CO" w:eastAsia="es-MX"/>
          <w14:ligatures w14:val="none"/>
        </w:rPr>
        <w:t>y manteniendo la misma naturaleza de la partida reconocida por la subsidiaria.</w:t>
      </w:r>
    </w:p>
    <w:p w14:paraId="1021D69F" w14:textId="77777777" w:rsidR="001D3EF6" w:rsidRPr="001D3EF6" w:rsidRDefault="001D3EF6" w:rsidP="001D3EF6">
      <w:pPr>
        <w:rPr>
          <w:rFonts w:ascii="Times New Roman" w:eastAsia="Times New Roman" w:hAnsi="Times New Roman" w:cs="Times New Roman"/>
          <w:kern w:val="0"/>
          <w:lang w:val="es-CO" w:eastAsia="es-MX"/>
          <w14:ligatures w14:val="none"/>
        </w:rPr>
      </w:pPr>
    </w:p>
    <w:p w14:paraId="7D334DDA"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color w:val="000000"/>
          <w:kern w:val="0"/>
          <w:lang w:val="es-CO" w:eastAsia="es-MX"/>
          <w14:ligatures w14:val="none"/>
        </w:rPr>
        <w:t>No obstante, la Sección 5 de la NIIF para las PYMES establece que una entidad debe presentar el resultado integral total del periodo, ya sea mediante:</w:t>
      </w:r>
    </w:p>
    <w:p w14:paraId="343E97F6" w14:textId="77777777" w:rsidR="001D3EF6" w:rsidRPr="001D3EF6" w:rsidRDefault="001D3EF6" w:rsidP="001D3EF6">
      <w:pPr>
        <w:rPr>
          <w:rFonts w:ascii="Times New Roman" w:eastAsia="Times New Roman" w:hAnsi="Times New Roman" w:cs="Times New Roman"/>
          <w:kern w:val="0"/>
          <w:lang w:val="es-CO" w:eastAsia="es-MX"/>
          <w14:ligatures w14:val="none"/>
        </w:rPr>
      </w:pPr>
      <w:r w:rsidRPr="001D3EF6">
        <w:rPr>
          <w:rFonts w:ascii="Times New Roman" w:eastAsia="Times New Roman" w:hAnsi="Times New Roman" w:cs="Times New Roman"/>
          <w:kern w:val="0"/>
          <w:lang w:val="es-CO" w:eastAsia="es-MX"/>
          <w14:ligatures w14:val="none"/>
        </w:rPr>
        <w:br/>
      </w:r>
    </w:p>
    <w:p w14:paraId="60588445" w14:textId="77777777" w:rsidR="001D3EF6" w:rsidRPr="001D3EF6" w:rsidRDefault="001D3EF6" w:rsidP="001D3EF6">
      <w:pPr>
        <w:numPr>
          <w:ilvl w:val="0"/>
          <w:numId w:val="6"/>
        </w:numPr>
        <w:ind w:left="360"/>
        <w:jc w:val="both"/>
        <w:textAlignment w:val="baseline"/>
        <w:rPr>
          <w:rFonts w:ascii="Verdana" w:eastAsia="Times New Roman" w:hAnsi="Verdana" w:cs="Times New Roman"/>
          <w:color w:val="000000"/>
          <w:kern w:val="0"/>
          <w:lang w:val="es-CO" w:eastAsia="es-MX"/>
          <w14:ligatures w14:val="none"/>
        </w:rPr>
      </w:pPr>
      <w:r w:rsidRPr="001D3EF6">
        <w:rPr>
          <w:rFonts w:ascii="Verdana" w:eastAsia="Times New Roman" w:hAnsi="Verdana" w:cs="Times New Roman"/>
          <w:color w:val="000000"/>
          <w:kern w:val="0"/>
          <w:lang w:val="es-CO" w:eastAsia="es-MX"/>
          <w14:ligatures w14:val="none"/>
        </w:rPr>
        <w:t>un único estado del resultado integral, o</w:t>
      </w:r>
    </w:p>
    <w:p w14:paraId="3ED724FB" w14:textId="77777777" w:rsidR="001D3EF6" w:rsidRPr="001D3EF6" w:rsidRDefault="001D3EF6" w:rsidP="001D3EF6">
      <w:pPr>
        <w:numPr>
          <w:ilvl w:val="0"/>
          <w:numId w:val="6"/>
        </w:numPr>
        <w:ind w:left="360"/>
        <w:jc w:val="both"/>
        <w:textAlignment w:val="baseline"/>
        <w:rPr>
          <w:rFonts w:ascii="Verdana" w:eastAsia="Times New Roman" w:hAnsi="Verdana" w:cs="Times New Roman"/>
          <w:color w:val="000000"/>
          <w:kern w:val="0"/>
          <w:lang w:val="es-CO" w:eastAsia="es-MX"/>
          <w14:ligatures w14:val="none"/>
        </w:rPr>
      </w:pPr>
      <w:r w:rsidRPr="001D3EF6">
        <w:rPr>
          <w:rFonts w:ascii="Verdana" w:eastAsia="Times New Roman" w:hAnsi="Verdana" w:cs="Times New Roman"/>
          <w:color w:val="000000"/>
          <w:kern w:val="0"/>
          <w:lang w:val="es-CO" w:eastAsia="es-MX"/>
          <w14:ligatures w14:val="none"/>
        </w:rPr>
        <w:t>dos estados: estado de resultados y estado del resultado integral.</w:t>
      </w:r>
    </w:p>
    <w:p w14:paraId="5EB289D2" w14:textId="77777777" w:rsidR="001D3EF6" w:rsidRPr="001D3EF6" w:rsidRDefault="001D3EF6" w:rsidP="001D3EF6">
      <w:pPr>
        <w:rPr>
          <w:rFonts w:ascii="Times New Roman" w:eastAsia="Times New Roman" w:hAnsi="Times New Roman" w:cs="Times New Roman"/>
          <w:kern w:val="0"/>
          <w:lang w:val="es-CO" w:eastAsia="es-MX"/>
          <w14:ligatures w14:val="none"/>
        </w:rPr>
      </w:pPr>
    </w:p>
    <w:p w14:paraId="025E38ED"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color w:val="000000"/>
          <w:kern w:val="0"/>
          <w:lang w:val="es-CO" w:eastAsia="es-MX"/>
          <w14:ligatures w14:val="none"/>
        </w:rPr>
        <w:t>Por lo tanto, la obligación de presentar partidas de otro resultado integral dependerá de que existan efectivamente partidas de esta naturaleza derivadas de las subsidiarias. En ausencia de tales partidas, no existiría información que deba presentarse dentro del otro resultado integral.</w:t>
      </w:r>
    </w:p>
    <w:p w14:paraId="73BA8455" w14:textId="77777777" w:rsidR="001D3EF6" w:rsidRPr="001D3EF6" w:rsidRDefault="001D3EF6" w:rsidP="001D3EF6">
      <w:pPr>
        <w:rPr>
          <w:rFonts w:ascii="Times New Roman" w:eastAsia="Times New Roman" w:hAnsi="Times New Roman" w:cs="Times New Roman"/>
          <w:kern w:val="0"/>
          <w:lang w:val="es-CO" w:eastAsia="es-MX"/>
          <w14:ligatures w14:val="none"/>
        </w:rPr>
      </w:pPr>
    </w:p>
    <w:p w14:paraId="55739F79"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color w:val="000000"/>
          <w:kern w:val="0"/>
          <w:lang w:val="es-CO" w:eastAsia="es-MX"/>
          <w14:ligatures w14:val="none"/>
        </w:rPr>
        <w:t>En los estados financieros consolidados, dichas partidas se incorporarán a través del proceso de consolidación, conforme a lo establecido en la Sección 9 de la NIIF para las PYMES, en el cual el método de participación aplicado en los estados financieros separados se elimina como parte de los procedimientos de consolidación.</w:t>
      </w:r>
    </w:p>
    <w:p w14:paraId="4FB9D99F" w14:textId="77777777" w:rsidR="001D3EF6" w:rsidRPr="001D3EF6" w:rsidRDefault="001D3EF6" w:rsidP="001D3EF6">
      <w:pPr>
        <w:rPr>
          <w:rFonts w:ascii="Times New Roman" w:eastAsia="Times New Roman" w:hAnsi="Times New Roman" w:cs="Times New Roman"/>
          <w:kern w:val="0"/>
          <w:lang w:val="es-CO" w:eastAsia="es-MX"/>
          <w14:ligatures w14:val="none"/>
        </w:rPr>
      </w:pPr>
      <w:r w:rsidRPr="001D3EF6">
        <w:rPr>
          <w:rFonts w:ascii="Times New Roman" w:eastAsia="Times New Roman" w:hAnsi="Times New Roman" w:cs="Times New Roman"/>
          <w:kern w:val="0"/>
          <w:lang w:val="es-CO" w:eastAsia="es-MX"/>
          <w14:ligatures w14:val="none"/>
        </w:rPr>
        <w:br/>
      </w:r>
    </w:p>
    <w:p w14:paraId="27DE7B7C" w14:textId="77777777" w:rsidR="001D3EF6" w:rsidRPr="001D3EF6" w:rsidRDefault="001D3EF6" w:rsidP="001D3EF6">
      <w:pPr>
        <w:numPr>
          <w:ilvl w:val="0"/>
          <w:numId w:val="7"/>
        </w:numPr>
        <w:ind w:left="360"/>
        <w:jc w:val="both"/>
        <w:textAlignment w:val="baseline"/>
        <w:rPr>
          <w:rFonts w:ascii="Verdana" w:eastAsia="Times New Roman" w:hAnsi="Verdana" w:cs="Times New Roman"/>
          <w:b/>
          <w:bCs/>
          <w:i/>
          <w:iCs/>
          <w:color w:val="000000"/>
          <w:kern w:val="0"/>
          <w:lang w:val="es-CO" w:eastAsia="es-MX"/>
          <w14:ligatures w14:val="none"/>
        </w:rPr>
      </w:pPr>
      <w:r w:rsidRPr="001D3EF6">
        <w:rPr>
          <w:rFonts w:ascii="Verdana" w:eastAsia="Times New Roman" w:hAnsi="Verdana" w:cs="Times New Roman"/>
          <w:b/>
          <w:bCs/>
          <w:i/>
          <w:iCs/>
          <w:color w:val="000000"/>
          <w:kern w:val="0"/>
          <w:lang w:val="es-CO" w:eastAsia="es-MX"/>
          <w14:ligatures w14:val="none"/>
        </w:rPr>
        <w:t>En caso de existir dicha obligación, y considerando que desde el año 2015 no se ha elaborado el Estado de Otro Resultado Integral, ¿sería procedente iniciar su presentación a partir del año 2025? De ser así, ¿cuál debería ser el tratamiento contable respecto de los periodos anteriores y de la información comparativa?</w:t>
      </w:r>
    </w:p>
    <w:p w14:paraId="1D340BE8" w14:textId="77777777" w:rsidR="001D3EF6" w:rsidRPr="001D3EF6" w:rsidRDefault="001D3EF6" w:rsidP="001D3EF6">
      <w:pPr>
        <w:rPr>
          <w:rFonts w:ascii="Times New Roman" w:eastAsia="Times New Roman" w:hAnsi="Times New Roman" w:cs="Times New Roman"/>
          <w:kern w:val="0"/>
          <w:lang w:val="es-CO" w:eastAsia="es-MX"/>
          <w14:ligatures w14:val="none"/>
        </w:rPr>
      </w:pPr>
    </w:p>
    <w:p w14:paraId="70B97E2C"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color w:val="000000"/>
          <w:kern w:val="0"/>
          <w:lang w:val="es-CO" w:eastAsia="es-MX"/>
          <w14:ligatures w14:val="none"/>
        </w:rPr>
        <w:t>Tal como se indicó anteriormente, la Sección 5 de la NIIF para las PYMES establece que una entidad debe presentar el resultado integral total del periodo, ya sea mediante un único estado del resultado integral o mediante dos estados: el estado de resultados y el estado del resultado integral.</w:t>
      </w:r>
    </w:p>
    <w:p w14:paraId="172A5559" w14:textId="77777777" w:rsidR="001D3EF6" w:rsidRPr="001D3EF6" w:rsidRDefault="001D3EF6" w:rsidP="001D3EF6">
      <w:pPr>
        <w:rPr>
          <w:rFonts w:ascii="Times New Roman" w:eastAsia="Times New Roman" w:hAnsi="Times New Roman" w:cs="Times New Roman"/>
          <w:kern w:val="0"/>
          <w:lang w:val="es-CO" w:eastAsia="es-MX"/>
          <w14:ligatures w14:val="none"/>
        </w:rPr>
      </w:pPr>
    </w:p>
    <w:p w14:paraId="4E18F872"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color w:val="000000"/>
          <w:kern w:val="0"/>
          <w:lang w:val="es-CO" w:eastAsia="es-MX"/>
          <w14:ligatures w14:val="none"/>
        </w:rPr>
        <w:t>En consecuencia, si como resultado de la aplicación del método de la participación la entidad controladora reconoce su participación en partidas de otro resultado integral de sus subsidiarias, dichas partidas deberán formar parte del resultado integral total del periodo y presentarse conforme a lo establecido en dicha sección.</w:t>
      </w:r>
    </w:p>
    <w:p w14:paraId="2F000156" w14:textId="77777777" w:rsidR="001D3EF6" w:rsidRPr="001D3EF6" w:rsidRDefault="001D3EF6" w:rsidP="001D3EF6">
      <w:pPr>
        <w:rPr>
          <w:rFonts w:ascii="Times New Roman" w:eastAsia="Times New Roman" w:hAnsi="Times New Roman" w:cs="Times New Roman"/>
          <w:kern w:val="0"/>
          <w:lang w:val="es-CO" w:eastAsia="es-MX"/>
          <w14:ligatures w14:val="none"/>
        </w:rPr>
      </w:pPr>
    </w:p>
    <w:p w14:paraId="2E400481"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color w:val="000000"/>
          <w:kern w:val="0"/>
          <w:lang w:val="es-CO" w:eastAsia="es-MX"/>
          <w14:ligatures w14:val="none"/>
        </w:rPr>
        <w:lastRenderedPageBreak/>
        <w:t>Ahora bien, si desde el año 2015 existían partidas que debían reconocerse en otro resultado integral y estas no fueron presentadas de forma adecuada en los estados financieros, la situación podría constituir un error en la presentación de la información financiera.</w:t>
      </w:r>
    </w:p>
    <w:p w14:paraId="68F98E8B" w14:textId="77777777" w:rsidR="001D3EF6" w:rsidRPr="001D3EF6" w:rsidRDefault="001D3EF6" w:rsidP="001D3EF6">
      <w:pPr>
        <w:rPr>
          <w:rFonts w:ascii="Times New Roman" w:eastAsia="Times New Roman" w:hAnsi="Times New Roman" w:cs="Times New Roman"/>
          <w:kern w:val="0"/>
          <w:lang w:val="es-CO" w:eastAsia="es-MX"/>
          <w14:ligatures w14:val="none"/>
        </w:rPr>
      </w:pPr>
    </w:p>
    <w:p w14:paraId="48DE67DA"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color w:val="000000"/>
          <w:kern w:val="0"/>
          <w:lang w:val="es-CO" w:eastAsia="es-MX"/>
          <w14:ligatures w14:val="none"/>
        </w:rPr>
        <w:t>De acuerdo con la Sección 10 – Políticas contables, estimaciones y errores de la NIIF para las PYMES, cuando se identifican errores en periodos anteriores, estos deben corregirse de forma retroactiva, mediante:</w:t>
      </w:r>
    </w:p>
    <w:p w14:paraId="1742EB9E" w14:textId="77777777" w:rsidR="001D3EF6" w:rsidRPr="001D3EF6" w:rsidRDefault="001D3EF6" w:rsidP="001D3EF6">
      <w:pPr>
        <w:rPr>
          <w:rFonts w:ascii="Times New Roman" w:eastAsia="Times New Roman" w:hAnsi="Times New Roman" w:cs="Times New Roman"/>
          <w:kern w:val="0"/>
          <w:lang w:val="es-CO" w:eastAsia="es-MX"/>
          <w14:ligatures w14:val="none"/>
        </w:rPr>
      </w:pPr>
      <w:r w:rsidRPr="001D3EF6">
        <w:rPr>
          <w:rFonts w:ascii="Times New Roman" w:eastAsia="Times New Roman" w:hAnsi="Times New Roman" w:cs="Times New Roman"/>
          <w:kern w:val="0"/>
          <w:lang w:val="es-CO" w:eastAsia="es-MX"/>
          <w14:ligatures w14:val="none"/>
        </w:rPr>
        <w:br/>
      </w:r>
    </w:p>
    <w:p w14:paraId="7D55C291" w14:textId="77777777" w:rsidR="001D3EF6" w:rsidRPr="001D3EF6" w:rsidRDefault="001D3EF6" w:rsidP="001D3EF6">
      <w:pPr>
        <w:numPr>
          <w:ilvl w:val="0"/>
          <w:numId w:val="8"/>
        </w:numPr>
        <w:ind w:left="360"/>
        <w:jc w:val="both"/>
        <w:textAlignment w:val="baseline"/>
        <w:rPr>
          <w:rFonts w:ascii="Verdana" w:eastAsia="Times New Roman" w:hAnsi="Verdana" w:cs="Times New Roman"/>
          <w:color w:val="000000"/>
          <w:kern w:val="0"/>
          <w:lang w:val="es-CO" w:eastAsia="es-MX"/>
          <w14:ligatures w14:val="none"/>
        </w:rPr>
      </w:pPr>
      <w:r w:rsidRPr="001D3EF6">
        <w:rPr>
          <w:rFonts w:ascii="Verdana" w:eastAsia="Times New Roman" w:hAnsi="Verdana" w:cs="Times New Roman"/>
          <w:color w:val="000000"/>
          <w:kern w:val="0"/>
          <w:lang w:val="es-CO" w:eastAsia="es-MX"/>
          <w14:ligatures w14:val="none"/>
        </w:rPr>
        <w:t xml:space="preserve">la </w:t>
      </w:r>
      <w:proofErr w:type="spellStart"/>
      <w:r w:rsidRPr="001D3EF6">
        <w:rPr>
          <w:rFonts w:ascii="Verdana" w:eastAsia="Times New Roman" w:hAnsi="Verdana" w:cs="Times New Roman"/>
          <w:color w:val="000000"/>
          <w:kern w:val="0"/>
          <w:lang w:val="es-CO" w:eastAsia="es-MX"/>
          <w14:ligatures w14:val="none"/>
        </w:rPr>
        <w:t>reexpresión</w:t>
      </w:r>
      <w:proofErr w:type="spellEnd"/>
      <w:r w:rsidRPr="001D3EF6">
        <w:rPr>
          <w:rFonts w:ascii="Verdana" w:eastAsia="Times New Roman" w:hAnsi="Verdana" w:cs="Times New Roman"/>
          <w:color w:val="000000"/>
          <w:kern w:val="0"/>
          <w:lang w:val="es-CO" w:eastAsia="es-MX"/>
          <w14:ligatures w14:val="none"/>
        </w:rPr>
        <w:t xml:space="preserve"> de la información comparativa correspondiente al periodo o periodos anteriores en los que se originó el error; o</w:t>
      </w:r>
    </w:p>
    <w:p w14:paraId="5E164164" w14:textId="77777777" w:rsidR="001D3EF6" w:rsidRPr="001D3EF6" w:rsidRDefault="001D3EF6" w:rsidP="001D3EF6">
      <w:pPr>
        <w:numPr>
          <w:ilvl w:val="0"/>
          <w:numId w:val="8"/>
        </w:numPr>
        <w:ind w:left="360"/>
        <w:jc w:val="both"/>
        <w:textAlignment w:val="baseline"/>
        <w:rPr>
          <w:rFonts w:ascii="Verdana" w:eastAsia="Times New Roman" w:hAnsi="Verdana" w:cs="Times New Roman"/>
          <w:color w:val="000000"/>
          <w:kern w:val="0"/>
          <w:lang w:val="es-CO" w:eastAsia="es-MX"/>
          <w14:ligatures w14:val="none"/>
        </w:rPr>
      </w:pPr>
      <w:r w:rsidRPr="001D3EF6">
        <w:rPr>
          <w:rFonts w:ascii="Verdana" w:eastAsia="Times New Roman" w:hAnsi="Verdana" w:cs="Times New Roman"/>
          <w:color w:val="000000"/>
          <w:kern w:val="0"/>
          <w:lang w:val="es-CO" w:eastAsia="es-MX"/>
          <w14:ligatures w14:val="none"/>
        </w:rPr>
        <w:t>el ajuste de los saldos iniciales de activos, pasivos y patrimonio del periodo más antiguo presentado, cuando resulte impracticable determinar los efectos del error en los periodos anteriores.</w:t>
      </w:r>
    </w:p>
    <w:p w14:paraId="16D777D1" w14:textId="77777777" w:rsidR="001D3EF6" w:rsidRPr="001D3EF6" w:rsidRDefault="001D3EF6" w:rsidP="001D3EF6">
      <w:pPr>
        <w:rPr>
          <w:rFonts w:ascii="Times New Roman" w:eastAsia="Times New Roman" w:hAnsi="Times New Roman" w:cs="Times New Roman"/>
          <w:kern w:val="0"/>
          <w:lang w:val="es-CO" w:eastAsia="es-MX"/>
          <w14:ligatures w14:val="none"/>
        </w:rPr>
      </w:pPr>
    </w:p>
    <w:p w14:paraId="631C4246"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color w:val="000000"/>
          <w:kern w:val="0"/>
          <w:lang w:val="es-CO" w:eastAsia="es-MX"/>
          <w14:ligatures w14:val="none"/>
        </w:rPr>
        <w:t xml:space="preserve">Por lo tanto, si se concluye que desde periodos anteriores existían partidas que debían presentarse como otro resultado integral, la entidad deberá evaluar la necesidad de </w:t>
      </w:r>
      <w:proofErr w:type="spellStart"/>
      <w:r w:rsidRPr="001D3EF6">
        <w:rPr>
          <w:rFonts w:ascii="Verdana" w:eastAsia="Times New Roman" w:hAnsi="Verdana" w:cs="Times New Roman"/>
          <w:color w:val="000000"/>
          <w:kern w:val="0"/>
          <w:lang w:val="es-CO" w:eastAsia="es-MX"/>
          <w14:ligatures w14:val="none"/>
        </w:rPr>
        <w:t>reexpresar</w:t>
      </w:r>
      <w:proofErr w:type="spellEnd"/>
      <w:r w:rsidRPr="001D3EF6">
        <w:rPr>
          <w:rFonts w:ascii="Verdana" w:eastAsia="Times New Roman" w:hAnsi="Verdana" w:cs="Times New Roman"/>
          <w:color w:val="000000"/>
          <w:kern w:val="0"/>
          <w:lang w:val="es-CO" w:eastAsia="es-MX"/>
          <w14:ligatures w14:val="none"/>
        </w:rPr>
        <w:t xml:space="preserve"> la información comparativa, salvo que resulte impracticable determinar sus efectos.</w:t>
      </w:r>
    </w:p>
    <w:p w14:paraId="4E275DDB" w14:textId="77777777" w:rsidR="001D3EF6" w:rsidRPr="001D3EF6" w:rsidRDefault="001D3EF6" w:rsidP="001D3EF6">
      <w:pPr>
        <w:rPr>
          <w:rFonts w:ascii="Times New Roman" w:eastAsia="Times New Roman" w:hAnsi="Times New Roman" w:cs="Times New Roman"/>
          <w:kern w:val="0"/>
          <w:lang w:val="es-CO" w:eastAsia="es-MX"/>
          <w14:ligatures w14:val="none"/>
        </w:rPr>
      </w:pPr>
    </w:p>
    <w:p w14:paraId="57488003"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color w:val="000000"/>
          <w:kern w:val="0"/>
          <w:lang w:val="es-CO" w:eastAsia="es-MX"/>
          <w14:ligatures w14:val="none"/>
        </w:rPr>
        <w:t>Por el contrario, si en periodos anteriores no existían partidas de otro resultado integral derivadas de las subsidiarias, la presentación del resultado integral podría iniciarse en el periodo en el cual dichas partidas comiencen a surgir.</w:t>
      </w:r>
    </w:p>
    <w:p w14:paraId="1363CAAF" w14:textId="77777777" w:rsidR="001D3EF6" w:rsidRPr="001D3EF6" w:rsidRDefault="001D3EF6" w:rsidP="001D3EF6">
      <w:pPr>
        <w:rPr>
          <w:rFonts w:ascii="Times New Roman" w:eastAsia="Times New Roman" w:hAnsi="Times New Roman" w:cs="Times New Roman"/>
          <w:kern w:val="0"/>
          <w:lang w:val="es-CO" w:eastAsia="es-MX"/>
          <w14:ligatures w14:val="none"/>
        </w:rPr>
      </w:pPr>
      <w:r w:rsidRPr="001D3EF6">
        <w:rPr>
          <w:rFonts w:ascii="Times New Roman" w:eastAsia="Times New Roman" w:hAnsi="Times New Roman" w:cs="Times New Roman"/>
          <w:kern w:val="0"/>
          <w:lang w:val="es-CO" w:eastAsia="es-MX"/>
          <w14:ligatures w14:val="none"/>
        </w:rPr>
        <w:br/>
      </w:r>
    </w:p>
    <w:p w14:paraId="76635C02" w14:textId="77777777" w:rsidR="001D3EF6" w:rsidRPr="001D3EF6" w:rsidRDefault="001D3EF6" w:rsidP="001D3EF6">
      <w:pPr>
        <w:numPr>
          <w:ilvl w:val="0"/>
          <w:numId w:val="9"/>
        </w:numPr>
        <w:jc w:val="both"/>
        <w:textAlignment w:val="baseline"/>
        <w:rPr>
          <w:rFonts w:ascii="Verdana" w:eastAsia="Times New Roman" w:hAnsi="Verdana" w:cs="Times New Roman"/>
          <w:b/>
          <w:bCs/>
          <w:i/>
          <w:iCs/>
          <w:color w:val="000000"/>
          <w:kern w:val="0"/>
          <w:lang w:val="es-CO" w:eastAsia="es-MX"/>
          <w14:ligatures w14:val="none"/>
        </w:rPr>
      </w:pPr>
      <w:r w:rsidRPr="001D3EF6">
        <w:rPr>
          <w:rFonts w:ascii="Verdana" w:eastAsia="Times New Roman" w:hAnsi="Verdana" w:cs="Times New Roman"/>
          <w:b/>
          <w:bCs/>
          <w:i/>
          <w:iCs/>
          <w:color w:val="000000"/>
          <w:kern w:val="0"/>
          <w:lang w:val="es-CO" w:eastAsia="es-MX"/>
          <w14:ligatures w14:val="none"/>
        </w:rPr>
        <w:t>En relación con la presentación del Estado de Otro Resultado Integral, este requiere la clasificación de sus componentes en partidas que se reclasificarán posteriormente al resultado del periodo y partidas que no se reclasificarán.</w:t>
      </w:r>
    </w:p>
    <w:p w14:paraId="5CCDC105" w14:textId="77777777" w:rsidR="001D3EF6" w:rsidRPr="001D3EF6" w:rsidRDefault="001D3EF6" w:rsidP="001D3EF6">
      <w:pPr>
        <w:rPr>
          <w:rFonts w:ascii="Times New Roman" w:eastAsia="Times New Roman" w:hAnsi="Times New Roman" w:cs="Times New Roman"/>
          <w:kern w:val="0"/>
          <w:lang w:val="es-CO" w:eastAsia="es-MX"/>
          <w14:ligatures w14:val="none"/>
        </w:rPr>
      </w:pPr>
    </w:p>
    <w:p w14:paraId="5C72C63D"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b/>
          <w:bCs/>
          <w:i/>
          <w:iCs/>
          <w:color w:val="000000"/>
          <w:kern w:val="0"/>
          <w:lang w:val="es-CO" w:eastAsia="es-MX"/>
          <w14:ligatures w14:val="none"/>
        </w:rPr>
        <w:t>Para el caso específico de:</w:t>
      </w:r>
    </w:p>
    <w:p w14:paraId="3A2C01CE" w14:textId="77777777" w:rsidR="001D3EF6" w:rsidRPr="001D3EF6" w:rsidRDefault="001D3EF6" w:rsidP="001D3EF6">
      <w:pPr>
        <w:rPr>
          <w:rFonts w:ascii="Times New Roman" w:eastAsia="Times New Roman" w:hAnsi="Times New Roman" w:cs="Times New Roman"/>
          <w:kern w:val="0"/>
          <w:lang w:val="es-CO" w:eastAsia="es-MX"/>
          <w14:ligatures w14:val="none"/>
        </w:rPr>
      </w:pPr>
      <w:r w:rsidRPr="001D3EF6">
        <w:rPr>
          <w:rFonts w:ascii="Times New Roman" w:eastAsia="Times New Roman" w:hAnsi="Times New Roman" w:cs="Times New Roman"/>
          <w:kern w:val="0"/>
          <w:lang w:val="es-CO" w:eastAsia="es-MX"/>
          <w14:ligatures w14:val="none"/>
        </w:rPr>
        <w:br/>
      </w:r>
    </w:p>
    <w:p w14:paraId="454E080A" w14:textId="77777777" w:rsidR="001D3EF6" w:rsidRPr="001D3EF6" w:rsidRDefault="001D3EF6" w:rsidP="001D3EF6">
      <w:pPr>
        <w:numPr>
          <w:ilvl w:val="0"/>
          <w:numId w:val="10"/>
        </w:numPr>
        <w:ind w:left="360"/>
        <w:jc w:val="both"/>
        <w:textAlignment w:val="baseline"/>
        <w:rPr>
          <w:rFonts w:ascii="Verdana" w:eastAsia="Times New Roman" w:hAnsi="Verdana" w:cs="Times New Roman"/>
          <w:b/>
          <w:bCs/>
          <w:i/>
          <w:iCs/>
          <w:color w:val="000000"/>
          <w:kern w:val="0"/>
          <w:lang w:val="es-CO" w:eastAsia="es-MX"/>
          <w14:ligatures w14:val="none"/>
        </w:rPr>
      </w:pPr>
      <w:r w:rsidRPr="001D3EF6">
        <w:rPr>
          <w:rFonts w:ascii="Verdana" w:eastAsia="Times New Roman" w:hAnsi="Verdana" w:cs="Times New Roman"/>
          <w:b/>
          <w:bCs/>
          <w:i/>
          <w:iCs/>
          <w:color w:val="000000"/>
          <w:kern w:val="0"/>
          <w:lang w:val="es-CO" w:eastAsia="es-MX"/>
          <w14:ligatures w14:val="none"/>
        </w:rPr>
        <w:t>La aplicación del método de la participación en subsidiarias respecto de las cuales, a la fecha, no existe intención de venta.</w:t>
      </w:r>
    </w:p>
    <w:p w14:paraId="5D97370E" w14:textId="77777777" w:rsidR="001D3EF6" w:rsidRPr="001D3EF6" w:rsidRDefault="001D3EF6" w:rsidP="001D3EF6">
      <w:pPr>
        <w:numPr>
          <w:ilvl w:val="0"/>
          <w:numId w:val="10"/>
        </w:numPr>
        <w:ind w:left="360"/>
        <w:jc w:val="both"/>
        <w:textAlignment w:val="baseline"/>
        <w:rPr>
          <w:rFonts w:ascii="Verdana" w:eastAsia="Times New Roman" w:hAnsi="Verdana" w:cs="Times New Roman"/>
          <w:b/>
          <w:bCs/>
          <w:i/>
          <w:iCs/>
          <w:color w:val="000000"/>
          <w:kern w:val="0"/>
          <w:lang w:val="es-CO" w:eastAsia="es-MX"/>
          <w14:ligatures w14:val="none"/>
        </w:rPr>
      </w:pPr>
      <w:r w:rsidRPr="001D3EF6">
        <w:rPr>
          <w:rFonts w:ascii="Verdana" w:eastAsia="Times New Roman" w:hAnsi="Verdana" w:cs="Times New Roman"/>
          <w:b/>
          <w:bCs/>
          <w:i/>
          <w:iCs/>
          <w:color w:val="000000"/>
          <w:kern w:val="0"/>
          <w:lang w:val="es-CO" w:eastAsia="es-MX"/>
          <w14:ligatures w14:val="none"/>
        </w:rPr>
        <w:t>El reconocimiento de diferencias en conversión de moneda extranjera correspondientes a una subsidiaria en el exterior.</w:t>
      </w:r>
    </w:p>
    <w:p w14:paraId="0D28029C" w14:textId="77777777" w:rsidR="001D3EF6" w:rsidRPr="001D3EF6" w:rsidRDefault="001D3EF6" w:rsidP="001D3EF6">
      <w:pPr>
        <w:rPr>
          <w:rFonts w:ascii="Times New Roman" w:eastAsia="Times New Roman" w:hAnsi="Times New Roman" w:cs="Times New Roman"/>
          <w:kern w:val="0"/>
          <w:lang w:val="es-CO" w:eastAsia="es-MX"/>
          <w14:ligatures w14:val="none"/>
        </w:rPr>
      </w:pPr>
    </w:p>
    <w:p w14:paraId="52F8CB13"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b/>
          <w:bCs/>
          <w:i/>
          <w:iCs/>
          <w:color w:val="000000"/>
          <w:kern w:val="0"/>
          <w:lang w:val="es-CO" w:eastAsia="es-MX"/>
          <w14:ligatures w14:val="none"/>
        </w:rPr>
        <w:t>¿Cuál sería la clasificación adecuada de estas partidas dentro del Estado de Otro Resultado Integral? (…)”</w:t>
      </w:r>
    </w:p>
    <w:p w14:paraId="2D937EC8" w14:textId="77777777" w:rsidR="001D3EF6" w:rsidRPr="001D3EF6" w:rsidRDefault="001D3EF6" w:rsidP="001D3EF6">
      <w:pPr>
        <w:rPr>
          <w:rFonts w:ascii="Times New Roman" w:eastAsia="Times New Roman" w:hAnsi="Times New Roman" w:cs="Times New Roman"/>
          <w:kern w:val="0"/>
          <w:lang w:val="es-CO" w:eastAsia="es-MX"/>
          <w14:ligatures w14:val="none"/>
        </w:rPr>
      </w:pPr>
    </w:p>
    <w:p w14:paraId="0E738132"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color w:val="000000"/>
          <w:kern w:val="0"/>
          <w:lang w:val="es-CO" w:eastAsia="es-MX"/>
          <w14:ligatures w14:val="none"/>
        </w:rPr>
        <w:lastRenderedPageBreak/>
        <w:t>La Sección 5 de la NIIF para las PYMES establece que las partidas de otro resultado integral deben presentarse clasificadas según su naturaleza, distinguiendo entre:</w:t>
      </w:r>
    </w:p>
    <w:p w14:paraId="00301A08" w14:textId="77777777" w:rsidR="001D3EF6" w:rsidRPr="001D3EF6" w:rsidRDefault="001D3EF6" w:rsidP="001D3EF6">
      <w:pPr>
        <w:rPr>
          <w:rFonts w:ascii="Times New Roman" w:eastAsia="Times New Roman" w:hAnsi="Times New Roman" w:cs="Times New Roman"/>
          <w:kern w:val="0"/>
          <w:lang w:val="es-CO" w:eastAsia="es-MX"/>
          <w14:ligatures w14:val="none"/>
        </w:rPr>
      </w:pPr>
      <w:r w:rsidRPr="001D3EF6">
        <w:rPr>
          <w:rFonts w:ascii="Times New Roman" w:eastAsia="Times New Roman" w:hAnsi="Times New Roman" w:cs="Times New Roman"/>
          <w:kern w:val="0"/>
          <w:lang w:val="es-CO" w:eastAsia="es-MX"/>
          <w14:ligatures w14:val="none"/>
        </w:rPr>
        <w:br/>
      </w:r>
    </w:p>
    <w:p w14:paraId="50636797" w14:textId="77777777" w:rsidR="001D3EF6" w:rsidRPr="001D3EF6" w:rsidRDefault="001D3EF6" w:rsidP="001D3EF6">
      <w:pPr>
        <w:numPr>
          <w:ilvl w:val="0"/>
          <w:numId w:val="11"/>
        </w:numPr>
        <w:ind w:left="360"/>
        <w:jc w:val="both"/>
        <w:textAlignment w:val="baseline"/>
        <w:rPr>
          <w:rFonts w:ascii="Verdana" w:eastAsia="Times New Roman" w:hAnsi="Verdana" w:cs="Times New Roman"/>
          <w:color w:val="000000"/>
          <w:kern w:val="0"/>
          <w:lang w:val="es-CO" w:eastAsia="es-MX"/>
          <w14:ligatures w14:val="none"/>
        </w:rPr>
      </w:pPr>
      <w:r w:rsidRPr="001D3EF6">
        <w:rPr>
          <w:rFonts w:ascii="Verdana" w:eastAsia="Times New Roman" w:hAnsi="Verdana" w:cs="Times New Roman"/>
          <w:color w:val="000000"/>
          <w:kern w:val="0"/>
          <w:lang w:val="es-CO" w:eastAsia="es-MX"/>
          <w14:ligatures w14:val="none"/>
        </w:rPr>
        <w:t>partidas que se reclasificarán posteriormente al resultado del periodo, y</w:t>
      </w:r>
    </w:p>
    <w:p w14:paraId="1089FF06" w14:textId="77777777" w:rsidR="001D3EF6" w:rsidRPr="001D3EF6" w:rsidRDefault="001D3EF6" w:rsidP="001D3EF6">
      <w:pPr>
        <w:numPr>
          <w:ilvl w:val="0"/>
          <w:numId w:val="11"/>
        </w:numPr>
        <w:ind w:left="360"/>
        <w:jc w:val="both"/>
        <w:textAlignment w:val="baseline"/>
        <w:rPr>
          <w:rFonts w:ascii="Verdana" w:eastAsia="Times New Roman" w:hAnsi="Verdana" w:cs="Times New Roman"/>
          <w:color w:val="000000"/>
          <w:kern w:val="0"/>
          <w:lang w:val="es-CO" w:eastAsia="es-MX"/>
          <w14:ligatures w14:val="none"/>
        </w:rPr>
      </w:pPr>
      <w:r w:rsidRPr="001D3EF6">
        <w:rPr>
          <w:rFonts w:ascii="Verdana" w:eastAsia="Times New Roman" w:hAnsi="Verdana" w:cs="Times New Roman"/>
          <w:color w:val="000000"/>
          <w:kern w:val="0"/>
          <w:lang w:val="es-CO" w:eastAsia="es-MX"/>
          <w14:ligatures w14:val="none"/>
        </w:rPr>
        <w:t>partidas que no se reclasificarán posteriormente al resultado del periodo.</w:t>
      </w:r>
    </w:p>
    <w:p w14:paraId="19095203" w14:textId="77777777" w:rsidR="001D3EF6" w:rsidRPr="001D3EF6" w:rsidRDefault="001D3EF6" w:rsidP="001D3EF6">
      <w:pPr>
        <w:rPr>
          <w:rFonts w:ascii="Times New Roman" w:eastAsia="Times New Roman" w:hAnsi="Times New Roman" w:cs="Times New Roman"/>
          <w:kern w:val="0"/>
          <w:lang w:val="es-CO" w:eastAsia="es-MX"/>
          <w14:ligatures w14:val="none"/>
        </w:rPr>
      </w:pPr>
    </w:p>
    <w:p w14:paraId="159C05D9"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color w:val="000000"/>
          <w:kern w:val="0"/>
          <w:lang w:val="es-CO" w:eastAsia="es-MX"/>
          <w14:ligatures w14:val="none"/>
        </w:rPr>
        <w:t xml:space="preserve">En el contexto descrito por el consultante, es importante tener en cuenta que el </w:t>
      </w:r>
      <w:r w:rsidRPr="001D3EF6">
        <w:rPr>
          <w:rFonts w:ascii="Verdana" w:eastAsia="Times New Roman" w:hAnsi="Verdana" w:cs="Times New Roman"/>
          <w:b/>
          <w:bCs/>
          <w:color w:val="000000"/>
          <w:kern w:val="0"/>
          <w:lang w:val="es-CO" w:eastAsia="es-MX"/>
          <w14:ligatures w14:val="none"/>
        </w:rPr>
        <w:t>método de la participación no genera por sí mismo partidas de otro resultado integral</w:t>
      </w:r>
      <w:r w:rsidRPr="001D3EF6">
        <w:rPr>
          <w:rFonts w:ascii="Verdana" w:eastAsia="Times New Roman" w:hAnsi="Verdana" w:cs="Times New Roman"/>
          <w:color w:val="000000"/>
          <w:kern w:val="0"/>
          <w:lang w:val="es-CO" w:eastAsia="es-MX"/>
          <w14:ligatures w14:val="none"/>
        </w:rPr>
        <w:t>, sino que refleja la participación del inversor en las partidas de otro resultado integral reconocidas por la participada, conforme a lo indicado en el párrafo 14.8 de la NIIF para las PYMES.</w:t>
      </w:r>
    </w:p>
    <w:p w14:paraId="1D99179F" w14:textId="77777777" w:rsidR="001D3EF6" w:rsidRPr="001D3EF6" w:rsidRDefault="001D3EF6" w:rsidP="001D3EF6">
      <w:pPr>
        <w:rPr>
          <w:rFonts w:ascii="Times New Roman" w:eastAsia="Times New Roman" w:hAnsi="Times New Roman" w:cs="Times New Roman"/>
          <w:kern w:val="0"/>
          <w:lang w:val="es-CO" w:eastAsia="es-MX"/>
          <w14:ligatures w14:val="none"/>
        </w:rPr>
      </w:pPr>
    </w:p>
    <w:p w14:paraId="152BF4AC"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color w:val="000000"/>
          <w:kern w:val="0"/>
          <w:lang w:val="es-CO" w:eastAsia="es-MX"/>
          <w14:ligatures w14:val="none"/>
        </w:rPr>
        <w:t>La clasificación dentro del otro resultado integral dependerá de la naturaleza de la partida reconocida por la subsidiaria, manteniendo la misma clasificación en los estados financieros de la controladora.</w:t>
      </w:r>
    </w:p>
    <w:p w14:paraId="52563004" w14:textId="77777777" w:rsidR="001D3EF6" w:rsidRPr="001D3EF6" w:rsidRDefault="001D3EF6" w:rsidP="001D3EF6">
      <w:pPr>
        <w:rPr>
          <w:rFonts w:ascii="Times New Roman" w:eastAsia="Times New Roman" w:hAnsi="Times New Roman" w:cs="Times New Roman"/>
          <w:kern w:val="0"/>
          <w:lang w:val="es-CO" w:eastAsia="es-MX"/>
          <w14:ligatures w14:val="none"/>
        </w:rPr>
      </w:pPr>
    </w:p>
    <w:p w14:paraId="4F7CF8DF"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color w:val="000000"/>
          <w:kern w:val="0"/>
          <w:lang w:val="es-CO" w:eastAsia="es-MX"/>
          <w14:ligatures w14:val="none"/>
        </w:rPr>
        <w:t>En particular, el párrafo 5.4(b) indica lo siguiente:</w:t>
      </w:r>
    </w:p>
    <w:p w14:paraId="086460AD" w14:textId="77777777" w:rsidR="001D3EF6" w:rsidRPr="001D3EF6" w:rsidRDefault="001D3EF6" w:rsidP="001D3EF6">
      <w:pPr>
        <w:rPr>
          <w:rFonts w:ascii="Times New Roman" w:eastAsia="Times New Roman" w:hAnsi="Times New Roman" w:cs="Times New Roman"/>
          <w:kern w:val="0"/>
          <w:lang w:val="es-CO" w:eastAsia="es-MX"/>
          <w14:ligatures w14:val="none"/>
        </w:rPr>
      </w:pPr>
    </w:p>
    <w:p w14:paraId="0DDD8246"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i/>
          <w:iCs/>
          <w:color w:val="000000"/>
          <w:kern w:val="0"/>
          <w:lang w:val="es-CO" w:eastAsia="es-MX"/>
          <w14:ligatures w14:val="none"/>
        </w:rPr>
        <w:t>“5.4 Según el enfoque de un único estado, el estado del resultado integral incluirá todas las partidas de ingreso y gasto reconocidas en un periodo a menos que esta Norma requiera otro tratamiento. Esta Norma proporciona un tratamiento diferente para las siguientes circunstancias: (…)</w:t>
      </w:r>
    </w:p>
    <w:p w14:paraId="05DB7E77" w14:textId="77777777" w:rsidR="001D3EF6" w:rsidRPr="001D3EF6" w:rsidRDefault="001D3EF6" w:rsidP="001D3EF6">
      <w:pPr>
        <w:rPr>
          <w:rFonts w:ascii="Times New Roman" w:eastAsia="Times New Roman" w:hAnsi="Times New Roman" w:cs="Times New Roman"/>
          <w:kern w:val="0"/>
          <w:lang w:val="es-CO" w:eastAsia="es-MX"/>
          <w14:ligatures w14:val="none"/>
        </w:rPr>
      </w:pPr>
      <w:r w:rsidRPr="001D3EF6">
        <w:rPr>
          <w:rFonts w:ascii="Times New Roman" w:eastAsia="Times New Roman" w:hAnsi="Times New Roman" w:cs="Times New Roman"/>
          <w:kern w:val="0"/>
          <w:lang w:val="es-CO" w:eastAsia="es-MX"/>
          <w14:ligatures w14:val="none"/>
        </w:rPr>
        <w:br/>
      </w:r>
    </w:p>
    <w:p w14:paraId="508F5633" w14:textId="77777777" w:rsidR="001D3EF6" w:rsidRPr="001D3EF6" w:rsidRDefault="001D3EF6" w:rsidP="001D3EF6">
      <w:pPr>
        <w:numPr>
          <w:ilvl w:val="0"/>
          <w:numId w:val="12"/>
        </w:numPr>
        <w:ind w:left="360"/>
        <w:jc w:val="both"/>
        <w:textAlignment w:val="baseline"/>
        <w:rPr>
          <w:rFonts w:ascii="Verdana" w:eastAsia="Times New Roman" w:hAnsi="Verdana" w:cs="Times New Roman"/>
          <w:i/>
          <w:iCs/>
          <w:color w:val="000000"/>
          <w:kern w:val="0"/>
          <w:lang w:val="es-CO" w:eastAsia="es-MX"/>
          <w14:ligatures w14:val="none"/>
        </w:rPr>
      </w:pPr>
      <w:r w:rsidRPr="001D3EF6">
        <w:rPr>
          <w:rFonts w:ascii="Verdana" w:eastAsia="Times New Roman" w:hAnsi="Verdana" w:cs="Times New Roman"/>
          <w:i/>
          <w:iCs/>
          <w:color w:val="000000"/>
          <w:kern w:val="0"/>
          <w:lang w:val="es-CO" w:eastAsia="es-MX"/>
          <w14:ligatures w14:val="none"/>
        </w:rPr>
        <w:t>se reconocen cuatro tipos de otro resultado integral como parte del resultado integral total, fuera del resultado, cuando se producen:</w:t>
      </w:r>
    </w:p>
    <w:p w14:paraId="25EABA7F" w14:textId="77777777" w:rsidR="001D3EF6" w:rsidRPr="001D3EF6" w:rsidRDefault="001D3EF6" w:rsidP="001D3EF6">
      <w:pPr>
        <w:rPr>
          <w:rFonts w:ascii="Times New Roman" w:eastAsia="Times New Roman" w:hAnsi="Times New Roman" w:cs="Times New Roman"/>
          <w:kern w:val="0"/>
          <w:lang w:val="es-CO" w:eastAsia="es-MX"/>
          <w14:ligatures w14:val="none"/>
        </w:rPr>
      </w:pPr>
      <w:r w:rsidRPr="001D3EF6">
        <w:rPr>
          <w:rFonts w:ascii="Times New Roman" w:eastAsia="Times New Roman" w:hAnsi="Times New Roman" w:cs="Times New Roman"/>
          <w:kern w:val="0"/>
          <w:lang w:val="es-CO" w:eastAsia="es-MX"/>
          <w14:ligatures w14:val="none"/>
        </w:rPr>
        <w:br/>
      </w:r>
    </w:p>
    <w:p w14:paraId="3901570E" w14:textId="77777777" w:rsidR="001D3EF6" w:rsidRPr="001D3EF6" w:rsidRDefault="001D3EF6" w:rsidP="001D3EF6">
      <w:pPr>
        <w:numPr>
          <w:ilvl w:val="0"/>
          <w:numId w:val="13"/>
        </w:numPr>
        <w:jc w:val="both"/>
        <w:textAlignment w:val="baseline"/>
        <w:rPr>
          <w:rFonts w:ascii="Verdana" w:eastAsia="Times New Roman" w:hAnsi="Verdana" w:cs="Times New Roman"/>
          <w:i/>
          <w:iCs/>
          <w:color w:val="000000"/>
          <w:kern w:val="0"/>
          <w:lang w:val="es-CO" w:eastAsia="es-MX"/>
          <w14:ligatures w14:val="none"/>
        </w:rPr>
      </w:pPr>
      <w:r w:rsidRPr="001D3EF6">
        <w:rPr>
          <w:rFonts w:ascii="Verdana" w:eastAsia="Times New Roman" w:hAnsi="Verdana" w:cs="Times New Roman"/>
          <w:i/>
          <w:iCs/>
          <w:color w:val="000000"/>
          <w:kern w:val="0"/>
          <w:lang w:val="es-CO" w:eastAsia="es-MX"/>
          <w14:ligatures w14:val="none"/>
        </w:rPr>
        <w:t>algunas ganancias y pérdidas que surjan de la conversión de los estados financieros de un negocio en el extranjero (véase la Sección 30 Conversión de Moneda Extranjera);</w:t>
      </w:r>
    </w:p>
    <w:p w14:paraId="0375816A" w14:textId="77777777" w:rsidR="001D3EF6" w:rsidRPr="001D3EF6" w:rsidRDefault="001D3EF6" w:rsidP="001D3EF6">
      <w:pPr>
        <w:numPr>
          <w:ilvl w:val="0"/>
          <w:numId w:val="14"/>
        </w:numPr>
        <w:jc w:val="both"/>
        <w:textAlignment w:val="baseline"/>
        <w:rPr>
          <w:rFonts w:ascii="Verdana" w:eastAsia="Times New Roman" w:hAnsi="Verdana" w:cs="Times New Roman"/>
          <w:i/>
          <w:iCs/>
          <w:color w:val="000000"/>
          <w:kern w:val="0"/>
          <w:lang w:val="es-CO" w:eastAsia="es-MX"/>
          <w14:ligatures w14:val="none"/>
        </w:rPr>
      </w:pPr>
      <w:r w:rsidRPr="001D3EF6">
        <w:rPr>
          <w:rFonts w:ascii="Verdana" w:eastAsia="Times New Roman" w:hAnsi="Verdana" w:cs="Times New Roman"/>
          <w:i/>
          <w:iCs/>
          <w:color w:val="000000"/>
          <w:kern w:val="0"/>
          <w:lang w:val="es-CO" w:eastAsia="es-MX"/>
          <w14:ligatures w14:val="none"/>
        </w:rPr>
        <w:t>algunas ganancias y pérdidas actuariales (véase la Sección 28 Beneficios a los Empleados);</w:t>
      </w:r>
    </w:p>
    <w:p w14:paraId="4DF2845E" w14:textId="77777777" w:rsidR="001D3EF6" w:rsidRPr="001D3EF6" w:rsidRDefault="001D3EF6" w:rsidP="001D3EF6">
      <w:pPr>
        <w:numPr>
          <w:ilvl w:val="0"/>
          <w:numId w:val="15"/>
        </w:numPr>
        <w:jc w:val="both"/>
        <w:textAlignment w:val="baseline"/>
        <w:rPr>
          <w:rFonts w:ascii="Verdana" w:eastAsia="Times New Roman" w:hAnsi="Verdana" w:cs="Times New Roman"/>
          <w:i/>
          <w:iCs/>
          <w:color w:val="000000"/>
          <w:kern w:val="0"/>
          <w:lang w:val="es-CO" w:eastAsia="es-MX"/>
          <w14:ligatures w14:val="none"/>
        </w:rPr>
      </w:pPr>
      <w:r w:rsidRPr="001D3EF6">
        <w:rPr>
          <w:rFonts w:ascii="Verdana" w:eastAsia="Times New Roman" w:hAnsi="Verdana" w:cs="Times New Roman"/>
          <w:i/>
          <w:iCs/>
          <w:color w:val="000000"/>
          <w:kern w:val="0"/>
          <w:lang w:val="es-CO" w:eastAsia="es-MX"/>
          <w14:ligatures w14:val="none"/>
        </w:rPr>
        <w:t>algunos cambios en los valores razonables de los instrumentos de cobertura (véase la Sección 12 Otros Temas relacionados con los Instrumentos Financieros); y</w:t>
      </w:r>
    </w:p>
    <w:p w14:paraId="6BCCE136" w14:textId="77777777" w:rsidR="001D3EF6" w:rsidRPr="001D3EF6" w:rsidRDefault="001D3EF6" w:rsidP="001D3EF6">
      <w:pPr>
        <w:numPr>
          <w:ilvl w:val="0"/>
          <w:numId w:val="16"/>
        </w:numPr>
        <w:jc w:val="both"/>
        <w:textAlignment w:val="baseline"/>
        <w:rPr>
          <w:rFonts w:ascii="Verdana" w:eastAsia="Times New Roman" w:hAnsi="Verdana" w:cs="Times New Roman"/>
          <w:i/>
          <w:iCs/>
          <w:color w:val="000000"/>
          <w:kern w:val="0"/>
          <w:lang w:val="es-CO" w:eastAsia="es-MX"/>
          <w14:ligatures w14:val="none"/>
        </w:rPr>
      </w:pPr>
      <w:r w:rsidRPr="001D3EF6">
        <w:rPr>
          <w:rFonts w:ascii="Verdana" w:eastAsia="Times New Roman" w:hAnsi="Verdana" w:cs="Times New Roman"/>
          <w:i/>
          <w:iCs/>
          <w:color w:val="000000"/>
          <w:kern w:val="0"/>
          <w:lang w:val="es-CO" w:eastAsia="es-MX"/>
          <w14:ligatures w14:val="none"/>
        </w:rPr>
        <w:t>cambios en el superávit de revaluación para las propiedades, planta y equipo medidos de acuerdo con el modelo de revaluación (véase la Sección 17 Propiedades, Planta y Equipo). (…)</w:t>
      </w:r>
    </w:p>
    <w:p w14:paraId="2DE8D75E" w14:textId="77777777" w:rsidR="001D3EF6" w:rsidRPr="001D3EF6" w:rsidRDefault="001D3EF6" w:rsidP="001D3EF6">
      <w:pPr>
        <w:rPr>
          <w:rFonts w:ascii="Times New Roman" w:eastAsia="Times New Roman" w:hAnsi="Times New Roman" w:cs="Times New Roman"/>
          <w:kern w:val="0"/>
          <w:lang w:val="es-CO" w:eastAsia="es-MX"/>
          <w14:ligatures w14:val="none"/>
        </w:rPr>
      </w:pPr>
    </w:p>
    <w:p w14:paraId="589B09A3"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color w:val="000000"/>
          <w:kern w:val="0"/>
          <w:lang w:val="es-CO" w:eastAsia="es-MX"/>
          <w14:ligatures w14:val="none"/>
        </w:rPr>
        <w:lastRenderedPageBreak/>
        <w:t>Finalmente, el párrafo 5.5(g) establece:</w:t>
      </w:r>
    </w:p>
    <w:p w14:paraId="4ECD9FE9" w14:textId="77777777" w:rsidR="001D3EF6" w:rsidRPr="001D3EF6" w:rsidRDefault="001D3EF6" w:rsidP="001D3EF6">
      <w:pPr>
        <w:rPr>
          <w:rFonts w:ascii="Times New Roman" w:eastAsia="Times New Roman" w:hAnsi="Times New Roman" w:cs="Times New Roman"/>
          <w:kern w:val="0"/>
          <w:lang w:val="es-CO" w:eastAsia="es-MX"/>
          <w14:ligatures w14:val="none"/>
        </w:rPr>
      </w:pPr>
    </w:p>
    <w:p w14:paraId="417C847D"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i/>
          <w:iCs/>
          <w:color w:val="000000"/>
          <w:kern w:val="0"/>
          <w:lang w:val="es-CO" w:eastAsia="es-MX"/>
          <w14:ligatures w14:val="none"/>
        </w:rPr>
        <w:t>“cada partida de otro resultado integral [véase el párrafo 5.4(b)] clasificada por naturaleza [excluyendo los importes a los que se hace referencia en el apartado (h)]. Estas partidas se agruparán en las que, de acuerdo con esta Norma:</w:t>
      </w:r>
    </w:p>
    <w:p w14:paraId="60F376E4" w14:textId="77777777" w:rsidR="001D3EF6" w:rsidRPr="001D3EF6" w:rsidRDefault="001D3EF6" w:rsidP="001D3EF6">
      <w:pPr>
        <w:rPr>
          <w:rFonts w:ascii="Times New Roman" w:eastAsia="Times New Roman" w:hAnsi="Times New Roman" w:cs="Times New Roman"/>
          <w:kern w:val="0"/>
          <w:lang w:val="es-CO" w:eastAsia="es-MX"/>
          <w14:ligatures w14:val="none"/>
        </w:rPr>
      </w:pPr>
      <w:r w:rsidRPr="001D3EF6">
        <w:rPr>
          <w:rFonts w:ascii="Times New Roman" w:eastAsia="Times New Roman" w:hAnsi="Times New Roman" w:cs="Times New Roman"/>
          <w:kern w:val="0"/>
          <w:lang w:val="es-CO" w:eastAsia="es-MX"/>
          <w14:ligatures w14:val="none"/>
        </w:rPr>
        <w:br/>
      </w:r>
    </w:p>
    <w:p w14:paraId="7724ED9B" w14:textId="77777777" w:rsidR="001D3EF6" w:rsidRPr="001D3EF6" w:rsidRDefault="001D3EF6" w:rsidP="001D3EF6">
      <w:pPr>
        <w:numPr>
          <w:ilvl w:val="0"/>
          <w:numId w:val="17"/>
        </w:numPr>
        <w:jc w:val="both"/>
        <w:textAlignment w:val="baseline"/>
        <w:rPr>
          <w:rFonts w:ascii="Verdana" w:eastAsia="Times New Roman" w:hAnsi="Verdana" w:cs="Times New Roman"/>
          <w:i/>
          <w:iCs/>
          <w:color w:val="000000"/>
          <w:kern w:val="0"/>
          <w:lang w:val="es-CO" w:eastAsia="es-MX"/>
          <w14:ligatures w14:val="none"/>
        </w:rPr>
      </w:pPr>
      <w:r w:rsidRPr="001D3EF6">
        <w:rPr>
          <w:rFonts w:ascii="Verdana" w:eastAsia="Times New Roman" w:hAnsi="Verdana" w:cs="Times New Roman"/>
          <w:i/>
          <w:iCs/>
          <w:color w:val="000000"/>
          <w:kern w:val="0"/>
          <w:lang w:val="es-CO" w:eastAsia="es-MX"/>
          <w14:ligatures w14:val="none"/>
        </w:rPr>
        <w:t>no se reclasifiquen posteriormente en el resultado del periodo—es decir, las del párrafo 5.4(b)(i), (</w:t>
      </w:r>
      <w:proofErr w:type="spellStart"/>
      <w:r w:rsidRPr="001D3EF6">
        <w:rPr>
          <w:rFonts w:ascii="Verdana" w:eastAsia="Times New Roman" w:hAnsi="Verdana" w:cs="Times New Roman"/>
          <w:i/>
          <w:iCs/>
          <w:color w:val="000000"/>
          <w:kern w:val="0"/>
          <w:lang w:val="es-CO" w:eastAsia="es-MX"/>
          <w14:ligatures w14:val="none"/>
        </w:rPr>
        <w:t>ii</w:t>
      </w:r>
      <w:proofErr w:type="spellEnd"/>
      <w:r w:rsidRPr="001D3EF6">
        <w:rPr>
          <w:rFonts w:ascii="Verdana" w:eastAsia="Times New Roman" w:hAnsi="Verdana" w:cs="Times New Roman"/>
          <w:i/>
          <w:iCs/>
          <w:color w:val="000000"/>
          <w:kern w:val="0"/>
          <w:lang w:val="es-CO" w:eastAsia="es-MX"/>
          <w14:ligatures w14:val="none"/>
        </w:rPr>
        <w:t>) y (</w:t>
      </w:r>
      <w:proofErr w:type="spellStart"/>
      <w:r w:rsidRPr="001D3EF6">
        <w:rPr>
          <w:rFonts w:ascii="Verdana" w:eastAsia="Times New Roman" w:hAnsi="Verdana" w:cs="Times New Roman"/>
          <w:i/>
          <w:iCs/>
          <w:color w:val="000000"/>
          <w:kern w:val="0"/>
          <w:lang w:val="es-CO" w:eastAsia="es-MX"/>
          <w14:ligatures w14:val="none"/>
        </w:rPr>
        <w:t>iv</w:t>
      </w:r>
      <w:proofErr w:type="spellEnd"/>
      <w:r w:rsidRPr="001D3EF6">
        <w:rPr>
          <w:rFonts w:ascii="Verdana" w:eastAsia="Times New Roman" w:hAnsi="Verdana" w:cs="Times New Roman"/>
          <w:i/>
          <w:iCs/>
          <w:color w:val="000000"/>
          <w:kern w:val="0"/>
          <w:lang w:val="es-CO" w:eastAsia="es-MX"/>
          <w14:ligatures w14:val="none"/>
        </w:rPr>
        <w:t>); y</w:t>
      </w:r>
    </w:p>
    <w:p w14:paraId="5EBC38E9" w14:textId="77777777" w:rsidR="001D3EF6" w:rsidRPr="001D3EF6" w:rsidRDefault="001D3EF6" w:rsidP="001D3EF6">
      <w:pPr>
        <w:numPr>
          <w:ilvl w:val="0"/>
          <w:numId w:val="18"/>
        </w:numPr>
        <w:jc w:val="both"/>
        <w:textAlignment w:val="baseline"/>
        <w:rPr>
          <w:rFonts w:ascii="Verdana" w:eastAsia="Times New Roman" w:hAnsi="Verdana" w:cs="Times New Roman"/>
          <w:i/>
          <w:iCs/>
          <w:color w:val="000000"/>
          <w:kern w:val="0"/>
          <w:lang w:val="es-CO" w:eastAsia="es-MX"/>
          <w14:ligatures w14:val="none"/>
        </w:rPr>
      </w:pPr>
      <w:r w:rsidRPr="001D3EF6">
        <w:rPr>
          <w:rFonts w:ascii="Verdana" w:eastAsia="Times New Roman" w:hAnsi="Verdana" w:cs="Times New Roman"/>
          <w:i/>
          <w:iCs/>
          <w:color w:val="000000"/>
          <w:kern w:val="0"/>
          <w:lang w:val="es-CO" w:eastAsia="es-MX"/>
          <w14:ligatures w14:val="none"/>
        </w:rPr>
        <w:t>se reclasifiquen posteriormente en el resultado del periodo, cuando se cumplan las condiciones específicas—es decir, las del párrafo 5.4(b)(</w:t>
      </w:r>
      <w:proofErr w:type="spellStart"/>
      <w:r w:rsidRPr="001D3EF6">
        <w:rPr>
          <w:rFonts w:ascii="Verdana" w:eastAsia="Times New Roman" w:hAnsi="Verdana" w:cs="Times New Roman"/>
          <w:i/>
          <w:iCs/>
          <w:color w:val="000000"/>
          <w:kern w:val="0"/>
          <w:lang w:val="es-CO" w:eastAsia="es-MX"/>
          <w14:ligatures w14:val="none"/>
        </w:rPr>
        <w:t>iii</w:t>
      </w:r>
      <w:proofErr w:type="spellEnd"/>
      <w:r w:rsidRPr="001D3EF6">
        <w:rPr>
          <w:rFonts w:ascii="Verdana" w:eastAsia="Times New Roman" w:hAnsi="Verdana" w:cs="Times New Roman"/>
          <w:i/>
          <w:iCs/>
          <w:color w:val="000000"/>
          <w:kern w:val="0"/>
          <w:lang w:val="es-CO" w:eastAsia="es-MX"/>
          <w14:ligatures w14:val="none"/>
        </w:rPr>
        <w:t>)”.</w:t>
      </w:r>
    </w:p>
    <w:p w14:paraId="75E0282B" w14:textId="77777777" w:rsidR="001D3EF6" w:rsidRPr="001D3EF6" w:rsidRDefault="001D3EF6" w:rsidP="001D3EF6">
      <w:pPr>
        <w:rPr>
          <w:rFonts w:ascii="Times New Roman" w:eastAsia="Times New Roman" w:hAnsi="Times New Roman" w:cs="Times New Roman"/>
          <w:kern w:val="0"/>
          <w:lang w:val="es-CO" w:eastAsia="es-MX"/>
          <w14:ligatures w14:val="none"/>
        </w:rPr>
      </w:pPr>
    </w:p>
    <w:p w14:paraId="3371FE8C"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color w:val="000000"/>
          <w:kern w:val="0"/>
          <w:lang w:val="es-CO" w:eastAsia="es-MX"/>
          <w14:ligatures w14:val="none"/>
        </w:rPr>
        <w:t>En los términos expuestos, se absuelve la consulta, señalando que este organismo se ha basado exclusivamente en la información proporcionada por el peticionario. Los efectos de este concepto se encuentran enunciados en el artículo 28 de la Ley 1437 de 2011.</w:t>
      </w:r>
    </w:p>
    <w:p w14:paraId="373EFD2D" w14:textId="77777777" w:rsidR="001D3EF6" w:rsidRPr="001D3EF6" w:rsidRDefault="001D3EF6" w:rsidP="001D3EF6">
      <w:pPr>
        <w:rPr>
          <w:rFonts w:ascii="Times New Roman" w:eastAsia="Times New Roman" w:hAnsi="Times New Roman" w:cs="Times New Roman"/>
          <w:kern w:val="0"/>
          <w:lang w:val="es-CO" w:eastAsia="es-MX"/>
          <w14:ligatures w14:val="none"/>
        </w:rPr>
      </w:pPr>
    </w:p>
    <w:p w14:paraId="068389A8"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color w:val="000000"/>
          <w:kern w:val="0"/>
          <w:lang w:val="es-CO" w:eastAsia="es-MX"/>
          <w14:ligatures w14:val="none"/>
        </w:rPr>
        <w:t>Cordialmente,</w:t>
      </w:r>
    </w:p>
    <w:p w14:paraId="7F44B17E" w14:textId="77777777" w:rsidR="001D3EF6" w:rsidRPr="001D3EF6" w:rsidRDefault="001D3EF6" w:rsidP="001D3EF6">
      <w:pPr>
        <w:rPr>
          <w:rFonts w:ascii="Times New Roman" w:eastAsia="Times New Roman" w:hAnsi="Times New Roman" w:cs="Times New Roman"/>
          <w:kern w:val="0"/>
          <w:lang w:val="es-CO" w:eastAsia="es-MX"/>
          <w14:ligatures w14:val="none"/>
        </w:rPr>
      </w:pPr>
    </w:p>
    <w:p w14:paraId="095A2936" w14:textId="77777777" w:rsidR="001D3EF6" w:rsidRPr="001D3EF6" w:rsidRDefault="001D3EF6" w:rsidP="001D3EF6">
      <w:pPr>
        <w:jc w:val="both"/>
        <w:outlineLvl w:val="0"/>
        <w:rPr>
          <w:rFonts w:ascii="Times New Roman" w:eastAsia="Times New Roman" w:hAnsi="Times New Roman" w:cs="Times New Roman"/>
          <w:b/>
          <w:bCs/>
          <w:kern w:val="36"/>
          <w:sz w:val="48"/>
          <w:szCs w:val="48"/>
          <w:lang w:val="es-CO" w:eastAsia="es-MX"/>
          <w14:ligatures w14:val="none"/>
        </w:rPr>
      </w:pPr>
      <w:r w:rsidRPr="001D3EF6">
        <w:rPr>
          <w:rFonts w:ascii="Verdana" w:eastAsia="Times New Roman" w:hAnsi="Verdana" w:cs="Times New Roman"/>
          <w:b/>
          <w:bCs/>
          <w:color w:val="000000"/>
          <w:kern w:val="36"/>
          <w:lang w:val="es-CO" w:eastAsia="es-MX"/>
          <w14:ligatures w14:val="none"/>
        </w:rPr>
        <w:t>JAIRO ENRIQUE CERVERA RODRÍGUEZ</w:t>
      </w:r>
    </w:p>
    <w:p w14:paraId="62EBA873" w14:textId="77777777" w:rsidR="001D3EF6" w:rsidRPr="001D3EF6" w:rsidRDefault="001D3EF6" w:rsidP="001D3EF6">
      <w:pPr>
        <w:jc w:val="both"/>
        <w:rPr>
          <w:rFonts w:ascii="Times New Roman" w:eastAsia="Times New Roman" w:hAnsi="Times New Roman" w:cs="Times New Roman"/>
          <w:kern w:val="0"/>
          <w:lang w:val="es-CO" w:eastAsia="es-MX"/>
          <w14:ligatures w14:val="none"/>
        </w:rPr>
      </w:pPr>
      <w:r w:rsidRPr="001D3EF6">
        <w:rPr>
          <w:rFonts w:ascii="Verdana" w:eastAsia="Times New Roman" w:hAnsi="Verdana" w:cs="Times New Roman"/>
          <w:color w:val="000000"/>
          <w:kern w:val="0"/>
          <w:lang w:val="es-CO" w:eastAsia="es-MX"/>
          <w14:ligatures w14:val="none"/>
        </w:rPr>
        <w:t>Presidente Ad Hoc CTCP</w:t>
      </w:r>
    </w:p>
    <w:p w14:paraId="05AA2796" w14:textId="77777777" w:rsidR="001D3EF6" w:rsidRPr="001D3EF6" w:rsidRDefault="001D3EF6" w:rsidP="001D3EF6">
      <w:pPr>
        <w:rPr>
          <w:rFonts w:ascii="Times New Roman" w:eastAsia="Times New Roman" w:hAnsi="Times New Roman" w:cs="Times New Roman"/>
          <w:kern w:val="0"/>
          <w:lang w:val="es-CO" w:eastAsia="es-MX"/>
          <w14:ligatures w14:val="none"/>
        </w:rPr>
      </w:pPr>
    </w:p>
    <w:p w14:paraId="316C24C2"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4629CE"/>
    <w:multiLevelType w:val="multilevel"/>
    <w:tmpl w:val="2242A26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9034AA6"/>
    <w:multiLevelType w:val="hybridMultilevel"/>
    <w:tmpl w:val="2110A9B2"/>
    <w:lvl w:ilvl="0" w:tplc="7F0C89AC">
      <w:start w:val="2"/>
      <w:numFmt w:val="lowerLetter"/>
      <w:lvlText w:val="%1."/>
      <w:lvlJc w:val="left"/>
      <w:pPr>
        <w:tabs>
          <w:tab w:val="num" w:pos="720"/>
        </w:tabs>
        <w:ind w:left="720" w:hanging="360"/>
      </w:pPr>
    </w:lvl>
    <w:lvl w:ilvl="1" w:tplc="F87C3C36" w:tentative="1">
      <w:start w:val="1"/>
      <w:numFmt w:val="decimal"/>
      <w:lvlText w:val="%2."/>
      <w:lvlJc w:val="left"/>
      <w:pPr>
        <w:tabs>
          <w:tab w:val="num" w:pos="1440"/>
        </w:tabs>
        <w:ind w:left="1440" w:hanging="360"/>
      </w:pPr>
    </w:lvl>
    <w:lvl w:ilvl="2" w:tplc="2FFC3DC6" w:tentative="1">
      <w:start w:val="1"/>
      <w:numFmt w:val="decimal"/>
      <w:lvlText w:val="%3."/>
      <w:lvlJc w:val="left"/>
      <w:pPr>
        <w:tabs>
          <w:tab w:val="num" w:pos="2160"/>
        </w:tabs>
        <w:ind w:left="2160" w:hanging="360"/>
      </w:pPr>
    </w:lvl>
    <w:lvl w:ilvl="3" w:tplc="2B56DB0E" w:tentative="1">
      <w:start w:val="1"/>
      <w:numFmt w:val="decimal"/>
      <w:lvlText w:val="%4."/>
      <w:lvlJc w:val="left"/>
      <w:pPr>
        <w:tabs>
          <w:tab w:val="num" w:pos="2880"/>
        </w:tabs>
        <w:ind w:left="2880" w:hanging="360"/>
      </w:pPr>
    </w:lvl>
    <w:lvl w:ilvl="4" w:tplc="5844903E" w:tentative="1">
      <w:start w:val="1"/>
      <w:numFmt w:val="decimal"/>
      <w:lvlText w:val="%5."/>
      <w:lvlJc w:val="left"/>
      <w:pPr>
        <w:tabs>
          <w:tab w:val="num" w:pos="3600"/>
        </w:tabs>
        <w:ind w:left="3600" w:hanging="360"/>
      </w:pPr>
    </w:lvl>
    <w:lvl w:ilvl="5" w:tplc="FE82690A" w:tentative="1">
      <w:start w:val="1"/>
      <w:numFmt w:val="decimal"/>
      <w:lvlText w:val="%6."/>
      <w:lvlJc w:val="left"/>
      <w:pPr>
        <w:tabs>
          <w:tab w:val="num" w:pos="4320"/>
        </w:tabs>
        <w:ind w:left="4320" w:hanging="360"/>
      </w:pPr>
    </w:lvl>
    <w:lvl w:ilvl="6" w:tplc="207EFF5E" w:tentative="1">
      <w:start w:val="1"/>
      <w:numFmt w:val="decimal"/>
      <w:lvlText w:val="%7."/>
      <w:lvlJc w:val="left"/>
      <w:pPr>
        <w:tabs>
          <w:tab w:val="num" w:pos="5040"/>
        </w:tabs>
        <w:ind w:left="5040" w:hanging="360"/>
      </w:pPr>
    </w:lvl>
    <w:lvl w:ilvl="7" w:tplc="7C96F43A" w:tentative="1">
      <w:start w:val="1"/>
      <w:numFmt w:val="decimal"/>
      <w:lvlText w:val="%8."/>
      <w:lvlJc w:val="left"/>
      <w:pPr>
        <w:tabs>
          <w:tab w:val="num" w:pos="5760"/>
        </w:tabs>
        <w:ind w:left="5760" w:hanging="360"/>
      </w:pPr>
    </w:lvl>
    <w:lvl w:ilvl="8" w:tplc="F50EE358" w:tentative="1">
      <w:start w:val="1"/>
      <w:numFmt w:val="decimal"/>
      <w:lvlText w:val="%9."/>
      <w:lvlJc w:val="left"/>
      <w:pPr>
        <w:tabs>
          <w:tab w:val="num" w:pos="6480"/>
        </w:tabs>
        <w:ind w:left="6480" w:hanging="360"/>
      </w:pPr>
    </w:lvl>
  </w:abstractNum>
  <w:abstractNum w:abstractNumId="2" w15:restartNumberingAfterBreak="0">
    <w:nsid w:val="2C7B3778"/>
    <w:multiLevelType w:val="multilevel"/>
    <w:tmpl w:val="6C9033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E71562D"/>
    <w:multiLevelType w:val="multilevel"/>
    <w:tmpl w:val="9B92C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B84C85"/>
    <w:multiLevelType w:val="multilevel"/>
    <w:tmpl w:val="BB4626F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62034C2"/>
    <w:multiLevelType w:val="multilevel"/>
    <w:tmpl w:val="8DB8403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EAB6A64"/>
    <w:multiLevelType w:val="multilevel"/>
    <w:tmpl w:val="85EE5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5E64E60"/>
    <w:multiLevelType w:val="multilevel"/>
    <w:tmpl w:val="FBDCE7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68056AE"/>
    <w:multiLevelType w:val="multilevel"/>
    <w:tmpl w:val="17BA82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15660AE"/>
    <w:multiLevelType w:val="multilevel"/>
    <w:tmpl w:val="69623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36900C9"/>
    <w:multiLevelType w:val="multilevel"/>
    <w:tmpl w:val="919C8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0791925"/>
    <w:multiLevelType w:val="multilevel"/>
    <w:tmpl w:val="8FDEB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1034C6F"/>
    <w:multiLevelType w:val="multilevel"/>
    <w:tmpl w:val="F2E6EA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32101B7"/>
    <w:multiLevelType w:val="multilevel"/>
    <w:tmpl w:val="095423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36886218">
    <w:abstractNumId w:val="13"/>
  </w:num>
  <w:num w:numId="2" w16cid:durableId="88477744">
    <w:abstractNumId w:val="0"/>
    <w:lvlOverride w:ilvl="0">
      <w:lvl w:ilvl="0">
        <w:numFmt w:val="decimal"/>
        <w:lvlText w:val="%1."/>
        <w:lvlJc w:val="left"/>
      </w:lvl>
    </w:lvlOverride>
  </w:num>
  <w:num w:numId="3" w16cid:durableId="1969626773">
    <w:abstractNumId w:val="12"/>
    <w:lvlOverride w:ilvl="0">
      <w:lvl w:ilvl="0">
        <w:numFmt w:val="decimal"/>
        <w:lvlText w:val="%1."/>
        <w:lvlJc w:val="left"/>
      </w:lvl>
    </w:lvlOverride>
  </w:num>
  <w:num w:numId="4" w16cid:durableId="902790410">
    <w:abstractNumId w:val="10"/>
  </w:num>
  <w:num w:numId="5" w16cid:durableId="299383390">
    <w:abstractNumId w:val="2"/>
  </w:num>
  <w:num w:numId="6" w16cid:durableId="2044793110">
    <w:abstractNumId w:val="9"/>
  </w:num>
  <w:num w:numId="7" w16cid:durableId="1831675392">
    <w:abstractNumId w:val="5"/>
    <w:lvlOverride w:ilvl="0">
      <w:lvl w:ilvl="0">
        <w:numFmt w:val="decimal"/>
        <w:lvlText w:val="%1."/>
        <w:lvlJc w:val="left"/>
      </w:lvl>
    </w:lvlOverride>
  </w:num>
  <w:num w:numId="8" w16cid:durableId="112017029">
    <w:abstractNumId w:val="11"/>
  </w:num>
  <w:num w:numId="9" w16cid:durableId="1053653157">
    <w:abstractNumId w:val="4"/>
    <w:lvlOverride w:ilvl="0">
      <w:lvl w:ilvl="0">
        <w:numFmt w:val="decimal"/>
        <w:lvlText w:val="%1."/>
        <w:lvlJc w:val="left"/>
      </w:lvl>
    </w:lvlOverride>
  </w:num>
  <w:num w:numId="10" w16cid:durableId="1783571198">
    <w:abstractNumId w:val="6"/>
  </w:num>
  <w:num w:numId="11" w16cid:durableId="2056392703">
    <w:abstractNumId w:val="3"/>
  </w:num>
  <w:num w:numId="12" w16cid:durableId="358892192">
    <w:abstractNumId w:val="1"/>
  </w:num>
  <w:num w:numId="13" w16cid:durableId="555164401">
    <w:abstractNumId w:val="7"/>
    <w:lvlOverride w:ilvl="0">
      <w:lvl w:ilvl="0">
        <w:numFmt w:val="lowerRoman"/>
        <w:lvlText w:val="%1."/>
        <w:lvlJc w:val="right"/>
      </w:lvl>
    </w:lvlOverride>
  </w:num>
  <w:num w:numId="14" w16cid:durableId="472530905">
    <w:abstractNumId w:val="7"/>
    <w:lvlOverride w:ilvl="0">
      <w:lvl w:ilvl="0">
        <w:numFmt w:val="lowerRoman"/>
        <w:lvlText w:val="%1."/>
        <w:lvlJc w:val="right"/>
      </w:lvl>
    </w:lvlOverride>
  </w:num>
  <w:num w:numId="15" w16cid:durableId="1307591424">
    <w:abstractNumId w:val="7"/>
    <w:lvlOverride w:ilvl="0">
      <w:lvl w:ilvl="0">
        <w:numFmt w:val="lowerRoman"/>
        <w:lvlText w:val="%1."/>
        <w:lvlJc w:val="right"/>
      </w:lvl>
    </w:lvlOverride>
  </w:num>
  <w:num w:numId="16" w16cid:durableId="241182873">
    <w:abstractNumId w:val="7"/>
    <w:lvlOverride w:ilvl="0">
      <w:lvl w:ilvl="0">
        <w:numFmt w:val="lowerRoman"/>
        <w:lvlText w:val="%1."/>
        <w:lvlJc w:val="right"/>
      </w:lvl>
    </w:lvlOverride>
  </w:num>
  <w:num w:numId="17" w16cid:durableId="268588190">
    <w:abstractNumId w:val="8"/>
    <w:lvlOverride w:ilvl="0">
      <w:lvl w:ilvl="0">
        <w:numFmt w:val="lowerRoman"/>
        <w:lvlText w:val="%1."/>
        <w:lvlJc w:val="right"/>
      </w:lvl>
    </w:lvlOverride>
  </w:num>
  <w:num w:numId="18" w16cid:durableId="152568097">
    <w:abstractNumId w:val="8"/>
    <w:lvlOverride w:ilvl="0">
      <w:lvl w:ilvl="0">
        <w:numFmt w:val="lowerRoman"/>
        <w:lvlText w:val="%1."/>
        <w:lvlJc w:val="righ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3EF6"/>
    <w:rsid w:val="000B2285"/>
    <w:rsid w:val="001D3EF6"/>
    <w:rsid w:val="0050630A"/>
    <w:rsid w:val="00537D8F"/>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07205DEF"/>
  <w14:defaultImageDpi w14:val="32767"/>
  <w15:chartTrackingRefBased/>
  <w15:docId w15:val="{525CD9B5-0612-2044-9AD1-B37BB4D6E1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D3EF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1D3EF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1D3EF6"/>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1D3EF6"/>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1D3EF6"/>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1D3EF6"/>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D3EF6"/>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D3EF6"/>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D3EF6"/>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D3EF6"/>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1D3EF6"/>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1D3EF6"/>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1D3EF6"/>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1D3EF6"/>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1D3EF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D3EF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D3EF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D3EF6"/>
    <w:rPr>
      <w:rFonts w:eastAsiaTheme="majorEastAsia" w:cstheme="majorBidi"/>
      <w:color w:val="272727" w:themeColor="text1" w:themeTint="D8"/>
    </w:rPr>
  </w:style>
  <w:style w:type="paragraph" w:styleId="Ttulo">
    <w:name w:val="Title"/>
    <w:basedOn w:val="Normal"/>
    <w:next w:val="Normal"/>
    <w:link w:val="TtuloCar"/>
    <w:uiPriority w:val="10"/>
    <w:qFormat/>
    <w:rsid w:val="001D3EF6"/>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D3EF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D3EF6"/>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D3EF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D3EF6"/>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1D3EF6"/>
    <w:rPr>
      <w:i/>
      <w:iCs/>
      <w:color w:val="404040" w:themeColor="text1" w:themeTint="BF"/>
    </w:rPr>
  </w:style>
  <w:style w:type="paragraph" w:styleId="Prrafodelista">
    <w:name w:val="List Paragraph"/>
    <w:basedOn w:val="Normal"/>
    <w:uiPriority w:val="34"/>
    <w:qFormat/>
    <w:rsid w:val="001D3EF6"/>
    <w:pPr>
      <w:ind w:left="720"/>
      <w:contextualSpacing/>
    </w:pPr>
  </w:style>
  <w:style w:type="character" w:styleId="nfasisintenso">
    <w:name w:val="Intense Emphasis"/>
    <w:basedOn w:val="Fuentedeprrafopredeter"/>
    <w:uiPriority w:val="21"/>
    <w:qFormat/>
    <w:rsid w:val="001D3EF6"/>
    <w:rPr>
      <w:i/>
      <w:iCs/>
      <w:color w:val="2F5496" w:themeColor="accent1" w:themeShade="BF"/>
    </w:rPr>
  </w:style>
  <w:style w:type="paragraph" w:styleId="Citadestacada">
    <w:name w:val="Intense Quote"/>
    <w:basedOn w:val="Normal"/>
    <w:next w:val="Normal"/>
    <w:link w:val="CitadestacadaCar"/>
    <w:uiPriority w:val="30"/>
    <w:qFormat/>
    <w:rsid w:val="001D3EF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1D3EF6"/>
    <w:rPr>
      <w:i/>
      <w:iCs/>
      <w:color w:val="2F5496" w:themeColor="accent1" w:themeShade="BF"/>
    </w:rPr>
  </w:style>
  <w:style w:type="character" w:styleId="Referenciaintensa">
    <w:name w:val="Intense Reference"/>
    <w:basedOn w:val="Fuentedeprrafopredeter"/>
    <w:uiPriority w:val="32"/>
    <w:qFormat/>
    <w:rsid w:val="001D3EF6"/>
    <w:rPr>
      <w:b/>
      <w:bCs/>
      <w:smallCaps/>
      <w:color w:val="2F5496" w:themeColor="accent1" w:themeShade="BF"/>
      <w:spacing w:val="5"/>
    </w:rPr>
  </w:style>
  <w:style w:type="paragraph" w:styleId="NormalWeb">
    <w:name w:val="Normal (Web)"/>
    <w:basedOn w:val="Normal"/>
    <w:uiPriority w:val="99"/>
    <w:semiHidden/>
    <w:unhideWhenUsed/>
    <w:rsid w:val="001D3EF6"/>
    <w:pPr>
      <w:spacing w:before="100" w:beforeAutospacing="1" w:after="100" w:afterAutospacing="1"/>
    </w:pPr>
    <w:rPr>
      <w:rFonts w:ascii="Times New Roman" w:eastAsia="Times New Roman" w:hAnsi="Times New Roman" w:cs="Times New Roman"/>
      <w:kern w:val="0"/>
      <w:lang w:val="es-CO"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2009</Words>
  <Characters>11054</Characters>
  <Application>Microsoft Office Word</Application>
  <DocSecurity>0</DocSecurity>
  <Lines>92</Lines>
  <Paragraphs>26</Paragraphs>
  <ScaleCrop>false</ScaleCrop>
  <Company/>
  <LinksUpToDate>false</LinksUpToDate>
  <CharactersWithSpaces>13037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2026-04-08T15:07:00Z</dcterms:created>
  <dcterms:modified xsi:type="dcterms:W3CDTF">2026-04-08T15:09:00Z</dcterms:modified>
</cp:coreProperties>
</file>