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BA5BF"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b/>
          <w:bCs/>
          <w:color w:val="000000"/>
          <w:kern w:val="0"/>
          <w:lang w:val="es-CO" w:eastAsia="es-MX"/>
          <w14:ligatures w14:val="none"/>
        </w:rPr>
        <w:t>CONCEPTO 2025-070363 DEL 7 DE NOVIEMBRE DE 2025</w:t>
      </w:r>
    </w:p>
    <w:p w14:paraId="266265F5"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b/>
          <w:bCs/>
          <w:color w:val="000000"/>
          <w:kern w:val="0"/>
          <w:lang w:val="es-CO" w:eastAsia="es-MX"/>
          <w14:ligatures w14:val="none"/>
        </w:rPr>
        <w:t>DIRECCIÓN DE APOYO FISCAL -DAF-</w:t>
      </w:r>
    </w:p>
    <w:p w14:paraId="27EE2C1E"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771F32A4"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Bogotá, D.C.</w:t>
      </w:r>
    </w:p>
    <w:p w14:paraId="02E6C32E"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69DA6A17"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Señor</w:t>
      </w:r>
    </w:p>
    <w:p w14:paraId="7B24DEE7"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b/>
          <w:bCs/>
          <w:color w:val="000000"/>
          <w:kern w:val="0"/>
          <w:lang w:val="es-CO" w:eastAsia="es-MX"/>
          <w14:ligatures w14:val="none"/>
        </w:rPr>
        <w:t>CARLOS EDUARDO RUEDA CARVAJAL</w:t>
      </w:r>
    </w:p>
    <w:p w14:paraId="50884000"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Carlosruedac@gmail.com</w:t>
      </w:r>
    </w:p>
    <w:p w14:paraId="160C120D"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681D2C3A" w14:textId="77777777" w:rsidR="006A2AE3" w:rsidRPr="006A2AE3" w:rsidRDefault="006A2AE3" w:rsidP="006A2AE3">
      <w:pPr>
        <w:jc w:val="right"/>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Radicado entrada 1-2025-110390</w:t>
      </w:r>
    </w:p>
    <w:p w14:paraId="42368D0E" w14:textId="77777777" w:rsidR="006A2AE3" w:rsidRPr="006A2AE3" w:rsidRDefault="006A2AE3" w:rsidP="006A2AE3">
      <w:pPr>
        <w:jc w:val="right"/>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No. Expediente 14984/2025/GEA</w:t>
      </w:r>
    </w:p>
    <w:p w14:paraId="41CE1FB6"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1BA369DA"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b/>
          <w:bCs/>
          <w:color w:val="000000"/>
          <w:kern w:val="0"/>
          <w:lang w:val="es-CO" w:eastAsia="es-MX"/>
          <w14:ligatures w14:val="none"/>
        </w:rPr>
        <w:t>Asunto:</w:t>
      </w:r>
      <w:r w:rsidRPr="006A2AE3">
        <w:rPr>
          <w:rFonts w:ascii="Verdana" w:eastAsia="Times New Roman" w:hAnsi="Verdana" w:cs="Times New Roman"/>
          <w:b/>
          <w:bCs/>
          <w:color w:val="000000"/>
          <w:kern w:val="0"/>
          <w:lang w:val="es-CO" w:eastAsia="es-MX"/>
          <w14:ligatures w14:val="none"/>
        </w:rPr>
        <w:tab/>
      </w:r>
      <w:r w:rsidRPr="006A2AE3">
        <w:rPr>
          <w:rFonts w:ascii="Verdana" w:eastAsia="Times New Roman" w:hAnsi="Verdana" w:cs="Times New Roman"/>
          <w:color w:val="000000"/>
          <w:kern w:val="0"/>
          <w:lang w:val="es-CO" w:eastAsia="es-MX"/>
          <w14:ligatures w14:val="none"/>
        </w:rPr>
        <w:t xml:space="preserve">Oficio </w:t>
      </w:r>
      <w:proofErr w:type="spellStart"/>
      <w:r w:rsidRPr="006A2AE3">
        <w:rPr>
          <w:rFonts w:ascii="Verdana" w:eastAsia="Times New Roman" w:hAnsi="Verdana" w:cs="Times New Roman"/>
          <w:color w:val="000000"/>
          <w:kern w:val="0"/>
          <w:lang w:val="es-CO" w:eastAsia="es-MX"/>
          <w14:ligatures w14:val="none"/>
        </w:rPr>
        <w:t>N°</w:t>
      </w:r>
      <w:proofErr w:type="spellEnd"/>
      <w:r w:rsidRPr="006A2AE3">
        <w:rPr>
          <w:rFonts w:ascii="Verdana" w:eastAsia="Times New Roman" w:hAnsi="Verdana" w:cs="Times New Roman"/>
          <w:color w:val="000000"/>
          <w:kern w:val="0"/>
          <w:lang w:val="es-CO" w:eastAsia="es-MX"/>
          <w14:ligatures w14:val="none"/>
        </w:rPr>
        <w:t xml:space="preserve"> 1-2025-110390 del 27 de octubre de 2025</w:t>
      </w:r>
    </w:p>
    <w:p w14:paraId="672096C7"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b/>
          <w:bCs/>
          <w:color w:val="000000"/>
          <w:kern w:val="0"/>
          <w:lang w:val="es-CO" w:eastAsia="es-MX"/>
          <w14:ligatures w14:val="none"/>
        </w:rPr>
        <w:t>Tema:</w:t>
      </w:r>
      <w:r w:rsidRPr="006A2AE3">
        <w:rPr>
          <w:rFonts w:ascii="Verdana" w:eastAsia="Times New Roman" w:hAnsi="Verdana" w:cs="Times New Roman"/>
          <w:b/>
          <w:bCs/>
          <w:color w:val="000000"/>
          <w:kern w:val="0"/>
          <w:lang w:val="es-CO" w:eastAsia="es-MX"/>
          <w14:ligatures w14:val="none"/>
        </w:rPr>
        <w:tab/>
      </w:r>
      <w:r w:rsidRPr="006A2AE3">
        <w:rPr>
          <w:rFonts w:ascii="Verdana" w:eastAsia="Times New Roman" w:hAnsi="Verdana" w:cs="Times New Roman"/>
          <w:color w:val="000000"/>
          <w:kern w:val="0"/>
          <w:lang w:val="es-CO" w:eastAsia="es-MX"/>
          <w14:ligatures w14:val="none"/>
        </w:rPr>
        <w:t>Estampilla</w:t>
      </w:r>
    </w:p>
    <w:p w14:paraId="68452E2D"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b/>
          <w:bCs/>
          <w:color w:val="000000"/>
          <w:kern w:val="0"/>
          <w:lang w:val="es-CO" w:eastAsia="es-MX"/>
          <w14:ligatures w14:val="none"/>
        </w:rPr>
        <w:t>Subtema:</w:t>
      </w:r>
      <w:r w:rsidRPr="006A2AE3">
        <w:rPr>
          <w:rFonts w:ascii="Verdana" w:eastAsia="Times New Roman" w:hAnsi="Verdana" w:cs="Times New Roman"/>
          <w:b/>
          <w:bCs/>
          <w:color w:val="000000"/>
          <w:kern w:val="0"/>
          <w:lang w:val="es-CO" w:eastAsia="es-MX"/>
          <w14:ligatures w14:val="none"/>
        </w:rPr>
        <w:tab/>
      </w:r>
      <w:r w:rsidRPr="006A2AE3">
        <w:rPr>
          <w:rFonts w:ascii="Verdana" w:eastAsia="Times New Roman" w:hAnsi="Verdana" w:cs="Times New Roman"/>
          <w:color w:val="000000"/>
          <w:kern w:val="0"/>
          <w:lang w:val="es-CO" w:eastAsia="es-MX"/>
          <w14:ligatures w14:val="none"/>
        </w:rPr>
        <w:t>Hecho Generador – Base Gravable</w:t>
      </w:r>
    </w:p>
    <w:p w14:paraId="4109650A"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207611AB"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Cordial saludo, Sr. Rueda</w:t>
      </w:r>
    </w:p>
    <w:p w14:paraId="6C908936"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7FECD061"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Mediante escrito radicado en este Ministerio con el número, se remite a esta Dirección la consulta por usted radicada ante esa instancia, en la que presenta unos interrogantes respecto al hecho generador y la base gravable de las estampillas en contratos cedidos.</w:t>
      </w:r>
    </w:p>
    <w:p w14:paraId="3B030B81"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7EDD2DD9"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De conformidad con el Decreto 4712 de 2008 la Dirección General de Apoyo Fiscal presta asesoría a las entidades territoriales y a sus entes descentralizados en materia fiscal, financiera y tributaria, la cual no comprende el análisis de actos administrativos particulares de dichas entidades, ni la solución directa de problemas específicos. No obstante, damos respuesta en el ámbito de nuestra competencia y en los términos del artículo 28 del Código de Procedimiento Administrativo y de lo Contencioso Administrativo, es decir de manera general y abstracta, por lo que no tiene carácter obligatorio ni vinculante, y no compromete la responsabilidad del Ministerio de Hacienda y Crédito Público.</w:t>
      </w:r>
    </w:p>
    <w:p w14:paraId="0634E3CF"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361426FC"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 xml:space="preserve">Para empezar es importante precisar que dado que la consulta se refiere a la interpretación y aplicación del Estatuto Tributario Departamental, esta Dirección se abstiene de hacer una manifestación en concreto, toda vez que se refiere a un caso específico, suscitado por normas expedidas por la misma entidad territorial, situación que impone que, en ejercicio de la autonomía reconocida a las entidades territoriales en el artículo 287 de la Constitución, sea el órgano correspondiente dentro de la organización administrativa municipal, el intérprete idóneo puesto que </w:t>
      </w:r>
      <w:r w:rsidRPr="006A2AE3">
        <w:rPr>
          <w:rFonts w:ascii="Verdana" w:eastAsia="Times New Roman" w:hAnsi="Verdana" w:cs="Times New Roman"/>
          <w:i/>
          <w:iCs/>
          <w:color w:val="000000"/>
          <w:kern w:val="0"/>
          <w:lang w:val="es-CO" w:eastAsia="es-MX"/>
          <w14:ligatures w14:val="none"/>
        </w:rPr>
        <w:t>“un espacio propio y normal de dicha autonomía lo constituyen la libertad y la facultad de dichas autoridades para ejecutar y aplicar la ley y las normas que produzcan los órganos de aquéllas dotados de competencia normativa”</w:t>
      </w:r>
      <w:r w:rsidRPr="006A2AE3">
        <w:rPr>
          <w:rFonts w:ascii="Verdana" w:eastAsia="Times New Roman" w:hAnsi="Verdana" w:cs="Times New Roman"/>
          <w:color w:val="000000"/>
          <w:kern w:val="0"/>
          <w:lang w:val="es-CO" w:eastAsia="es-MX"/>
          <w14:ligatures w14:val="none"/>
        </w:rPr>
        <w:t>.</w:t>
      </w:r>
    </w:p>
    <w:p w14:paraId="3E286086"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2E0BB964"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Sin perjuicio de lo anterior, en respeto al derecho de petición ofrecemos elementos de análisis para dilucidar sus inquietudes. Consulta que:</w:t>
      </w:r>
    </w:p>
    <w:p w14:paraId="12D3FA76" w14:textId="77777777" w:rsidR="006A2AE3" w:rsidRPr="006A2AE3" w:rsidRDefault="006A2AE3" w:rsidP="006A2AE3">
      <w:pPr>
        <w:rPr>
          <w:rFonts w:ascii="Times New Roman" w:eastAsia="Times New Roman" w:hAnsi="Times New Roman" w:cs="Times New Roman"/>
          <w:kern w:val="0"/>
          <w:lang w:val="es-CO" w:eastAsia="es-MX"/>
          <w14:ligatures w14:val="none"/>
        </w:rPr>
      </w:pPr>
      <w:r w:rsidRPr="006A2AE3">
        <w:rPr>
          <w:rFonts w:ascii="Times New Roman" w:eastAsia="Times New Roman" w:hAnsi="Times New Roman" w:cs="Times New Roman"/>
          <w:kern w:val="0"/>
          <w:lang w:val="es-CO" w:eastAsia="es-MX"/>
          <w14:ligatures w14:val="none"/>
        </w:rPr>
        <w:br/>
      </w:r>
    </w:p>
    <w:p w14:paraId="693C3F21" w14:textId="77777777" w:rsidR="006A2AE3" w:rsidRPr="006A2AE3" w:rsidRDefault="006A2AE3" w:rsidP="006A2AE3">
      <w:pPr>
        <w:numPr>
          <w:ilvl w:val="0"/>
          <w:numId w:val="1"/>
        </w:numPr>
        <w:jc w:val="both"/>
        <w:textAlignment w:val="baseline"/>
        <w:rPr>
          <w:rFonts w:ascii="Verdana" w:eastAsia="Times New Roman" w:hAnsi="Verdana" w:cs="Times New Roman"/>
          <w:b/>
          <w:bCs/>
          <w:i/>
          <w:iCs/>
          <w:color w:val="000000"/>
          <w:kern w:val="0"/>
          <w:lang w:val="es-CO" w:eastAsia="es-MX"/>
          <w14:ligatures w14:val="none"/>
        </w:rPr>
      </w:pPr>
      <w:r w:rsidRPr="006A2AE3">
        <w:rPr>
          <w:rFonts w:ascii="Verdana" w:eastAsia="Times New Roman" w:hAnsi="Verdana" w:cs="Times New Roman"/>
          <w:b/>
          <w:bCs/>
          <w:i/>
          <w:iCs/>
          <w:color w:val="000000"/>
          <w:kern w:val="0"/>
          <w:lang w:val="es-CO" w:eastAsia="es-MX"/>
          <w14:ligatures w14:val="none"/>
        </w:rPr>
        <w:t>En desarrollo de un contrato de prestación de servicios profesionales, que haya iniciado su ejecución y que posteriormente después de 2 meses o más se realice la cesión de la posición contractual del contratista, donde el nuevo contratista cesionario asume la ejecución contractual DE FORMA PARCIAL, ya que asume la ejecución del contrato después de varios meses de ejecución, asumiendo el VALOR PARCIAL DEL CONTRATO, pues al nuevo contratista cesionario solo se va a pagar por los meses restantes en la ejecución del contrato, acorde a la cesión suscrita en la cual se determina el valor parcial cedida; surge la consulta, si al nuevo contratista cesionario se le debe aplicar el gravamen por estampilla sobre el valor total del contrato o sobre el valor parcial cedido?</w:t>
      </w:r>
    </w:p>
    <w:p w14:paraId="474ED304"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36022E39"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Las estampillas son tributos que por sus características deben ser adoptados y desarrollados por parte de la respectiva corporación administrativa, asamblea o concejo, dentro de los límites de la Constitución y la ley, entre ellas, claro está, la ley que crea la respectiva estampilla.</w:t>
      </w:r>
    </w:p>
    <w:p w14:paraId="0CB41E85"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750397AD"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Esto para señalar que el fundamento normativo de cada estampilla es la ley de la República que autoriza su establecimiento y la ordenanza expedida por la asamblea departamental o el acuerdo expedido por el concejo municipal, donde se precisan sus elementos estructurales: el hecho generador, la base gravable, la tarifa, los sujetos pasivos y eventualmente criterios de no sujeción o exenciones, como la forma de recaudo y las obligaciones de los responsables, elementos a partir de los cuales deben analizarse cada una de las situaciones particulares que se presenten alrededor de su aplicación.</w:t>
      </w:r>
    </w:p>
    <w:p w14:paraId="25DEAD01"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6A9FBB14"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En general, de acuerdo con las diferentes leyes que autorizan su establecimiento, las estampillas recaen sobre actos y contratos en los que intervengan funcionarios de la entidad territorial o sus descentralizadas, de manera que los contratos estarán gravados indistintamente de la fuente del recurso y de la forma en que se efectúe el pago, siempre que sean suscritos con la entidad territorial o sus entidades descentralizadas y que para ese efecto intervenga un funcionario del mismo ente.</w:t>
      </w:r>
    </w:p>
    <w:p w14:paraId="0CD8E58E" w14:textId="77777777" w:rsidR="006A2AE3" w:rsidRPr="006A2AE3" w:rsidRDefault="006A2AE3" w:rsidP="006A2AE3">
      <w:pPr>
        <w:rPr>
          <w:rFonts w:ascii="Times New Roman" w:eastAsia="Times New Roman" w:hAnsi="Times New Roman" w:cs="Times New Roman"/>
          <w:kern w:val="0"/>
          <w:lang w:val="es-CO" w:eastAsia="es-MX"/>
          <w14:ligatures w14:val="none"/>
        </w:rPr>
      </w:pPr>
      <w:r w:rsidRPr="006A2AE3">
        <w:rPr>
          <w:rFonts w:ascii="Times New Roman" w:eastAsia="Times New Roman" w:hAnsi="Times New Roman" w:cs="Times New Roman"/>
          <w:kern w:val="0"/>
          <w:lang w:val="es-CO" w:eastAsia="es-MX"/>
          <w14:ligatures w14:val="none"/>
        </w:rPr>
        <w:br/>
      </w:r>
    </w:p>
    <w:p w14:paraId="77EB32A7" w14:textId="77777777" w:rsidR="006A2AE3" w:rsidRPr="006A2AE3" w:rsidRDefault="006A2AE3" w:rsidP="006A2AE3">
      <w:pPr>
        <w:numPr>
          <w:ilvl w:val="0"/>
          <w:numId w:val="2"/>
        </w:numPr>
        <w:jc w:val="both"/>
        <w:textAlignment w:val="baseline"/>
        <w:rPr>
          <w:rFonts w:ascii="Verdana" w:eastAsia="Times New Roman" w:hAnsi="Verdana" w:cs="Times New Roman"/>
          <w:b/>
          <w:bCs/>
          <w:i/>
          <w:iCs/>
          <w:color w:val="000000"/>
          <w:kern w:val="0"/>
          <w:lang w:val="es-CO" w:eastAsia="es-MX"/>
          <w14:ligatures w14:val="none"/>
        </w:rPr>
      </w:pPr>
      <w:r w:rsidRPr="006A2AE3">
        <w:rPr>
          <w:rFonts w:ascii="Verdana" w:eastAsia="Times New Roman" w:hAnsi="Verdana" w:cs="Times New Roman"/>
          <w:b/>
          <w:bCs/>
          <w:i/>
          <w:iCs/>
          <w:color w:val="000000"/>
          <w:kern w:val="0"/>
          <w:lang w:val="es-CO" w:eastAsia="es-MX"/>
          <w14:ligatures w14:val="none"/>
        </w:rPr>
        <w:lastRenderedPageBreak/>
        <w:t>¿Cuál debe ser la base gravable para gravar el contrato cedido?</w:t>
      </w:r>
    </w:p>
    <w:p w14:paraId="1503281B"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35265BD1"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La base gravable de las estampillas es la establecida en la ley que crea el tributo o la norma territorial (acuerdo u ordenanza) que lo regule conforme lo establecido en la ley de autorización que crea la estampilla. En consecuencia, si la ordenanza precisa los factores a tener en cuenta para determinar la base de liquidación de las estampillas, y preceptúa elementos de depuración de la base gravable o documentos exentos del gravamen, deberá entonces tenerse en cuenta tal distinción.</w:t>
      </w:r>
    </w:p>
    <w:p w14:paraId="1B9D29C2"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7757C03B"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Conforme lo anterior, de acuerdo con las leyes que autorizan el cobro por estampillas en municipios y departamentos, consideramos para establecer la base gravable sobre la cual se liquidan las estampillas territoriales, es necesario consulta los acuerdos u ordenanzas que adoptan el tributo y establecen las reglas de liquidación y pago en cada entidad territorial.</w:t>
      </w:r>
    </w:p>
    <w:p w14:paraId="7C767F95"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69096366"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En este orden de ideas, dado que se trata de inquietudes en relación con la interpretación de la norma departamental, sugerimos acudir a la oficina jurídica o secretaria de hacienda de la entidad para su aclaración.</w:t>
      </w:r>
    </w:p>
    <w:p w14:paraId="28372C07" w14:textId="77777777" w:rsidR="006A2AE3" w:rsidRPr="006A2AE3" w:rsidRDefault="006A2AE3" w:rsidP="006A2AE3">
      <w:pPr>
        <w:spacing w:after="240"/>
        <w:rPr>
          <w:rFonts w:ascii="Times New Roman" w:eastAsia="Times New Roman" w:hAnsi="Times New Roman" w:cs="Times New Roman"/>
          <w:kern w:val="0"/>
          <w:lang w:val="es-CO" w:eastAsia="es-MX"/>
          <w14:ligatures w14:val="none"/>
        </w:rPr>
      </w:pPr>
    </w:p>
    <w:p w14:paraId="67A0D890"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Cordialmente,</w:t>
      </w:r>
    </w:p>
    <w:p w14:paraId="20A10C38" w14:textId="77777777" w:rsidR="006A2AE3" w:rsidRPr="006A2AE3" w:rsidRDefault="006A2AE3" w:rsidP="006A2AE3">
      <w:pPr>
        <w:spacing w:after="240"/>
        <w:rPr>
          <w:rFonts w:ascii="Times New Roman" w:eastAsia="Times New Roman" w:hAnsi="Times New Roman" w:cs="Times New Roman"/>
          <w:kern w:val="0"/>
          <w:lang w:val="es-CO" w:eastAsia="es-MX"/>
          <w14:ligatures w14:val="none"/>
        </w:rPr>
      </w:pPr>
      <w:r w:rsidRPr="006A2AE3">
        <w:rPr>
          <w:rFonts w:ascii="Times New Roman" w:eastAsia="Times New Roman" w:hAnsi="Times New Roman" w:cs="Times New Roman"/>
          <w:kern w:val="0"/>
          <w:lang w:val="es-CO" w:eastAsia="es-MX"/>
          <w14:ligatures w14:val="none"/>
        </w:rPr>
        <w:br/>
      </w:r>
    </w:p>
    <w:p w14:paraId="5D5E7624"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b/>
          <w:bCs/>
          <w:color w:val="000000"/>
          <w:kern w:val="0"/>
          <w:lang w:val="es-CO" w:eastAsia="es-MX"/>
          <w14:ligatures w14:val="none"/>
        </w:rPr>
        <w:t>CLAUDIA HELENA OTALORA CRISTANCHO</w:t>
      </w:r>
    </w:p>
    <w:p w14:paraId="0BE72CF5"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Subdirectora de Fortalecimiento Institucional Territorial</w:t>
      </w:r>
    </w:p>
    <w:p w14:paraId="3EB4595E" w14:textId="77777777" w:rsidR="006A2AE3" w:rsidRPr="006A2AE3" w:rsidRDefault="006A2AE3" w:rsidP="006A2AE3">
      <w:pPr>
        <w:jc w:val="both"/>
        <w:rPr>
          <w:rFonts w:ascii="Times New Roman" w:eastAsia="Times New Roman" w:hAnsi="Times New Roman" w:cs="Times New Roman"/>
          <w:kern w:val="0"/>
          <w:lang w:val="es-CO" w:eastAsia="es-MX"/>
          <w14:ligatures w14:val="none"/>
        </w:rPr>
      </w:pPr>
      <w:r w:rsidRPr="006A2AE3">
        <w:rPr>
          <w:rFonts w:ascii="Verdana" w:eastAsia="Times New Roman" w:hAnsi="Verdana" w:cs="Times New Roman"/>
          <w:color w:val="000000"/>
          <w:kern w:val="0"/>
          <w:lang w:val="es-CO" w:eastAsia="es-MX"/>
          <w14:ligatures w14:val="none"/>
        </w:rPr>
        <w:t>Dirección General de Apoyo Fiscal</w:t>
      </w:r>
    </w:p>
    <w:p w14:paraId="27D544FD" w14:textId="77777777" w:rsidR="006A2AE3" w:rsidRPr="006A2AE3" w:rsidRDefault="006A2AE3" w:rsidP="006A2AE3">
      <w:pPr>
        <w:rPr>
          <w:rFonts w:ascii="Times New Roman" w:eastAsia="Times New Roman" w:hAnsi="Times New Roman" w:cs="Times New Roman"/>
          <w:kern w:val="0"/>
          <w:lang w:val="es-CO" w:eastAsia="es-MX"/>
          <w14:ligatures w14:val="none"/>
        </w:rPr>
      </w:pPr>
    </w:p>
    <w:p w14:paraId="44705486"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C77FAC"/>
    <w:multiLevelType w:val="multilevel"/>
    <w:tmpl w:val="976ECD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A755AC9"/>
    <w:multiLevelType w:val="multilevel"/>
    <w:tmpl w:val="141820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48697746">
    <w:abstractNumId w:val="1"/>
  </w:num>
  <w:num w:numId="2" w16cid:durableId="843857016">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AE3"/>
    <w:rsid w:val="000B2285"/>
    <w:rsid w:val="0050630A"/>
    <w:rsid w:val="00537D8F"/>
    <w:rsid w:val="006A2AE3"/>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2BBA5E9"/>
  <w14:defaultImageDpi w14:val="32767"/>
  <w15:chartTrackingRefBased/>
  <w15:docId w15:val="{32649EBA-2094-EB41-B072-DC9FD0783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A2AE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A2AE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A2AE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A2AE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A2AE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A2AE3"/>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A2AE3"/>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A2AE3"/>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A2AE3"/>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A2AE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A2AE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A2AE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A2AE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A2AE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A2AE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A2AE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A2AE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A2AE3"/>
    <w:rPr>
      <w:rFonts w:eastAsiaTheme="majorEastAsia" w:cstheme="majorBidi"/>
      <w:color w:val="272727" w:themeColor="text1" w:themeTint="D8"/>
    </w:rPr>
  </w:style>
  <w:style w:type="paragraph" w:styleId="Ttulo">
    <w:name w:val="Title"/>
    <w:basedOn w:val="Normal"/>
    <w:next w:val="Normal"/>
    <w:link w:val="TtuloCar"/>
    <w:uiPriority w:val="10"/>
    <w:qFormat/>
    <w:rsid w:val="006A2AE3"/>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A2AE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A2AE3"/>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A2AE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A2AE3"/>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A2AE3"/>
    <w:rPr>
      <w:i/>
      <w:iCs/>
      <w:color w:val="404040" w:themeColor="text1" w:themeTint="BF"/>
    </w:rPr>
  </w:style>
  <w:style w:type="paragraph" w:styleId="Prrafodelista">
    <w:name w:val="List Paragraph"/>
    <w:basedOn w:val="Normal"/>
    <w:uiPriority w:val="34"/>
    <w:qFormat/>
    <w:rsid w:val="006A2AE3"/>
    <w:pPr>
      <w:ind w:left="720"/>
      <w:contextualSpacing/>
    </w:pPr>
  </w:style>
  <w:style w:type="character" w:styleId="nfasisintenso">
    <w:name w:val="Intense Emphasis"/>
    <w:basedOn w:val="Fuentedeprrafopredeter"/>
    <w:uiPriority w:val="21"/>
    <w:qFormat/>
    <w:rsid w:val="006A2AE3"/>
    <w:rPr>
      <w:i/>
      <w:iCs/>
      <w:color w:val="2F5496" w:themeColor="accent1" w:themeShade="BF"/>
    </w:rPr>
  </w:style>
  <w:style w:type="paragraph" w:styleId="Citadestacada">
    <w:name w:val="Intense Quote"/>
    <w:basedOn w:val="Normal"/>
    <w:next w:val="Normal"/>
    <w:link w:val="CitadestacadaCar"/>
    <w:uiPriority w:val="30"/>
    <w:qFormat/>
    <w:rsid w:val="006A2A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A2AE3"/>
    <w:rPr>
      <w:i/>
      <w:iCs/>
      <w:color w:val="2F5496" w:themeColor="accent1" w:themeShade="BF"/>
    </w:rPr>
  </w:style>
  <w:style w:type="character" w:styleId="Referenciaintensa">
    <w:name w:val="Intense Reference"/>
    <w:basedOn w:val="Fuentedeprrafopredeter"/>
    <w:uiPriority w:val="32"/>
    <w:qFormat/>
    <w:rsid w:val="006A2AE3"/>
    <w:rPr>
      <w:b/>
      <w:bCs/>
      <w:smallCaps/>
      <w:color w:val="2F5496" w:themeColor="accent1" w:themeShade="BF"/>
      <w:spacing w:val="5"/>
    </w:rPr>
  </w:style>
  <w:style w:type="paragraph" w:styleId="NormalWeb">
    <w:name w:val="Normal (Web)"/>
    <w:basedOn w:val="Normal"/>
    <w:uiPriority w:val="99"/>
    <w:semiHidden/>
    <w:unhideWhenUsed/>
    <w:rsid w:val="006A2AE3"/>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6A2A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877</Words>
  <Characters>4826</Characters>
  <Application>Microsoft Office Word</Application>
  <DocSecurity>0</DocSecurity>
  <Lines>40</Lines>
  <Paragraphs>11</Paragraphs>
  <ScaleCrop>false</ScaleCrop>
  <Company/>
  <LinksUpToDate>false</LinksUpToDate>
  <CharactersWithSpaces>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2026-04-09T13:11:00Z</dcterms:created>
  <dcterms:modified xsi:type="dcterms:W3CDTF">2026-04-09T13:12:00Z</dcterms:modified>
</cp:coreProperties>
</file>