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1D2EC"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CONCEPTO 2025-078833 DEL 12 DE DICIEMBRE DE 2025</w:t>
      </w:r>
    </w:p>
    <w:p w14:paraId="20F580C0"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DIRECCIÓN DE APOYO FISCAL -DAF-</w:t>
      </w:r>
    </w:p>
    <w:p w14:paraId="05591780"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45E7437F"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Bogotá, D.C.</w:t>
      </w:r>
    </w:p>
    <w:p w14:paraId="5415293D"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4ADBFBA6"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Señor</w:t>
      </w:r>
    </w:p>
    <w:p w14:paraId="7451FE1F"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Andrés Mauricio Olarte Valderrama</w:t>
      </w:r>
    </w:p>
    <w:p w14:paraId="088EDDE8"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Director Administrativo Tributario</w:t>
      </w:r>
    </w:p>
    <w:p w14:paraId="6BE3BD4F"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Secretaría de Hacienda – Gobernación del Quindío</w:t>
      </w:r>
    </w:p>
    <w:p w14:paraId="1AE26A1A"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ingresospublicos@gobernacionquindio.gov.co</w:t>
      </w:r>
    </w:p>
    <w:p w14:paraId="7B0D1838"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40672610" w14:textId="77777777" w:rsidR="00A43399" w:rsidRPr="00A43399" w:rsidRDefault="00A43399" w:rsidP="00A43399">
      <w:pPr>
        <w:jc w:val="right"/>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Radicado entrada 1-2025-121572 del 24/11/2025</w:t>
      </w:r>
    </w:p>
    <w:p w14:paraId="502C081B" w14:textId="77777777" w:rsidR="00A43399" w:rsidRPr="00A43399" w:rsidRDefault="00A43399" w:rsidP="00A43399">
      <w:pPr>
        <w:jc w:val="right"/>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No. Expediente 16532/2025/GEA</w:t>
      </w:r>
    </w:p>
    <w:p w14:paraId="443FDAE9"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60BDF416"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Tema:</w:t>
      </w:r>
      <w:r w:rsidRPr="00A43399">
        <w:rPr>
          <w:rFonts w:ascii="Verdana" w:eastAsia="Times New Roman" w:hAnsi="Verdana" w:cs="Times New Roman"/>
          <w:b/>
          <w:bCs/>
          <w:color w:val="000000"/>
          <w:kern w:val="0"/>
          <w:lang w:val="es-CO" w:eastAsia="es-MX"/>
          <w14:ligatures w14:val="none"/>
        </w:rPr>
        <w:tab/>
      </w:r>
      <w:r w:rsidRPr="00A43399">
        <w:rPr>
          <w:rFonts w:ascii="Verdana" w:eastAsia="Times New Roman" w:hAnsi="Verdana" w:cs="Times New Roman"/>
          <w:b/>
          <w:bCs/>
          <w:color w:val="000000"/>
          <w:kern w:val="0"/>
          <w:lang w:val="es-CO" w:eastAsia="es-MX"/>
          <w14:ligatures w14:val="none"/>
        </w:rPr>
        <w:tab/>
      </w:r>
      <w:r w:rsidRPr="00A43399">
        <w:rPr>
          <w:rFonts w:ascii="Verdana" w:eastAsia="Times New Roman" w:hAnsi="Verdana" w:cs="Times New Roman"/>
          <w:color w:val="000000"/>
          <w:kern w:val="0"/>
          <w:lang w:val="es-CO" w:eastAsia="es-MX"/>
          <w14:ligatures w14:val="none"/>
        </w:rPr>
        <w:t>Cobro Administrativo Coactivo</w:t>
      </w:r>
    </w:p>
    <w:p w14:paraId="7249C8DB"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Subtema:</w:t>
      </w:r>
      <w:r w:rsidRPr="00A43399">
        <w:rPr>
          <w:rFonts w:ascii="Verdana" w:eastAsia="Times New Roman" w:hAnsi="Verdana" w:cs="Times New Roman"/>
          <w:b/>
          <w:bCs/>
          <w:color w:val="000000"/>
          <w:kern w:val="0"/>
          <w:lang w:val="es-CO" w:eastAsia="es-MX"/>
          <w14:ligatures w14:val="none"/>
        </w:rPr>
        <w:tab/>
      </w:r>
      <w:r w:rsidRPr="00A43399">
        <w:rPr>
          <w:rFonts w:ascii="Verdana" w:eastAsia="Times New Roman" w:hAnsi="Verdana" w:cs="Times New Roman"/>
          <w:b/>
          <w:bCs/>
          <w:color w:val="000000"/>
          <w:kern w:val="0"/>
          <w:lang w:val="es-CO" w:eastAsia="es-MX"/>
          <w14:ligatures w14:val="none"/>
        </w:rPr>
        <w:tab/>
      </w:r>
      <w:r w:rsidRPr="00A43399">
        <w:rPr>
          <w:rFonts w:ascii="Verdana" w:eastAsia="Times New Roman" w:hAnsi="Verdana" w:cs="Times New Roman"/>
          <w:color w:val="000000"/>
          <w:kern w:val="0"/>
          <w:lang w:val="es-CO" w:eastAsia="es-MX"/>
          <w14:ligatures w14:val="none"/>
        </w:rPr>
        <w:t>Responsables solidarios</w:t>
      </w:r>
    </w:p>
    <w:p w14:paraId="13AB63BC"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311DE59C"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Respetado Señor Olarte:</w:t>
      </w:r>
    </w:p>
    <w:p w14:paraId="62FE61FE"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540242AF"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Mediante escrito radicado en este Ministerio con el número y fecha del asunto, haciendo referencia a lo normado en el parágrafo 3º del artículo 839-1 del Estatuto Tributario Nacional, solicita concepto respecto de la manera de vincular al proceso de cobro a las personas que no den cumplimiento a las órdenes de embargo decretadas por la administración.</w:t>
      </w:r>
    </w:p>
    <w:p w14:paraId="75C5259D"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2740E369"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Al respecto, en lo que hace a los responsables solidarios el Estatuto Tributario Nacional establece en diversos artículos quiénes son los llamados a responder solidariamente con el contribuyentes o responsables por sus obligaciones. Muestra de ello la encontramos en los artículos 793, 794, 795, 796, 797, 839-1 y 847 de dicha norma.</w:t>
      </w:r>
    </w:p>
    <w:p w14:paraId="7F60F1DB"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452B6009"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En lo que hace particularmente a la responsabilidad solidaria del parágrafo 3º del artículo 839-1, esta se configura, como lo señala la norma, cuando aquellas personas a las que se les comuniquen embargos no den cumplimiento oportuno con las obligaciones impuestas por las normas, esto es con el registro y aplicación del respectivo embargo.</w:t>
      </w:r>
    </w:p>
    <w:p w14:paraId="2C100E51"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7F01F31E"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 xml:space="preserve">Ahora bien, del análisis de las precitadas normas es posible evidenciar que no establecen un procedimiento en particular para la vinculación de los responsables solidarios, de manera que, en nuestro concepto habrá de acudirse a las normas generales que regulan esa vinculación, esto es al artículo 828-1 del Estatuto Tributario Nacional, que </w:t>
      </w:r>
      <w:r w:rsidRPr="00A43399">
        <w:rPr>
          <w:rFonts w:ascii="Verdana" w:eastAsia="Times New Roman" w:hAnsi="Verdana" w:cs="Times New Roman"/>
          <w:i/>
          <w:iCs/>
          <w:color w:val="000000"/>
          <w:kern w:val="0"/>
          <w:lang w:val="es-CO" w:eastAsia="es-MX"/>
          <w14:ligatures w14:val="none"/>
        </w:rPr>
        <w:t xml:space="preserve">ad </w:t>
      </w:r>
      <w:proofErr w:type="spellStart"/>
      <w:r w:rsidRPr="00A43399">
        <w:rPr>
          <w:rFonts w:ascii="Verdana" w:eastAsia="Times New Roman" w:hAnsi="Verdana" w:cs="Times New Roman"/>
          <w:i/>
          <w:iCs/>
          <w:color w:val="000000"/>
          <w:kern w:val="0"/>
          <w:lang w:val="es-CO" w:eastAsia="es-MX"/>
          <w14:ligatures w14:val="none"/>
        </w:rPr>
        <w:t>pedem</w:t>
      </w:r>
      <w:proofErr w:type="spellEnd"/>
      <w:r w:rsidRPr="00A43399">
        <w:rPr>
          <w:rFonts w:ascii="Verdana" w:eastAsia="Times New Roman" w:hAnsi="Verdana" w:cs="Times New Roman"/>
          <w:i/>
          <w:iCs/>
          <w:color w:val="000000"/>
          <w:kern w:val="0"/>
          <w:lang w:val="es-CO" w:eastAsia="es-MX"/>
          <w14:ligatures w14:val="none"/>
        </w:rPr>
        <w:t xml:space="preserve"> </w:t>
      </w:r>
      <w:proofErr w:type="spellStart"/>
      <w:r w:rsidRPr="00A43399">
        <w:rPr>
          <w:rFonts w:ascii="Verdana" w:eastAsia="Times New Roman" w:hAnsi="Verdana" w:cs="Times New Roman"/>
          <w:i/>
          <w:iCs/>
          <w:color w:val="000000"/>
          <w:kern w:val="0"/>
          <w:lang w:val="es-CO" w:eastAsia="es-MX"/>
          <w14:ligatures w14:val="none"/>
        </w:rPr>
        <w:t>literae</w:t>
      </w:r>
      <w:proofErr w:type="spellEnd"/>
      <w:r w:rsidRPr="00A43399">
        <w:rPr>
          <w:rFonts w:ascii="Verdana" w:eastAsia="Times New Roman" w:hAnsi="Verdana" w:cs="Times New Roman"/>
          <w:i/>
          <w:iCs/>
          <w:color w:val="000000"/>
          <w:kern w:val="0"/>
          <w:lang w:val="es-CO" w:eastAsia="es-MX"/>
          <w14:ligatures w14:val="none"/>
        </w:rPr>
        <w:t xml:space="preserve"> </w:t>
      </w:r>
      <w:r w:rsidRPr="00A43399">
        <w:rPr>
          <w:rFonts w:ascii="Verdana" w:eastAsia="Times New Roman" w:hAnsi="Verdana" w:cs="Times New Roman"/>
          <w:color w:val="000000"/>
          <w:kern w:val="0"/>
          <w:lang w:val="es-CO" w:eastAsia="es-MX"/>
          <w14:ligatures w14:val="none"/>
        </w:rPr>
        <w:t>establece:</w:t>
      </w:r>
    </w:p>
    <w:p w14:paraId="08D8C0DC"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7E6B6E3E" w14:textId="77777777" w:rsidR="00A43399" w:rsidRPr="00A43399" w:rsidRDefault="00A43399" w:rsidP="00A43399">
      <w:pPr>
        <w:ind w:left="709"/>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sz w:val="22"/>
          <w:szCs w:val="22"/>
          <w:lang w:val="es-CO" w:eastAsia="es-MX"/>
          <w14:ligatures w14:val="none"/>
        </w:rPr>
        <w:lastRenderedPageBreak/>
        <w:t>“Articulo 828-1. Vinculación de deudores solidarios. La vinculación del deudor solidario se hará mediante la notificación del mandamiento de pago. Este deberá librarse determinando individualmente el monto de la obligación del respectivo deudor y se notificará en la forma indicada en el artículo 826 del Estatuto Tributario.</w:t>
      </w:r>
    </w:p>
    <w:p w14:paraId="7A7134CF"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6403E5CE" w14:textId="77777777" w:rsidR="00A43399" w:rsidRPr="00A43399" w:rsidRDefault="00A43399" w:rsidP="00A43399">
      <w:pPr>
        <w:ind w:left="709"/>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sz w:val="22"/>
          <w:szCs w:val="22"/>
          <w:lang w:val="es-CO" w:eastAsia="es-MX"/>
          <w14:ligatures w14:val="none"/>
        </w:rPr>
        <w:t>Los títulos ejecutivos contra el deudor principal lo serán contra los deudores solidarios y subsidiarios, sin que se requiera la constitución de títulos individuales adicionales.”</w:t>
      </w:r>
    </w:p>
    <w:p w14:paraId="0493EC60"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39DFDEDD"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Conforme con la norma trascrita, la forma de vinculación del deudor solidario se hará mediante la notificación a este de un mandamiento de pago en el que habrá de determinarse individuamente su obligación, y teniendo como título ejecutivo el mismo que se presenta contra el deudor principal. Sin embargo, teniendo presente que la solidaridad se deriva del incumplimiento de la orden de embargo, a juicio de esta Dirección deberá conformarse un título ejecutivo complejo junto con la orden de embargo y el auto que declare su incumplimiento. En lo que hace al monto de la obligación consideramos que deberá corresponder al de la obligación que se pretende garantizar con la medida de embargo.</w:t>
      </w:r>
    </w:p>
    <w:p w14:paraId="5C75A2C5"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27F23B48"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 xml:space="preserve">En este punto, es preciso advertir que el artículo 828-1 del Estatuto Tributario Nacional </w:t>
      </w:r>
      <w:r w:rsidRPr="00A43399">
        <w:rPr>
          <w:rFonts w:ascii="Verdana" w:eastAsia="Times New Roman" w:hAnsi="Verdana" w:cs="Times New Roman"/>
          <w:i/>
          <w:iCs/>
          <w:color w:val="000000"/>
          <w:kern w:val="0"/>
          <w:lang w:val="es-CO" w:eastAsia="es-MX"/>
          <w14:ligatures w14:val="none"/>
        </w:rPr>
        <w:t>supra</w:t>
      </w:r>
      <w:r w:rsidRPr="00A43399">
        <w:rPr>
          <w:rFonts w:ascii="Verdana" w:eastAsia="Times New Roman" w:hAnsi="Verdana" w:cs="Times New Roman"/>
          <w:color w:val="000000"/>
          <w:kern w:val="0"/>
          <w:lang w:val="es-CO" w:eastAsia="es-MX"/>
          <w14:ligatures w14:val="none"/>
        </w:rPr>
        <w:t xml:space="preserve"> fue declarado condicionalmente exequible por la Corte Constitucional </w:t>
      </w:r>
      <w:r w:rsidRPr="00A43399">
        <w:rPr>
          <w:rFonts w:ascii="Verdana" w:eastAsia="Times New Roman" w:hAnsi="Verdana" w:cs="Times New Roman"/>
          <w:i/>
          <w:iCs/>
          <w:color w:val="000000"/>
          <w:kern w:val="0"/>
          <w:lang w:val="es-CO" w:eastAsia="es-MX"/>
          <w14:ligatures w14:val="none"/>
        </w:rPr>
        <w:t>“siempre y cuando se entienda que el deudor solidario debe ser citado oportunamente al proceso de determinación de la obligación tributaria, en los términos del artículo 28 del Código Contencioso Administrativo”</w:t>
      </w:r>
      <w:r w:rsidRPr="00A43399">
        <w:rPr>
          <w:rFonts w:ascii="Verdana" w:eastAsia="Times New Roman" w:hAnsi="Verdana" w:cs="Times New Roman"/>
          <w:color w:val="000000"/>
          <w:kern w:val="0"/>
          <w:lang w:val="es-CO" w:eastAsia="es-MX"/>
          <w14:ligatures w14:val="none"/>
        </w:rPr>
        <w:t>, lo que implicaría que debería haberse vinculado, en este caso, a las personas que incumplieron la orden de embargo.</w:t>
      </w:r>
    </w:p>
    <w:p w14:paraId="12D8F939"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28DDBECC"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No obstante, a juicio de esta Dirección en este caso, no debe perderse de vista que en el supuesto de la responsabilidad solidaria del parágrafo 3º del artículo 839-1 del Estatuto Tributario se trata de terceros cuya responsabilidad, esto es la de cumplir con la orden de embargo, se rige por los postulados de dicha norma de manera que no guarda un nexo de causalidad con la obligación principal lo que significa que no estaría legitimado para intervenir en el proceso de determinación de dicha obligación, y ello consecuentemente relevaría a la administración del deber de vincularlo a ese proceso.</w:t>
      </w:r>
    </w:p>
    <w:p w14:paraId="5DED6FB3"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78E30CD3"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 xml:space="preserve">Y ello es así porque las personas a las que se les comunica el embargo no asumen la obligación de pagar el impuesto, la obligación se limita al valor que se pretende garantizar con la medida. Además, en los procesos de determinación de tributos no se resuelve sobre la obligación a cargo de la persona a la que se le comunica el embargo, lo que implica, se reitera, </w:t>
      </w:r>
      <w:r w:rsidRPr="00A43399">
        <w:rPr>
          <w:rFonts w:ascii="Verdana" w:eastAsia="Times New Roman" w:hAnsi="Verdana" w:cs="Times New Roman"/>
          <w:color w:val="000000"/>
          <w:kern w:val="0"/>
          <w:lang w:val="es-CO" w:eastAsia="es-MX"/>
          <w14:ligatures w14:val="none"/>
        </w:rPr>
        <w:lastRenderedPageBreak/>
        <w:t>que esas personas carezcan de legitimación para intervenir en el proceso de determinación.</w:t>
      </w:r>
    </w:p>
    <w:p w14:paraId="397002F3"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192DE757"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De otra parte, de manera respetuosa le solicitamos hacer un uso racional del derecho de petición en el sentido de radicar sus consultas una sola vez, puesto que esta fue radicada dos veces más, con los números 1-2025-121938 y 1-2025-121954 del 26-11-2025.</w:t>
      </w:r>
    </w:p>
    <w:p w14:paraId="1110BDE3"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4A5179AB"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Por último, le comunicamos que nuestros pronunciamientos se emiten en los términos y con los estrictos alcances de los artículos 14-2 y 28 del Código de Procedimiento Administrativo y de lo Contencioso Administrativo, por lo que no tienen efectos obligatorios ni vinculantes, y no comprometen la responsabilidad de este Ministerio.</w:t>
      </w:r>
    </w:p>
    <w:p w14:paraId="32B5648C" w14:textId="77777777" w:rsidR="00A43399" w:rsidRPr="00A43399" w:rsidRDefault="00A43399" w:rsidP="00A43399">
      <w:pPr>
        <w:spacing w:after="240"/>
        <w:rPr>
          <w:rFonts w:ascii="Times New Roman" w:eastAsia="Times New Roman" w:hAnsi="Times New Roman" w:cs="Times New Roman"/>
          <w:kern w:val="0"/>
          <w:lang w:val="es-CO" w:eastAsia="es-MX"/>
          <w14:ligatures w14:val="none"/>
        </w:rPr>
      </w:pPr>
    </w:p>
    <w:p w14:paraId="73DF1703"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Cordialmente</w:t>
      </w:r>
    </w:p>
    <w:p w14:paraId="5082CB38" w14:textId="77777777" w:rsidR="00A43399" w:rsidRPr="00A43399" w:rsidRDefault="00A43399" w:rsidP="00A43399">
      <w:pPr>
        <w:spacing w:after="240"/>
        <w:rPr>
          <w:rFonts w:ascii="Times New Roman" w:eastAsia="Times New Roman" w:hAnsi="Times New Roman" w:cs="Times New Roman"/>
          <w:kern w:val="0"/>
          <w:lang w:val="es-CO" w:eastAsia="es-MX"/>
          <w14:ligatures w14:val="none"/>
        </w:rPr>
      </w:pPr>
      <w:r w:rsidRPr="00A43399">
        <w:rPr>
          <w:rFonts w:ascii="Times New Roman" w:eastAsia="Times New Roman" w:hAnsi="Times New Roman" w:cs="Times New Roman"/>
          <w:kern w:val="0"/>
          <w:lang w:val="es-CO" w:eastAsia="es-MX"/>
          <w14:ligatures w14:val="none"/>
        </w:rPr>
        <w:br/>
      </w:r>
    </w:p>
    <w:p w14:paraId="44BB0A38"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b/>
          <w:bCs/>
          <w:color w:val="000000"/>
          <w:kern w:val="0"/>
          <w:lang w:val="es-CO" w:eastAsia="es-MX"/>
          <w14:ligatures w14:val="none"/>
        </w:rPr>
        <w:t>Claudia Helena Otálora Cristancho</w:t>
      </w:r>
    </w:p>
    <w:p w14:paraId="5683EF3E"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Subdirectora de Fortalecimiento Institucional Territorial</w:t>
      </w:r>
    </w:p>
    <w:p w14:paraId="1E7E02C1" w14:textId="77777777" w:rsidR="00A43399" w:rsidRPr="00A43399" w:rsidRDefault="00A43399" w:rsidP="00A43399">
      <w:pPr>
        <w:jc w:val="both"/>
        <w:rPr>
          <w:rFonts w:ascii="Times New Roman" w:eastAsia="Times New Roman" w:hAnsi="Times New Roman" w:cs="Times New Roman"/>
          <w:kern w:val="0"/>
          <w:lang w:val="es-CO" w:eastAsia="es-MX"/>
          <w14:ligatures w14:val="none"/>
        </w:rPr>
      </w:pPr>
      <w:r w:rsidRPr="00A43399">
        <w:rPr>
          <w:rFonts w:ascii="Verdana" w:eastAsia="Times New Roman" w:hAnsi="Verdana" w:cs="Times New Roman"/>
          <w:color w:val="000000"/>
          <w:kern w:val="0"/>
          <w:lang w:val="es-CO" w:eastAsia="es-MX"/>
          <w14:ligatures w14:val="none"/>
        </w:rPr>
        <w:t>Dirección General de Apoyo Fiscal</w:t>
      </w:r>
    </w:p>
    <w:p w14:paraId="633C68CC" w14:textId="77777777" w:rsidR="00A43399" w:rsidRPr="00A43399" w:rsidRDefault="00A43399" w:rsidP="00A43399">
      <w:pPr>
        <w:rPr>
          <w:rFonts w:ascii="Times New Roman" w:eastAsia="Times New Roman" w:hAnsi="Times New Roman" w:cs="Times New Roman"/>
          <w:kern w:val="0"/>
          <w:lang w:val="es-CO" w:eastAsia="es-MX"/>
          <w14:ligatures w14:val="none"/>
        </w:rPr>
      </w:pPr>
    </w:p>
    <w:p w14:paraId="6E42F87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399"/>
    <w:rsid w:val="000B2285"/>
    <w:rsid w:val="001D3E0D"/>
    <w:rsid w:val="00537D8F"/>
    <w:rsid w:val="00A4339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8D6FF0B"/>
  <w14:defaultImageDpi w14:val="32767"/>
  <w15:chartTrackingRefBased/>
  <w15:docId w15:val="{552754A5-8513-CE48-9755-0A3B19D2B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433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433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4339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4339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4339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4339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4339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4339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4339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339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4339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4339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4339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4339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4339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4339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4339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43399"/>
    <w:rPr>
      <w:rFonts w:eastAsiaTheme="majorEastAsia" w:cstheme="majorBidi"/>
      <w:color w:val="272727" w:themeColor="text1" w:themeTint="D8"/>
    </w:rPr>
  </w:style>
  <w:style w:type="paragraph" w:styleId="Ttulo">
    <w:name w:val="Title"/>
    <w:basedOn w:val="Normal"/>
    <w:next w:val="Normal"/>
    <w:link w:val="TtuloCar"/>
    <w:uiPriority w:val="10"/>
    <w:qFormat/>
    <w:rsid w:val="00A4339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4339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4339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4339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4339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43399"/>
    <w:rPr>
      <w:i/>
      <w:iCs/>
      <w:color w:val="404040" w:themeColor="text1" w:themeTint="BF"/>
    </w:rPr>
  </w:style>
  <w:style w:type="paragraph" w:styleId="Prrafodelista">
    <w:name w:val="List Paragraph"/>
    <w:basedOn w:val="Normal"/>
    <w:uiPriority w:val="34"/>
    <w:qFormat/>
    <w:rsid w:val="00A43399"/>
    <w:pPr>
      <w:ind w:left="720"/>
      <w:contextualSpacing/>
    </w:pPr>
  </w:style>
  <w:style w:type="character" w:styleId="nfasisintenso">
    <w:name w:val="Intense Emphasis"/>
    <w:basedOn w:val="Fuentedeprrafopredeter"/>
    <w:uiPriority w:val="21"/>
    <w:qFormat/>
    <w:rsid w:val="00A43399"/>
    <w:rPr>
      <w:i/>
      <w:iCs/>
      <w:color w:val="2F5496" w:themeColor="accent1" w:themeShade="BF"/>
    </w:rPr>
  </w:style>
  <w:style w:type="paragraph" w:styleId="Citadestacada">
    <w:name w:val="Intense Quote"/>
    <w:basedOn w:val="Normal"/>
    <w:next w:val="Normal"/>
    <w:link w:val="CitadestacadaCar"/>
    <w:uiPriority w:val="30"/>
    <w:qFormat/>
    <w:rsid w:val="00A433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43399"/>
    <w:rPr>
      <w:i/>
      <w:iCs/>
      <w:color w:val="2F5496" w:themeColor="accent1" w:themeShade="BF"/>
    </w:rPr>
  </w:style>
  <w:style w:type="character" w:styleId="Referenciaintensa">
    <w:name w:val="Intense Reference"/>
    <w:basedOn w:val="Fuentedeprrafopredeter"/>
    <w:uiPriority w:val="32"/>
    <w:qFormat/>
    <w:rsid w:val="00A43399"/>
    <w:rPr>
      <w:b/>
      <w:bCs/>
      <w:smallCaps/>
      <w:color w:val="2F5496" w:themeColor="accent1" w:themeShade="BF"/>
      <w:spacing w:val="5"/>
    </w:rPr>
  </w:style>
  <w:style w:type="paragraph" w:styleId="NormalWeb">
    <w:name w:val="Normal (Web)"/>
    <w:basedOn w:val="Normal"/>
    <w:uiPriority w:val="99"/>
    <w:semiHidden/>
    <w:unhideWhenUsed/>
    <w:rsid w:val="00A4339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A43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820</Words>
  <Characters>4511</Characters>
  <Application>Microsoft Office Word</Application>
  <DocSecurity>0</DocSecurity>
  <Lines>37</Lines>
  <Paragraphs>10</Paragraphs>
  <ScaleCrop>false</ScaleCrop>
  <Company/>
  <LinksUpToDate>false</LinksUpToDate>
  <CharactersWithSpaces>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2026-04-20T21:27:00Z</dcterms:created>
  <dcterms:modified xsi:type="dcterms:W3CDTF">2026-04-20T21:28:00Z</dcterms:modified>
</cp:coreProperties>
</file>