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C4263B"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b/>
          <w:bCs/>
          <w:color w:val="000000"/>
          <w:kern w:val="0"/>
          <w:lang w:val="es-CO" w:eastAsia="es-MX"/>
          <w14:ligatures w14:val="none"/>
        </w:rPr>
        <w:t>CONCEPTO 2025-081797 DEL 29 DE DICIEMBRE DE 2025</w:t>
      </w:r>
    </w:p>
    <w:p w14:paraId="15FB4E1F"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b/>
          <w:bCs/>
          <w:color w:val="000000"/>
          <w:kern w:val="0"/>
          <w:lang w:val="es-CO" w:eastAsia="es-MX"/>
          <w14:ligatures w14:val="none"/>
        </w:rPr>
        <w:t>DIRECCIÓN DE APOYO FISCAL -DAF-</w:t>
      </w:r>
    </w:p>
    <w:p w14:paraId="64F0C6F0"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040CD090"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Bogotá, D.C.</w:t>
      </w:r>
    </w:p>
    <w:p w14:paraId="7AA9E2F3"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62747EC9"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Señora</w:t>
      </w:r>
    </w:p>
    <w:p w14:paraId="2A30BE43"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b/>
          <w:bCs/>
          <w:color w:val="000000"/>
          <w:kern w:val="0"/>
          <w:lang w:val="es-CO" w:eastAsia="es-MX"/>
          <w14:ligatures w14:val="none"/>
        </w:rPr>
        <w:t xml:space="preserve">Diana Yesenia </w:t>
      </w:r>
      <w:proofErr w:type="spellStart"/>
      <w:r w:rsidRPr="005A01D0">
        <w:rPr>
          <w:rFonts w:ascii="Verdana" w:eastAsia="Times New Roman" w:hAnsi="Verdana" w:cs="Times New Roman"/>
          <w:b/>
          <w:bCs/>
          <w:color w:val="000000"/>
          <w:kern w:val="0"/>
          <w:lang w:val="es-CO" w:eastAsia="es-MX"/>
          <w14:ligatures w14:val="none"/>
        </w:rPr>
        <w:t>Nossa</w:t>
      </w:r>
      <w:proofErr w:type="spellEnd"/>
      <w:r w:rsidRPr="005A01D0">
        <w:rPr>
          <w:rFonts w:ascii="Verdana" w:eastAsia="Times New Roman" w:hAnsi="Verdana" w:cs="Times New Roman"/>
          <w:b/>
          <w:bCs/>
          <w:color w:val="000000"/>
          <w:kern w:val="0"/>
          <w:lang w:val="es-CO" w:eastAsia="es-MX"/>
          <w14:ligatures w14:val="none"/>
        </w:rPr>
        <w:t xml:space="preserve"> Fuentes</w:t>
      </w:r>
    </w:p>
    <w:p w14:paraId="2AFFD0A1"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Directora Técnica de Cobro Coactivo</w:t>
      </w:r>
    </w:p>
    <w:p w14:paraId="32F3847C"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Gobernación de Casanare</w:t>
      </w:r>
    </w:p>
    <w:p w14:paraId="432E5446"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u w:val="single"/>
          <w:lang w:val="es-CO" w:eastAsia="es-MX"/>
          <w14:ligatures w14:val="none"/>
        </w:rPr>
        <w:t>hugo.quintero@casanare.gov.co</w:t>
      </w:r>
    </w:p>
    <w:p w14:paraId="6363E95A"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0AFC1F6E" w14:textId="77777777" w:rsidR="005A01D0" w:rsidRPr="005A01D0" w:rsidRDefault="005A01D0" w:rsidP="005A01D0">
      <w:pPr>
        <w:jc w:val="right"/>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Radicado entrada 1-2025-130446</w:t>
      </w:r>
    </w:p>
    <w:p w14:paraId="054E6A80" w14:textId="77777777" w:rsidR="005A01D0" w:rsidRPr="005A01D0" w:rsidRDefault="005A01D0" w:rsidP="005A01D0">
      <w:pPr>
        <w:jc w:val="right"/>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No. Expediente 17105/2025/GEA</w:t>
      </w:r>
    </w:p>
    <w:p w14:paraId="2C585212"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53513E66"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b/>
          <w:bCs/>
          <w:color w:val="000000"/>
          <w:kern w:val="0"/>
          <w:lang w:val="es-CO" w:eastAsia="es-MX"/>
          <w14:ligatures w14:val="none"/>
        </w:rPr>
        <w:t>Asunto:</w:t>
      </w:r>
      <w:r w:rsidRPr="005A01D0">
        <w:rPr>
          <w:rFonts w:ascii="Verdana" w:eastAsia="Times New Roman" w:hAnsi="Verdana" w:cs="Times New Roman"/>
          <w:b/>
          <w:bCs/>
          <w:color w:val="000000"/>
          <w:kern w:val="0"/>
          <w:lang w:val="es-CO" w:eastAsia="es-MX"/>
          <w14:ligatures w14:val="none"/>
        </w:rPr>
        <w:tab/>
      </w:r>
      <w:r w:rsidRPr="005A01D0">
        <w:rPr>
          <w:rFonts w:ascii="Verdana" w:eastAsia="Times New Roman" w:hAnsi="Verdana" w:cs="Times New Roman"/>
          <w:color w:val="000000"/>
          <w:kern w:val="0"/>
          <w:lang w:val="es-CO" w:eastAsia="es-MX"/>
          <w14:ligatures w14:val="none"/>
        </w:rPr>
        <w:t>Oficio 1-2025-130446 del 19/12/2025</w:t>
      </w:r>
    </w:p>
    <w:p w14:paraId="6ED3C24B"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b/>
          <w:bCs/>
          <w:color w:val="000000"/>
          <w:kern w:val="0"/>
          <w:lang w:val="es-CO" w:eastAsia="es-MX"/>
          <w14:ligatures w14:val="none"/>
        </w:rPr>
        <w:t>Tema:</w:t>
      </w:r>
      <w:r w:rsidRPr="005A01D0">
        <w:rPr>
          <w:rFonts w:ascii="Verdana" w:eastAsia="Times New Roman" w:hAnsi="Verdana" w:cs="Times New Roman"/>
          <w:b/>
          <w:bCs/>
          <w:color w:val="000000"/>
          <w:kern w:val="0"/>
          <w:lang w:val="es-CO" w:eastAsia="es-MX"/>
          <w14:ligatures w14:val="none"/>
        </w:rPr>
        <w:tab/>
      </w:r>
      <w:r w:rsidRPr="005A01D0">
        <w:rPr>
          <w:rFonts w:ascii="Verdana" w:eastAsia="Times New Roman" w:hAnsi="Verdana" w:cs="Times New Roman"/>
          <w:color w:val="000000"/>
          <w:kern w:val="0"/>
          <w:lang w:val="es-CO" w:eastAsia="es-MX"/>
          <w14:ligatures w14:val="none"/>
        </w:rPr>
        <w:t>Régimen sancionatorio</w:t>
      </w:r>
    </w:p>
    <w:p w14:paraId="4CD19F05"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b/>
          <w:bCs/>
          <w:color w:val="000000"/>
          <w:kern w:val="0"/>
          <w:lang w:val="es-CO" w:eastAsia="es-MX"/>
          <w14:ligatures w14:val="none"/>
        </w:rPr>
        <w:t>Subtema:</w:t>
      </w:r>
      <w:r w:rsidRPr="005A01D0">
        <w:rPr>
          <w:rFonts w:ascii="Verdana" w:eastAsia="Times New Roman" w:hAnsi="Verdana" w:cs="Times New Roman"/>
          <w:b/>
          <w:bCs/>
          <w:color w:val="000000"/>
          <w:kern w:val="0"/>
          <w:lang w:val="es-CO" w:eastAsia="es-MX"/>
          <w14:ligatures w14:val="none"/>
        </w:rPr>
        <w:tab/>
      </w:r>
      <w:r w:rsidRPr="005A01D0">
        <w:rPr>
          <w:rFonts w:ascii="Verdana" w:eastAsia="Times New Roman" w:hAnsi="Verdana" w:cs="Times New Roman"/>
          <w:color w:val="000000"/>
          <w:kern w:val="0"/>
          <w:lang w:val="es-CO" w:eastAsia="es-MX"/>
          <w14:ligatures w14:val="none"/>
        </w:rPr>
        <w:t>Sanción mínima</w:t>
      </w:r>
    </w:p>
    <w:p w14:paraId="20CE72B0"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2B1284AF"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Respetada Señora Nossa:</w:t>
      </w:r>
    </w:p>
    <w:p w14:paraId="0078F0A4"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3AB4667F"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Mediante escrito radicado en este Ministerio con el número y fecha del asunto, haciendo referencia a una ordenanza expedida por la asamblea de ese departamento en la que se establecen beneficios a los deudores morosos del Impuesto sobre Vehículos Automotores, expresa que existen al interior de la administración diferencias de interpretación frente a la aplicación de la sanción mínima en el marco de esa ordenanza, y a renglón seguido consulta usted sobre la procedencia de aplicar el descuento aun cuando el monto final a pagar sea inferior a la sanción mínima, y si existe infracción al régimen tributario si la entidad recibe pagos inferiores a la sanción mínima en virtud del beneficio adoptado por la asamblea.</w:t>
      </w:r>
    </w:p>
    <w:p w14:paraId="35CCE257"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1013FE7F"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 xml:space="preserve">Al respecto, es preciso advertir que habiendo sido el beneficio adoptado en una ordenanza expedida por la asamblea departamental, la respuesta a sus interrogantes debe ser resuelta por la propia administración departamental quien debe conocer de primera mano los elementos de hecho y de derecho que motivaron su regulación, ello en ejercicio de la autonomía que le reconoce el artículo 287 superior, ya que al decir de la Corte Constitucional </w:t>
      </w:r>
      <w:r w:rsidRPr="005A01D0">
        <w:rPr>
          <w:rFonts w:ascii="Verdana" w:eastAsia="Times New Roman" w:hAnsi="Verdana" w:cs="Times New Roman"/>
          <w:i/>
          <w:iCs/>
          <w:color w:val="000000"/>
          <w:kern w:val="0"/>
          <w:lang w:val="es-CO" w:eastAsia="es-MX"/>
          <w14:ligatures w14:val="none"/>
        </w:rPr>
        <w:t xml:space="preserve">“un espacio propio y normal de dicha autonomía lo constituyen la libertad y la facultad de dichas autoridades </w:t>
      </w:r>
      <w:r w:rsidRPr="005A01D0">
        <w:rPr>
          <w:rFonts w:ascii="Verdana" w:eastAsia="Times New Roman" w:hAnsi="Verdana" w:cs="Times New Roman"/>
          <w:b/>
          <w:bCs/>
          <w:i/>
          <w:iCs/>
          <w:color w:val="000000"/>
          <w:kern w:val="0"/>
          <w:u w:val="single"/>
          <w:lang w:val="es-CO" w:eastAsia="es-MX"/>
          <w14:ligatures w14:val="none"/>
        </w:rPr>
        <w:t>para ejecutar y aplicar la ley y las normas que produzcan los órganos de aquéllas</w:t>
      </w:r>
      <w:r w:rsidRPr="005A01D0">
        <w:rPr>
          <w:rFonts w:ascii="Verdana" w:eastAsia="Times New Roman" w:hAnsi="Verdana" w:cs="Times New Roman"/>
          <w:i/>
          <w:iCs/>
          <w:color w:val="000000"/>
          <w:kern w:val="0"/>
          <w:lang w:val="es-CO" w:eastAsia="es-MX"/>
          <w14:ligatures w14:val="none"/>
        </w:rPr>
        <w:t xml:space="preserve"> dotados de competencia normativa, </w:t>
      </w:r>
      <w:r w:rsidRPr="005A01D0">
        <w:rPr>
          <w:rFonts w:ascii="Verdana" w:eastAsia="Times New Roman" w:hAnsi="Verdana" w:cs="Times New Roman"/>
          <w:b/>
          <w:bCs/>
          <w:i/>
          <w:iCs/>
          <w:color w:val="000000"/>
          <w:kern w:val="0"/>
          <w:u w:val="single"/>
          <w:lang w:val="es-CO" w:eastAsia="es-MX"/>
          <w14:ligatures w14:val="none"/>
        </w:rPr>
        <w:t>sin la injerencia o intervención de los órganos de la administración centralizada</w:t>
      </w:r>
      <w:r w:rsidRPr="005A01D0">
        <w:rPr>
          <w:rFonts w:ascii="Verdana" w:eastAsia="Times New Roman" w:hAnsi="Verdana" w:cs="Times New Roman"/>
          <w:i/>
          <w:iCs/>
          <w:color w:val="000000"/>
          <w:kern w:val="0"/>
          <w:lang w:val="es-CO" w:eastAsia="es-MX"/>
          <w14:ligatures w14:val="none"/>
        </w:rPr>
        <w:t>.”.</w:t>
      </w:r>
    </w:p>
    <w:p w14:paraId="6A170E46"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 xml:space="preserve">En esa línea, lo que se pretende hacer ver es que excede el ámbito de nuestras competencias dirimir las diferencias de interpretación que se </w:t>
      </w:r>
      <w:r w:rsidRPr="005A01D0">
        <w:rPr>
          <w:rFonts w:ascii="Verdana" w:eastAsia="Times New Roman" w:hAnsi="Verdana" w:cs="Times New Roman"/>
          <w:color w:val="000000"/>
          <w:kern w:val="0"/>
          <w:lang w:val="es-CO" w:eastAsia="es-MX"/>
          <w14:ligatures w14:val="none"/>
        </w:rPr>
        <w:lastRenderedPageBreak/>
        <w:t>suscitan al interior de las administraciones territoriales máxime cuando se trata de la aplicación de actos administrativos adoptados por sus propias corporaciones administrativas.</w:t>
      </w:r>
    </w:p>
    <w:p w14:paraId="118B7FDB"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2FB4A1AB"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 xml:space="preserve">Sin perjuicio de lo anterior, en materia de régimen sancionatorio tributario de las entidades territoriales, es imperativo dar un repaso a lo normado por el artículo 59 de la Ley 788 de 2002, que ad </w:t>
      </w:r>
      <w:proofErr w:type="spellStart"/>
      <w:r w:rsidRPr="005A01D0">
        <w:rPr>
          <w:rFonts w:ascii="Verdana" w:eastAsia="Times New Roman" w:hAnsi="Verdana" w:cs="Times New Roman"/>
          <w:color w:val="000000"/>
          <w:kern w:val="0"/>
          <w:lang w:val="es-CO" w:eastAsia="es-MX"/>
          <w14:ligatures w14:val="none"/>
        </w:rPr>
        <w:t>pedem</w:t>
      </w:r>
      <w:proofErr w:type="spellEnd"/>
      <w:r w:rsidRPr="005A01D0">
        <w:rPr>
          <w:rFonts w:ascii="Verdana" w:eastAsia="Times New Roman" w:hAnsi="Verdana" w:cs="Times New Roman"/>
          <w:color w:val="000000"/>
          <w:kern w:val="0"/>
          <w:lang w:val="es-CO" w:eastAsia="es-MX"/>
          <w14:ligatures w14:val="none"/>
        </w:rPr>
        <w:t xml:space="preserve"> </w:t>
      </w:r>
      <w:proofErr w:type="spellStart"/>
      <w:r w:rsidRPr="005A01D0">
        <w:rPr>
          <w:rFonts w:ascii="Verdana" w:eastAsia="Times New Roman" w:hAnsi="Verdana" w:cs="Times New Roman"/>
          <w:color w:val="000000"/>
          <w:kern w:val="0"/>
          <w:lang w:val="es-CO" w:eastAsia="es-MX"/>
          <w14:ligatures w14:val="none"/>
        </w:rPr>
        <w:t>literae</w:t>
      </w:r>
      <w:proofErr w:type="spellEnd"/>
      <w:r w:rsidRPr="005A01D0">
        <w:rPr>
          <w:rFonts w:ascii="Verdana" w:eastAsia="Times New Roman" w:hAnsi="Verdana" w:cs="Times New Roman"/>
          <w:color w:val="000000"/>
          <w:kern w:val="0"/>
          <w:lang w:val="es-CO" w:eastAsia="es-MX"/>
          <w14:ligatures w14:val="none"/>
        </w:rPr>
        <w:t xml:space="preserve"> establece:</w:t>
      </w:r>
    </w:p>
    <w:p w14:paraId="3FAADDEF"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1910F83D" w14:textId="77777777" w:rsidR="005A01D0" w:rsidRPr="005A01D0" w:rsidRDefault="005A01D0" w:rsidP="005A01D0">
      <w:pPr>
        <w:ind w:left="709"/>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sz w:val="22"/>
          <w:szCs w:val="22"/>
          <w:lang w:val="es-CO" w:eastAsia="es-MX"/>
          <w14:ligatures w14:val="none"/>
        </w:rPr>
        <w:t xml:space="preserve">“Artículo 59. Procedimiento tributario territorial. Los departamentos y municipios </w:t>
      </w:r>
      <w:r w:rsidRPr="005A01D0">
        <w:rPr>
          <w:rFonts w:ascii="Verdana" w:eastAsia="Times New Roman" w:hAnsi="Verdana" w:cs="Times New Roman"/>
          <w:color w:val="000000"/>
          <w:kern w:val="0"/>
          <w:sz w:val="22"/>
          <w:szCs w:val="22"/>
          <w:u w:val="single"/>
          <w:lang w:val="es-CO" w:eastAsia="es-MX"/>
          <w14:ligatures w14:val="none"/>
        </w:rPr>
        <w:t>aplicarán los procedimientos establecidos en el Estatuto Tributario Nacional</w:t>
      </w:r>
      <w:r w:rsidRPr="005A01D0">
        <w:rPr>
          <w:rFonts w:ascii="Verdana" w:eastAsia="Times New Roman" w:hAnsi="Verdana" w:cs="Times New Roman"/>
          <w:color w:val="000000"/>
          <w:kern w:val="0"/>
          <w:sz w:val="22"/>
          <w:szCs w:val="22"/>
          <w:lang w:val="es-CO" w:eastAsia="es-MX"/>
          <w14:ligatures w14:val="none"/>
        </w:rPr>
        <w:t xml:space="preserve">, para la administración, determinación, discusión, cobro, devoluciones, </w:t>
      </w:r>
      <w:r w:rsidRPr="005A01D0">
        <w:rPr>
          <w:rFonts w:ascii="Verdana" w:eastAsia="Times New Roman" w:hAnsi="Verdana" w:cs="Times New Roman"/>
          <w:b/>
          <w:bCs/>
          <w:color w:val="000000"/>
          <w:kern w:val="0"/>
          <w:sz w:val="22"/>
          <w:szCs w:val="22"/>
          <w:u w:val="single"/>
          <w:lang w:val="es-CO" w:eastAsia="es-MX"/>
          <w14:ligatures w14:val="none"/>
        </w:rPr>
        <w:t>régimen sancionatorio incluida su imposición</w:t>
      </w:r>
      <w:r w:rsidRPr="005A01D0">
        <w:rPr>
          <w:rFonts w:ascii="Verdana" w:eastAsia="Times New Roman" w:hAnsi="Verdana" w:cs="Times New Roman"/>
          <w:color w:val="000000"/>
          <w:kern w:val="0"/>
          <w:sz w:val="22"/>
          <w:szCs w:val="22"/>
          <w:lang w:val="es-CO" w:eastAsia="es-MX"/>
          <w14:ligatures w14:val="none"/>
        </w:rPr>
        <w:t xml:space="preserve">, a los impuestos por ellos administrados. Así mismo aplicarán el procedimiento administrativo de cobro a las multas, derechos y demás recursos territoriales. </w:t>
      </w:r>
      <w:r w:rsidRPr="005A01D0">
        <w:rPr>
          <w:rFonts w:ascii="Verdana" w:eastAsia="Times New Roman" w:hAnsi="Verdana" w:cs="Times New Roman"/>
          <w:b/>
          <w:bCs/>
          <w:color w:val="000000"/>
          <w:kern w:val="0"/>
          <w:sz w:val="22"/>
          <w:szCs w:val="22"/>
          <w:u w:val="single"/>
          <w:lang w:val="es-CO" w:eastAsia="es-MX"/>
          <w14:ligatures w14:val="none"/>
        </w:rPr>
        <w:t>El monto de las sanciones</w:t>
      </w:r>
      <w:r w:rsidRPr="005A01D0">
        <w:rPr>
          <w:rFonts w:ascii="Verdana" w:eastAsia="Times New Roman" w:hAnsi="Verdana" w:cs="Times New Roman"/>
          <w:color w:val="000000"/>
          <w:kern w:val="0"/>
          <w:sz w:val="22"/>
          <w:szCs w:val="22"/>
          <w:lang w:val="es-CO" w:eastAsia="es-MX"/>
          <w14:ligatures w14:val="none"/>
        </w:rPr>
        <w:t xml:space="preserve"> y el término de la aplicación de los procedimientos anteriores, </w:t>
      </w:r>
      <w:r w:rsidRPr="005A01D0">
        <w:rPr>
          <w:rFonts w:ascii="Verdana" w:eastAsia="Times New Roman" w:hAnsi="Verdana" w:cs="Times New Roman"/>
          <w:b/>
          <w:bCs/>
          <w:color w:val="000000"/>
          <w:kern w:val="0"/>
          <w:sz w:val="22"/>
          <w:szCs w:val="22"/>
          <w:u w:val="single"/>
          <w:lang w:val="es-CO" w:eastAsia="es-MX"/>
          <w14:ligatures w14:val="none"/>
        </w:rPr>
        <w:t>podrán disminuirse</w:t>
      </w:r>
      <w:r w:rsidRPr="005A01D0">
        <w:rPr>
          <w:rFonts w:ascii="Verdana" w:eastAsia="Times New Roman" w:hAnsi="Verdana" w:cs="Times New Roman"/>
          <w:color w:val="000000"/>
          <w:kern w:val="0"/>
          <w:sz w:val="22"/>
          <w:szCs w:val="22"/>
          <w:lang w:val="es-CO" w:eastAsia="es-MX"/>
          <w14:ligatures w14:val="none"/>
        </w:rPr>
        <w:t xml:space="preserve"> y simplificarse acorde con la naturaleza de sus tributos, y teniendo en cuenta la proporcionalidad de estas respecto del monto de los impuestos”. (Énfasis añadido)</w:t>
      </w:r>
    </w:p>
    <w:p w14:paraId="3B0FEA8B"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6CA59AAE"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 xml:space="preserve">Conforme con la norma </w:t>
      </w:r>
      <w:r w:rsidRPr="005A01D0">
        <w:rPr>
          <w:rFonts w:ascii="Verdana" w:eastAsia="Times New Roman" w:hAnsi="Verdana" w:cs="Times New Roman"/>
          <w:i/>
          <w:iCs/>
          <w:color w:val="000000"/>
          <w:kern w:val="0"/>
          <w:lang w:val="es-CO" w:eastAsia="es-MX"/>
          <w14:ligatures w14:val="none"/>
        </w:rPr>
        <w:t>sub examine</w:t>
      </w:r>
      <w:r w:rsidRPr="005A01D0">
        <w:rPr>
          <w:rFonts w:ascii="Verdana" w:eastAsia="Times New Roman" w:hAnsi="Verdana" w:cs="Times New Roman"/>
          <w:color w:val="000000"/>
          <w:kern w:val="0"/>
          <w:lang w:val="es-CO" w:eastAsia="es-MX"/>
          <w14:ligatures w14:val="none"/>
        </w:rPr>
        <w:t xml:space="preserve">, para efectos de administración, determinación (fiscalización y liquidación), discusión, cobro, devoluciones, </w:t>
      </w:r>
      <w:r w:rsidRPr="005A01D0">
        <w:rPr>
          <w:rFonts w:ascii="Verdana" w:eastAsia="Times New Roman" w:hAnsi="Verdana" w:cs="Times New Roman"/>
          <w:b/>
          <w:bCs/>
          <w:color w:val="000000"/>
          <w:kern w:val="0"/>
          <w:u w:val="single"/>
          <w:lang w:val="es-CO" w:eastAsia="es-MX"/>
          <w14:ligatures w14:val="none"/>
        </w:rPr>
        <w:t>régimen sancionatorio y su imposición</w:t>
      </w:r>
      <w:r w:rsidRPr="005A01D0">
        <w:rPr>
          <w:rFonts w:ascii="Verdana" w:eastAsia="Times New Roman" w:hAnsi="Verdana" w:cs="Times New Roman"/>
          <w:color w:val="000000"/>
          <w:kern w:val="0"/>
          <w:lang w:val="es-CO" w:eastAsia="es-MX"/>
          <w14:ligatures w14:val="none"/>
        </w:rPr>
        <w:t xml:space="preserve">, las entidades territoriales </w:t>
      </w:r>
      <w:r w:rsidRPr="005A01D0">
        <w:rPr>
          <w:rFonts w:ascii="Verdana" w:eastAsia="Times New Roman" w:hAnsi="Verdana" w:cs="Times New Roman"/>
          <w:b/>
          <w:bCs/>
          <w:color w:val="000000"/>
          <w:kern w:val="0"/>
          <w:u w:val="single"/>
          <w:lang w:val="es-CO" w:eastAsia="es-MX"/>
          <w14:ligatures w14:val="none"/>
        </w:rPr>
        <w:t>deben</w:t>
      </w:r>
      <w:r w:rsidRPr="005A01D0">
        <w:rPr>
          <w:rFonts w:ascii="Verdana" w:eastAsia="Times New Roman" w:hAnsi="Verdana" w:cs="Times New Roman"/>
          <w:color w:val="000000"/>
          <w:kern w:val="0"/>
          <w:lang w:val="es-CO" w:eastAsia="es-MX"/>
          <w14:ligatures w14:val="none"/>
        </w:rPr>
        <w:t xml:space="preserve"> aplicar los procedimientos del Estatuto Tributario Nacional y solamente le es dado, disminuir el monto de las sanciones y simplificar los procedimientos de acuerdo con la naturaleza de sus tributos. De esta forma, el Estatuto Tributario Nacional, constituye el marco de ley en materia sancionatoria y procedimental para la administración de impuestos territoriales.</w:t>
      </w:r>
    </w:p>
    <w:p w14:paraId="282BEA4A"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37C7F412"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Así, en materia de sanciones se precisa que las entidades territoriales deben aplicar el régimen sancionatorio y las sanciones establecidas en el Estatuto Tributario Nacional, por lo que no le es dado diseñar sanciones diferentes a las allí establecidas. Cuando se trate de sanciones que no hacen referencia en el Estatuto Tributario Nacional a ningún impuesto en particular, la entidad territorial podrá aplicarla sin necesidad de acto administrativo territorial, como es el caso de la sanción de extemporaneidad, la sanción por mora, la sanción por corrección y, para este caso concreto, la sanción mínima de que trata el artículo 639 del Estatuto Tributario Nacional, caso en el cual mediante ordenanza, la asamblea departamental puede establecer los montos o parámetros de cálculo acorde con las cuantías, la naturaleza de los impuestos departamentales y el hecho sancionable.</w:t>
      </w:r>
    </w:p>
    <w:p w14:paraId="0CEB328E"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En ese contexto normativo, el artículo 639 del Estatuto Tributario Nacional establece:</w:t>
      </w:r>
    </w:p>
    <w:p w14:paraId="35FF2729"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188E24DE" w14:textId="77777777" w:rsidR="005A01D0" w:rsidRPr="005A01D0" w:rsidRDefault="005A01D0" w:rsidP="005A01D0">
      <w:pPr>
        <w:ind w:left="709"/>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sz w:val="22"/>
          <w:szCs w:val="22"/>
          <w:lang w:val="es-CO" w:eastAsia="es-MX"/>
          <w14:ligatures w14:val="none"/>
        </w:rPr>
        <w:t xml:space="preserve">“Artículo 639. Sanción mínima. El valor mínimo de cualquier sanción, </w:t>
      </w:r>
      <w:r w:rsidRPr="005A01D0">
        <w:rPr>
          <w:rFonts w:ascii="Verdana" w:eastAsia="Times New Roman" w:hAnsi="Verdana" w:cs="Times New Roman"/>
          <w:b/>
          <w:bCs/>
          <w:color w:val="000000"/>
          <w:kern w:val="0"/>
          <w:sz w:val="22"/>
          <w:szCs w:val="22"/>
          <w:u w:val="single"/>
          <w:lang w:val="es-CO" w:eastAsia="es-MX"/>
          <w14:ligatures w14:val="none"/>
        </w:rPr>
        <w:t>incluidas las sanciones reducidas</w:t>
      </w:r>
      <w:r w:rsidRPr="005A01D0">
        <w:rPr>
          <w:rFonts w:ascii="Verdana" w:eastAsia="Times New Roman" w:hAnsi="Verdana" w:cs="Times New Roman"/>
          <w:color w:val="000000"/>
          <w:kern w:val="0"/>
          <w:sz w:val="22"/>
          <w:szCs w:val="22"/>
          <w:lang w:val="es-CO" w:eastAsia="es-MX"/>
          <w14:ligatures w14:val="none"/>
        </w:rPr>
        <w:t>, ya sea que deba liquidarla la persona o entidad sometida a ella, o la Administración de Impuestos, será equivalente a la suma de 10 UVT.” (Énfasis añadido)</w:t>
      </w:r>
    </w:p>
    <w:p w14:paraId="20290B61"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61A63A97"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Nótese como la norma trascrita al referirse a la aplicación de la sanción mínima, es enfática al señalar que se extiende incluso a las “</w:t>
      </w:r>
      <w:r w:rsidRPr="005A01D0">
        <w:rPr>
          <w:rFonts w:ascii="Verdana" w:eastAsia="Times New Roman" w:hAnsi="Verdana" w:cs="Times New Roman"/>
          <w:b/>
          <w:bCs/>
          <w:i/>
          <w:iCs/>
          <w:color w:val="000000"/>
          <w:kern w:val="0"/>
          <w:u w:val="single"/>
          <w:lang w:val="es-CO" w:eastAsia="es-MX"/>
          <w14:ligatures w14:val="none"/>
        </w:rPr>
        <w:t>sanciones reducidas</w:t>
      </w:r>
      <w:r w:rsidRPr="005A01D0">
        <w:rPr>
          <w:rFonts w:ascii="Verdana" w:eastAsia="Times New Roman" w:hAnsi="Verdana" w:cs="Times New Roman"/>
          <w:color w:val="000000"/>
          <w:kern w:val="0"/>
          <w:lang w:val="es-CO" w:eastAsia="es-MX"/>
          <w14:ligatures w14:val="none"/>
        </w:rPr>
        <w:t>”, lo que claramente indica, a nuestro juicio, que indistintamente de la situación que genere la reducción de la sanción, ésta, en ningún caso, podrá ser inferior a la sanción mínima establecida en la norma.</w:t>
      </w:r>
    </w:p>
    <w:p w14:paraId="41228F18"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65D85632"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 xml:space="preserve">En ese orden de cosas, en el caso de las entidades territoriales, si la sanción mínima fue disminuida en uso de la facultad establecida en el artículo 59 de la Ley 788 de 2002 </w:t>
      </w:r>
      <w:r w:rsidRPr="005A01D0">
        <w:rPr>
          <w:rFonts w:ascii="Verdana" w:eastAsia="Times New Roman" w:hAnsi="Verdana" w:cs="Times New Roman"/>
          <w:i/>
          <w:iCs/>
          <w:color w:val="000000"/>
          <w:kern w:val="0"/>
          <w:lang w:val="es-CO" w:eastAsia="es-MX"/>
          <w14:ligatures w14:val="none"/>
        </w:rPr>
        <w:t>supra</w:t>
      </w:r>
      <w:r w:rsidRPr="005A01D0">
        <w:rPr>
          <w:rFonts w:ascii="Verdana" w:eastAsia="Times New Roman" w:hAnsi="Verdana" w:cs="Times New Roman"/>
          <w:color w:val="000000"/>
          <w:kern w:val="0"/>
          <w:lang w:val="es-CO" w:eastAsia="es-MX"/>
          <w14:ligatures w14:val="none"/>
        </w:rPr>
        <w:t xml:space="preserve">, será esa sanción la que se constituya en el referente para la aplicación de las sanciones, incluso aquellas que sean objeto de reducción. A </w:t>
      </w:r>
      <w:r w:rsidRPr="005A01D0">
        <w:rPr>
          <w:rFonts w:ascii="Verdana" w:eastAsia="Times New Roman" w:hAnsi="Verdana" w:cs="Times New Roman"/>
          <w:i/>
          <w:iCs/>
          <w:color w:val="000000"/>
          <w:kern w:val="0"/>
          <w:lang w:val="es-CO" w:eastAsia="es-MX"/>
          <w14:ligatures w14:val="none"/>
        </w:rPr>
        <w:t>contrario sensu</w:t>
      </w:r>
      <w:r w:rsidRPr="005A01D0">
        <w:rPr>
          <w:rFonts w:ascii="Verdana" w:eastAsia="Times New Roman" w:hAnsi="Verdana" w:cs="Times New Roman"/>
          <w:color w:val="000000"/>
          <w:kern w:val="0"/>
          <w:lang w:val="es-CO" w:eastAsia="es-MX"/>
          <w14:ligatures w14:val="none"/>
        </w:rPr>
        <w:t>, si no se hizo uso de esa facultad el referente será la sanción mínima del trascrito artículo 639 del Estatuto Tributario Nacional.</w:t>
      </w:r>
    </w:p>
    <w:p w14:paraId="376FAB22"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52051190"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Sin embargo, consideramos que nada obsta para que en aquella ordenanza en la que se establezcan beneficios, haciendo igualmente uso de la facultad del artículo 59 de la Ley 788 de 2002 de disminuir las sanciones, la entidad territorial establezca una sanción mínima aplicable de manera transitoria durante la vigencia del beneficio de manera consecuente con la aplicación de este y que permita alcanzar su finalidad.</w:t>
      </w:r>
    </w:p>
    <w:p w14:paraId="277FB5D4"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696F4ACC"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En este punto consideramos imperativo señalar que este pronunciamiento se hace sin perjuicio de la posición adoptada por el Consejo de Estado en materia del establecimiento de beneficios del Impuesto sobre Vehículos Automotores por parte de las administraciones departamentales.</w:t>
      </w:r>
    </w:p>
    <w:p w14:paraId="6D956A92"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1826438D"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Por último, le comunicamos que nuestros pronunciamientos se emiten en los términos y con los estrictos alcances de los artículos 14-2 y 28 del Código de Procedimiento Administrativo y de lo Contencioso Administrativo, por lo que no tienen efectos obligatorios ni vinculantes, y no comprometen la responsabilidad de este Ministerio.</w:t>
      </w:r>
    </w:p>
    <w:p w14:paraId="0EFA29E7"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2E2646CE"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Cordialmente</w:t>
      </w:r>
    </w:p>
    <w:p w14:paraId="0D77160B" w14:textId="77777777" w:rsidR="005A01D0" w:rsidRPr="005A01D0" w:rsidRDefault="005A01D0" w:rsidP="005A01D0">
      <w:pPr>
        <w:spacing w:after="240"/>
        <w:rPr>
          <w:rFonts w:ascii="Times New Roman" w:eastAsia="Times New Roman" w:hAnsi="Times New Roman" w:cs="Times New Roman"/>
          <w:kern w:val="0"/>
          <w:lang w:val="es-CO" w:eastAsia="es-MX"/>
          <w14:ligatures w14:val="none"/>
        </w:rPr>
      </w:pPr>
      <w:r w:rsidRPr="005A01D0">
        <w:rPr>
          <w:rFonts w:ascii="Times New Roman" w:eastAsia="Times New Roman" w:hAnsi="Times New Roman" w:cs="Times New Roman"/>
          <w:kern w:val="0"/>
          <w:lang w:val="es-CO" w:eastAsia="es-MX"/>
          <w14:ligatures w14:val="none"/>
        </w:rPr>
        <w:br/>
      </w:r>
    </w:p>
    <w:p w14:paraId="2C95693B"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b/>
          <w:bCs/>
          <w:color w:val="000000"/>
          <w:kern w:val="0"/>
          <w:lang w:val="es-CO" w:eastAsia="es-MX"/>
          <w14:ligatures w14:val="none"/>
        </w:rPr>
        <w:t>Claudia Helena Otálora Cristancho</w:t>
      </w:r>
    </w:p>
    <w:p w14:paraId="7AF2CFFA"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t>Subdirectora de Fortalecimiento Institucional Territorial</w:t>
      </w:r>
    </w:p>
    <w:p w14:paraId="502197F7" w14:textId="77777777" w:rsidR="005A01D0" w:rsidRPr="005A01D0" w:rsidRDefault="005A01D0" w:rsidP="005A01D0">
      <w:pPr>
        <w:jc w:val="both"/>
        <w:rPr>
          <w:rFonts w:ascii="Times New Roman" w:eastAsia="Times New Roman" w:hAnsi="Times New Roman" w:cs="Times New Roman"/>
          <w:kern w:val="0"/>
          <w:lang w:val="es-CO" w:eastAsia="es-MX"/>
          <w14:ligatures w14:val="none"/>
        </w:rPr>
      </w:pPr>
      <w:r w:rsidRPr="005A01D0">
        <w:rPr>
          <w:rFonts w:ascii="Verdana" w:eastAsia="Times New Roman" w:hAnsi="Verdana" w:cs="Times New Roman"/>
          <w:color w:val="000000"/>
          <w:kern w:val="0"/>
          <w:lang w:val="es-CO" w:eastAsia="es-MX"/>
          <w14:ligatures w14:val="none"/>
        </w:rPr>
        <w:lastRenderedPageBreak/>
        <w:t>Dirección General de Apoyo Fiscal</w:t>
      </w:r>
    </w:p>
    <w:p w14:paraId="33CFB905" w14:textId="77777777" w:rsidR="005A01D0" w:rsidRPr="005A01D0" w:rsidRDefault="005A01D0" w:rsidP="005A01D0">
      <w:pPr>
        <w:rPr>
          <w:rFonts w:ascii="Times New Roman" w:eastAsia="Times New Roman" w:hAnsi="Times New Roman" w:cs="Times New Roman"/>
          <w:kern w:val="0"/>
          <w:lang w:val="es-CO" w:eastAsia="es-MX"/>
          <w14:ligatures w14:val="none"/>
        </w:rPr>
      </w:pPr>
    </w:p>
    <w:p w14:paraId="6640BBC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1D0"/>
    <w:rsid w:val="000B2285"/>
    <w:rsid w:val="00537D8F"/>
    <w:rsid w:val="005A01D0"/>
    <w:rsid w:val="00734DF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F480A44"/>
  <w14:defaultImageDpi w14:val="32767"/>
  <w15:chartTrackingRefBased/>
  <w15:docId w15:val="{49358B9A-A41B-6C49-AE3B-3AFB5DFE4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A01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A01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A01D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A01D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A01D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A01D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A01D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A01D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A01D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01D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A01D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A01D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A01D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A01D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A01D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A01D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A01D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A01D0"/>
    <w:rPr>
      <w:rFonts w:eastAsiaTheme="majorEastAsia" w:cstheme="majorBidi"/>
      <w:color w:val="272727" w:themeColor="text1" w:themeTint="D8"/>
    </w:rPr>
  </w:style>
  <w:style w:type="paragraph" w:styleId="Ttulo">
    <w:name w:val="Title"/>
    <w:basedOn w:val="Normal"/>
    <w:next w:val="Normal"/>
    <w:link w:val="TtuloCar"/>
    <w:uiPriority w:val="10"/>
    <w:qFormat/>
    <w:rsid w:val="005A01D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A01D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A01D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A01D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A01D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A01D0"/>
    <w:rPr>
      <w:i/>
      <w:iCs/>
      <w:color w:val="404040" w:themeColor="text1" w:themeTint="BF"/>
    </w:rPr>
  </w:style>
  <w:style w:type="paragraph" w:styleId="Prrafodelista">
    <w:name w:val="List Paragraph"/>
    <w:basedOn w:val="Normal"/>
    <w:uiPriority w:val="34"/>
    <w:qFormat/>
    <w:rsid w:val="005A01D0"/>
    <w:pPr>
      <w:ind w:left="720"/>
      <w:contextualSpacing/>
    </w:pPr>
  </w:style>
  <w:style w:type="character" w:styleId="nfasisintenso">
    <w:name w:val="Intense Emphasis"/>
    <w:basedOn w:val="Fuentedeprrafopredeter"/>
    <w:uiPriority w:val="21"/>
    <w:qFormat/>
    <w:rsid w:val="005A01D0"/>
    <w:rPr>
      <w:i/>
      <w:iCs/>
      <w:color w:val="2F5496" w:themeColor="accent1" w:themeShade="BF"/>
    </w:rPr>
  </w:style>
  <w:style w:type="paragraph" w:styleId="Citadestacada">
    <w:name w:val="Intense Quote"/>
    <w:basedOn w:val="Normal"/>
    <w:next w:val="Normal"/>
    <w:link w:val="CitadestacadaCar"/>
    <w:uiPriority w:val="30"/>
    <w:qFormat/>
    <w:rsid w:val="005A01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A01D0"/>
    <w:rPr>
      <w:i/>
      <w:iCs/>
      <w:color w:val="2F5496" w:themeColor="accent1" w:themeShade="BF"/>
    </w:rPr>
  </w:style>
  <w:style w:type="character" w:styleId="Referenciaintensa">
    <w:name w:val="Intense Reference"/>
    <w:basedOn w:val="Fuentedeprrafopredeter"/>
    <w:uiPriority w:val="32"/>
    <w:qFormat/>
    <w:rsid w:val="005A01D0"/>
    <w:rPr>
      <w:b/>
      <w:bCs/>
      <w:smallCaps/>
      <w:color w:val="2F5496" w:themeColor="accent1" w:themeShade="BF"/>
      <w:spacing w:val="5"/>
    </w:rPr>
  </w:style>
  <w:style w:type="paragraph" w:styleId="NormalWeb">
    <w:name w:val="Normal (Web)"/>
    <w:basedOn w:val="Normal"/>
    <w:uiPriority w:val="99"/>
    <w:semiHidden/>
    <w:unhideWhenUsed/>
    <w:rsid w:val="005A01D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5A01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1070</Words>
  <Characters>5890</Characters>
  <Application>Microsoft Office Word</Application>
  <DocSecurity>0</DocSecurity>
  <Lines>49</Lines>
  <Paragraphs>13</Paragraphs>
  <ScaleCrop>false</ScaleCrop>
  <Company/>
  <LinksUpToDate>false</LinksUpToDate>
  <CharactersWithSpaces>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2026-04-22T14:05:00Z</dcterms:created>
  <dcterms:modified xsi:type="dcterms:W3CDTF">2026-04-22T14:06:00Z</dcterms:modified>
</cp:coreProperties>
</file>