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32080" w14:textId="77777777" w:rsidR="00B658E9" w:rsidRPr="00B658E9" w:rsidRDefault="00B658E9" w:rsidP="00B658E9">
      <w:pPr>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b/>
          <w:bCs/>
          <w:color w:val="000000"/>
          <w:kern w:val="0"/>
          <w:lang w:val="es-CO" w:eastAsia="es-MX"/>
          <w14:ligatures w14:val="none"/>
        </w:rPr>
        <w:t>CONCEPTO DIAN 138 DEL 4 DE FEBRERO DE 2025 (sic)</w:t>
      </w:r>
    </w:p>
    <w:p w14:paraId="7D82CBB4" w14:textId="77777777" w:rsidR="00B658E9" w:rsidRPr="00B658E9" w:rsidRDefault="00B658E9" w:rsidP="00B658E9">
      <w:pPr>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b/>
          <w:bCs/>
          <w:color w:val="000000"/>
          <w:kern w:val="0"/>
          <w:lang w:val="es-CO" w:eastAsia="es-MX"/>
          <w14:ligatures w14:val="none"/>
        </w:rPr>
        <w:t>DIRECCIÓN DE IMPUESTOS Y ADUANAS NACIONALES</w:t>
      </w:r>
    </w:p>
    <w:p w14:paraId="1DCDA650" w14:textId="77777777" w:rsidR="00B658E9" w:rsidRPr="00B658E9" w:rsidRDefault="00B658E9" w:rsidP="00B658E9">
      <w:pPr>
        <w:rPr>
          <w:rFonts w:ascii="Times New Roman" w:eastAsia="Times New Roman" w:hAnsi="Times New Roman" w:cs="Times New Roman"/>
          <w:kern w:val="0"/>
          <w:lang w:val="es-CO" w:eastAsia="es-MX"/>
          <w14:ligatures w14:val="none"/>
        </w:rPr>
      </w:pPr>
    </w:p>
    <w:p w14:paraId="75721085" w14:textId="77777777" w:rsidR="00B658E9" w:rsidRPr="00B658E9" w:rsidRDefault="00B658E9" w:rsidP="00B658E9">
      <w:pPr>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color w:val="000000"/>
          <w:kern w:val="0"/>
          <w:lang w:val="es-CO" w:eastAsia="es-MX"/>
          <w14:ligatures w14:val="none"/>
        </w:rPr>
        <w:t>Bogotá D.C.,</w:t>
      </w:r>
    </w:p>
    <w:p w14:paraId="33F0A6C4" w14:textId="77777777" w:rsidR="00B658E9" w:rsidRPr="00B658E9" w:rsidRDefault="00B658E9" w:rsidP="00B658E9">
      <w:pPr>
        <w:rPr>
          <w:rFonts w:ascii="Times New Roman" w:eastAsia="Times New Roman" w:hAnsi="Times New Roman" w:cs="Times New Roman"/>
          <w:kern w:val="0"/>
          <w:lang w:val="es-CO" w:eastAsia="es-MX"/>
          <w14:ligatures w14:val="none"/>
        </w:rPr>
      </w:pPr>
    </w:p>
    <w:p w14:paraId="323A8EFC" w14:textId="024F960A" w:rsidR="00B658E9" w:rsidRPr="00B658E9" w:rsidRDefault="00B658E9" w:rsidP="00B658E9">
      <w:pPr>
        <w:ind w:hanging="2835"/>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b/>
          <w:bCs/>
          <w:color w:val="000000"/>
          <w:kern w:val="0"/>
          <w:lang w:val="es-CO" w:eastAsia="es-MX"/>
          <w14:ligatures w14:val="none"/>
        </w:rPr>
        <w:t>Tema:</w:t>
      </w:r>
      <w:r w:rsidRPr="00B658E9">
        <w:rPr>
          <w:rFonts w:ascii="Verdana" w:eastAsia="Times New Roman" w:hAnsi="Verdana" w:cs="Times New Roman"/>
          <w:b/>
          <w:bCs/>
          <w:color w:val="000000"/>
          <w:kern w:val="0"/>
          <w:lang w:val="es-CO" w:eastAsia="es-MX"/>
          <w14:ligatures w14:val="none"/>
        </w:rPr>
        <w:tab/>
      </w:r>
      <w:r w:rsidRPr="00B658E9">
        <w:rPr>
          <w:rFonts w:ascii="Verdana" w:eastAsia="Times New Roman" w:hAnsi="Verdana" w:cs="Times New Roman"/>
          <w:color w:val="000000"/>
          <w:kern w:val="0"/>
          <w:lang w:val="es-CO" w:eastAsia="es-MX"/>
          <w14:ligatures w14:val="none"/>
        </w:rPr>
        <w:t>Servicios excluidos del impuesto a las ventas -IVA.</w:t>
      </w:r>
    </w:p>
    <w:p w14:paraId="0B8C34F7" w14:textId="423BB228" w:rsidR="00B658E9" w:rsidRPr="00B658E9" w:rsidRDefault="00B658E9" w:rsidP="00B658E9">
      <w:pPr>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b/>
          <w:bCs/>
          <w:color w:val="000000"/>
          <w:kern w:val="0"/>
          <w:lang w:val="es-CO" w:eastAsia="es-MX"/>
          <w14:ligatures w14:val="none"/>
        </w:rPr>
        <w:t>Descriptores:</w:t>
      </w:r>
      <w:r w:rsidRPr="00B658E9">
        <w:rPr>
          <w:rFonts w:ascii="Verdana" w:eastAsia="Times New Roman" w:hAnsi="Verdana" w:cs="Times New Roman"/>
          <w:b/>
          <w:bCs/>
          <w:color w:val="000000"/>
          <w:kern w:val="0"/>
          <w:lang w:val="es-CO" w:eastAsia="es-MX"/>
          <w14:ligatures w14:val="none"/>
        </w:rPr>
        <w:tab/>
      </w:r>
      <w:r>
        <w:rPr>
          <w:rFonts w:ascii="Verdana" w:eastAsia="Times New Roman" w:hAnsi="Verdana" w:cs="Times New Roman"/>
          <w:b/>
          <w:bCs/>
          <w:color w:val="000000"/>
          <w:kern w:val="0"/>
          <w:lang w:val="es-CO" w:eastAsia="es-MX"/>
          <w14:ligatures w14:val="none"/>
        </w:rPr>
        <w:tab/>
      </w:r>
      <w:r w:rsidRPr="00B658E9">
        <w:rPr>
          <w:rFonts w:ascii="Verdana" w:eastAsia="Times New Roman" w:hAnsi="Verdana" w:cs="Times New Roman"/>
          <w:color w:val="000000"/>
          <w:kern w:val="0"/>
          <w:lang w:val="es-CO" w:eastAsia="es-MX"/>
          <w14:ligatures w14:val="none"/>
        </w:rPr>
        <w:t>Contrato de transporte de carga marítimo</w:t>
      </w:r>
    </w:p>
    <w:p w14:paraId="1CD88BEC" w14:textId="77777777" w:rsidR="00B658E9" w:rsidRPr="00B658E9" w:rsidRDefault="00B658E9" w:rsidP="00B658E9">
      <w:pPr>
        <w:ind w:left="2126" w:firstLine="709"/>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color w:val="000000"/>
          <w:kern w:val="0"/>
          <w:lang w:val="es-CO" w:eastAsia="es-MX"/>
          <w14:ligatures w14:val="none"/>
        </w:rPr>
        <w:t>Estadía y sobreestadía</w:t>
      </w:r>
    </w:p>
    <w:p w14:paraId="3A7CAC4F" w14:textId="77777777" w:rsidR="00B658E9" w:rsidRPr="00B658E9" w:rsidRDefault="00B658E9" w:rsidP="00B658E9">
      <w:pPr>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b/>
          <w:bCs/>
          <w:color w:val="000000"/>
          <w:kern w:val="0"/>
          <w:lang w:val="es-CO" w:eastAsia="es-MX"/>
          <w14:ligatures w14:val="none"/>
        </w:rPr>
        <w:t>Fuentes formales:</w:t>
      </w:r>
      <w:r w:rsidRPr="00B658E9">
        <w:rPr>
          <w:rFonts w:ascii="Verdana" w:eastAsia="Times New Roman" w:hAnsi="Verdana" w:cs="Times New Roman"/>
          <w:b/>
          <w:bCs/>
          <w:color w:val="000000"/>
          <w:kern w:val="0"/>
          <w:lang w:val="es-CO" w:eastAsia="es-MX"/>
          <w14:ligatures w14:val="none"/>
        </w:rPr>
        <w:tab/>
      </w:r>
      <w:r w:rsidRPr="00B658E9">
        <w:rPr>
          <w:rFonts w:ascii="Verdana" w:eastAsia="Times New Roman" w:hAnsi="Verdana" w:cs="Times New Roman"/>
          <w:color w:val="000000"/>
          <w:kern w:val="0"/>
          <w:lang w:val="es-CO" w:eastAsia="es-MX"/>
          <w14:ligatures w14:val="none"/>
        </w:rPr>
        <w:t>476 del Estatuto Tributario</w:t>
      </w:r>
    </w:p>
    <w:p w14:paraId="5BEB28CA" w14:textId="77777777" w:rsidR="00B658E9" w:rsidRPr="00B658E9" w:rsidRDefault="00B658E9" w:rsidP="00B658E9">
      <w:pPr>
        <w:ind w:left="2836"/>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color w:val="000000"/>
          <w:kern w:val="0"/>
          <w:lang w:val="es-CO" w:eastAsia="es-MX"/>
          <w14:ligatures w14:val="none"/>
        </w:rPr>
        <w:t>Artículo 981, 1606, 1655, 1658, 1658, 1665 del Código de Comercio.</w:t>
      </w:r>
    </w:p>
    <w:p w14:paraId="6788C245" w14:textId="77777777" w:rsidR="00B658E9" w:rsidRPr="00B658E9" w:rsidRDefault="00B658E9" w:rsidP="00B658E9">
      <w:pPr>
        <w:rPr>
          <w:rFonts w:ascii="Times New Roman" w:eastAsia="Times New Roman" w:hAnsi="Times New Roman" w:cs="Times New Roman"/>
          <w:kern w:val="0"/>
          <w:lang w:val="es-CO" w:eastAsia="es-MX"/>
          <w14:ligatures w14:val="none"/>
        </w:rPr>
      </w:pPr>
      <w:r w:rsidRPr="00B658E9">
        <w:rPr>
          <w:rFonts w:ascii="Times New Roman" w:eastAsia="Times New Roman" w:hAnsi="Times New Roman" w:cs="Times New Roman"/>
          <w:kern w:val="0"/>
          <w:lang w:val="es-CO" w:eastAsia="es-MX"/>
          <w14:ligatures w14:val="none"/>
        </w:rPr>
        <w:br/>
      </w:r>
    </w:p>
    <w:p w14:paraId="0491B8B2" w14:textId="77777777" w:rsidR="00B658E9" w:rsidRPr="00B658E9" w:rsidRDefault="00B658E9" w:rsidP="00B658E9">
      <w:pPr>
        <w:numPr>
          <w:ilvl w:val="0"/>
          <w:numId w:val="1"/>
        </w:numPr>
        <w:jc w:val="both"/>
        <w:textAlignment w:val="baseline"/>
        <w:rPr>
          <w:rFonts w:ascii="Verdana" w:eastAsia="Times New Roman" w:hAnsi="Verdana" w:cs="Times New Roman"/>
          <w:color w:val="000000"/>
          <w:kern w:val="0"/>
          <w:lang w:val="es-CO" w:eastAsia="es-MX"/>
          <w14:ligatures w14:val="none"/>
        </w:rPr>
      </w:pPr>
      <w:r w:rsidRPr="00B658E9">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es de carácter general, no se refiere a asuntos particulares y se somete a lo consagrado en el artículo 131 de la Ley 2010 de 2019.</w:t>
      </w:r>
    </w:p>
    <w:p w14:paraId="65674028" w14:textId="77777777" w:rsidR="00B658E9" w:rsidRPr="00B658E9" w:rsidRDefault="00B658E9" w:rsidP="00B658E9">
      <w:pPr>
        <w:rPr>
          <w:rFonts w:ascii="Times New Roman" w:eastAsia="Times New Roman" w:hAnsi="Times New Roman" w:cs="Times New Roman"/>
          <w:kern w:val="0"/>
          <w:lang w:val="es-CO" w:eastAsia="es-MX"/>
          <w14:ligatures w14:val="none"/>
        </w:rPr>
      </w:pPr>
      <w:r w:rsidRPr="00B658E9">
        <w:rPr>
          <w:rFonts w:ascii="Times New Roman" w:eastAsia="Times New Roman" w:hAnsi="Times New Roman" w:cs="Times New Roman"/>
          <w:kern w:val="0"/>
          <w:lang w:val="es-CO" w:eastAsia="es-MX"/>
          <w14:ligatures w14:val="none"/>
        </w:rPr>
        <w:br/>
      </w:r>
    </w:p>
    <w:p w14:paraId="451520EA" w14:textId="77777777" w:rsidR="00B658E9" w:rsidRPr="00B658E9" w:rsidRDefault="00B658E9" w:rsidP="00B658E9">
      <w:pPr>
        <w:numPr>
          <w:ilvl w:val="0"/>
          <w:numId w:val="2"/>
        </w:numPr>
        <w:jc w:val="both"/>
        <w:textAlignment w:val="baseline"/>
        <w:rPr>
          <w:rFonts w:ascii="Verdana" w:eastAsia="Times New Roman" w:hAnsi="Verdana" w:cs="Times New Roman"/>
          <w:color w:val="000000"/>
          <w:kern w:val="0"/>
          <w:lang w:val="es-CO" w:eastAsia="es-MX"/>
          <w14:ligatures w14:val="none"/>
        </w:rPr>
      </w:pPr>
      <w:r w:rsidRPr="00B658E9">
        <w:rPr>
          <w:rFonts w:ascii="Verdana" w:eastAsia="Times New Roman" w:hAnsi="Verdana" w:cs="Times New Roman"/>
          <w:color w:val="000000"/>
          <w:kern w:val="0"/>
          <w:lang w:val="es-CO" w:eastAsia="es-MX"/>
          <w14:ligatures w14:val="none"/>
        </w:rPr>
        <w:t>A continuación, se enuncian los problemas jurídicos identificados, los cuales se resolverán cada uno a su turno:</w:t>
      </w:r>
    </w:p>
    <w:p w14:paraId="569C7770" w14:textId="77777777" w:rsidR="00B658E9" w:rsidRPr="00B658E9" w:rsidRDefault="00B658E9" w:rsidP="00B658E9">
      <w:pPr>
        <w:rPr>
          <w:rFonts w:ascii="Times New Roman" w:eastAsia="Times New Roman" w:hAnsi="Times New Roman" w:cs="Times New Roman"/>
          <w:kern w:val="0"/>
          <w:lang w:val="es-CO" w:eastAsia="es-MX"/>
          <w14:ligatures w14:val="none"/>
        </w:rPr>
      </w:pPr>
    </w:p>
    <w:p w14:paraId="4B9EFA00" w14:textId="77777777" w:rsidR="00B658E9" w:rsidRPr="00B658E9" w:rsidRDefault="00B658E9" w:rsidP="00B658E9">
      <w:pPr>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b/>
          <w:bCs/>
          <w:color w:val="000000"/>
          <w:kern w:val="0"/>
          <w:lang w:val="es-CO" w:eastAsia="es-MX"/>
          <w14:ligatures w14:val="none"/>
        </w:rPr>
        <w:t>PROBLEMA JURÍDICO</w:t>
      </w:r>
    </w:p>
    <w:p w14:paraId="2CE9A493" w14:textId="77777777" w:rsidR="00B658E9" w:rsidRPr="00B658E9" w:rsidRDefault="00B658E9" w:rsidP="00B658E9">
      <w:pPr>
        <w:rPr>
          <w:rFonts w:ascii="Times New Roman" w:eastAsia="Times New Roman" w:hAnsi="Times New Roman" w:cs="Times New Roman"/>
          <w:kern w:val="0"/>
          <w:lang w:val="es-CO" w:eastAsia="es-MX"/>
          <w14:ligatures w14:val="none"/>
        </w:rPr>
      </w:pPr>
      <w:r w:rsidRPr="00B658E9">
        <w:rPr>
          <w:rFonts w:ascii="Times New Roman" w:eastAsia="Times New Roman" w:hAnsi="Times New Roman" w:cs="Times New Roman"/>
          <w:kern w:val="0"/>
          <w:lang w:val="es-CO" w:eastAsia="es-MX"/>
          <w14:ligatures w14:val="none"/>
        </w:rPr>
        <w:br/>
      </w:r>
    </w:p>
    <w:p w14:paraId="1A5B5553" w14:textId="77777777" w:rsidR="00B658E9" w:rsidRPr="00B658E9" w:rsidRDefault="00B658E9" w:rsidP="00B658E9">
      <w:pPr>
        <w:numPr>
          <w:ilvl w:val="0"/>
          <w:numId w:val="3"/>
        </w:numPr>
        <w:jc w:val="both"/>
        <w:textAlignment w:val="baseline"/>
        <w:rPr>
          <w:rFonts w:ascii="Verdana" w:eastAsia="Times New Roman" w:hAnsi="Verdana" w:cs="Times New Roman"/>
          <w:color w:val="000000"/>
          <w:kern w:val="0"/>
          <w:lang w:val="es-CO" w:eastAsia="es-MX"/>
          <w14:ligatures w14:val="none"/>
        </w:rPr>
      </w:pPr>
      <w:r w:rsidRPr="00B658E9">
        <w:rPr>
          <w:rFonts w:ascii="Verdana" w:eastAsia="Times New Roman" w:hAnsi="Verdana" w:cs="Times New Roman"/>
          <w:color w:val="000000"/>
          <w:kern w:val="0"/>
          <w:lang w:val="es-CO" w:eastAsia="es-MX"/>
          <w14:ligatures w14:val="none"/>
        </w:rPr>
        <w:t>¿El cobro por concepto de sobreestadía de unos contenedores en un puerto colombiano, forma parte del servicio internacional de transporte de carga marítima, el cual está excluido del IVA?</w:t>
      </w:r>
    </w:p>
    <w:p w14:paraId="3CE5144A" w14:textId="77777777" w:rsidR="00B658E9" w:rsidRPr="00B658E9" w:rsidRDefault="00B658E9" w:rsidP="00B658E9">
      <w:pPr>
        <w:rPr>
          <w:rFonts w:ascii="Times New Roman" w:eastAsia="Times New Roman" w:hAnsi="Times New Roman" w:cs="Times New Roman"/>
          <w:kern w:val="0"/>
          <w:lang w:val="es-CO" w:eastAsia="es-MX"/>
          <w14:ligatures w14:val="none"/>
        </w:rPr>
      </w:pPr>
    </w:p>
    <w:p w14:paraId="3B482B22" w14:textId="77777777" w:rsidR="00B658E9" w:rsidRPr="00B658E9" w:rsidRDefault="00B658E9" w:rsidP="00B658E9">
      <w:pPr>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b/>
          <w:bCs/>
          <w:color w:val="000000"/>
          <w:kern w:val="0"/>
          <w:lang w:val="es-CO" w:eastAsia="es-MX"/>
          <w14:ligatures w14:val="none"/>
        </w:rPr>
        <w:t>TESIS JURÍDICA:</w:t>
      </w:r>
    </w:p>
    <w:p w14:paraId="5AAB7F6E" w14:textId="77777777" w:rsidR="00B658E9" w:rsidRPr="00B658E9" w:rsidRDefault="00B658E9" w:rsidP="00B658E9">
      <w:pPr>
        <w:rPr>
          <w:rFonts w:ascii="Times New Roman" w:eastAsia="Times New Roman" w:hAnsi="Times New Roman" w:cs="Times New Roman"/>
          <w:kern w:val="0"/>
          <w:lang w:val="es-CO" w:eastAsia="es-MX"/>
          <w14:ligatures w14:val="none"/>
        </w:rPr>
      </w:pPr>
      <w:r w:rsidRPr="00B658E9">
        <w:rPr>
          <w:rFonts w:ascii="Times New Roman" w:eastAsia="Times New Roman" w:hAnsi="Times New Roman" w:cs="Times New Roman"/>
          <w:kern w:val="0"/>
          <w:lang w:val="es-CO" w:eastAsia="es-MX"/>
          <w14:ligatures w14:val="none"/>
        </w:rPr>
        <w:br/>
      </w:r>
    </w:p>
    <w:p w14:paraId="00449521" w14:textId="77777777" w:rsidR="00B658E9" w:rsidRPr="00B658E9" w:rsidRDefault="00B658E9" w:rsidP="00B658E9">
      <w:pPr>
        <w:numPr>
          <w:ilvl w:val="0"/>
          <w:numId w:val="4"/>
        </w:numPr>
        <w:jc w:val="both"/>
        <w:textAlignment w:val="baseline"/>
        <w:rPr>
          <w:rFonts w:ascii="Verdana" w:eastAsia="Times New Roman" w:hAnsi="Verdana" w:cs="Times New Roman"/>
          <w:color w:val="000000"/>
          <w:kern w:val="0"/>
          <w:lang w:val="es-CO" w:eastAsia="es-MX"/>
          <w14:ligatures w14:val="none"/>
        </w:rPr>
      </w:pPr>
      <w:r w:rsidRPr="00B658E9">
        <w:rPr>
          <w:rFonts w:ascii="Verdana" w:eastAsia="Times New Roman" w:hAnsi="Verdana" w:cs="Times New Roman"/>
          <w:color w:val="000000"/>
          <w:kern w:val="0"/>
          <w:lang w:val="es-CO" w:eastAsia="es-MX"/>
          <w14:ligatures w14:val="none"/>
        </w:rPr>
        <w:t xml:space="preserve">No. De acuerdo con lo indicado en el Código de Comercio, la sobreestadía o </w:t>
      </w:r>
      <w:proofErr w:type="spellStart"/>
      <w:r w:rsidRPr="00B658E9">
        <w:rPr>
          <w:rFonts w:ascii="Verdana" w:eastAsia="Times New Roman" w:hAnsi="Verdana" w:cs="Times New Roman"/>
          <w:color w:val="000000"/>
          <w:kern w:val="0"/>
          <w:lang w:val="es-CO" w:eastAsia="es-MX"/>
          <w14:ligatures w14:val="none"/>
        </w:rPr>
        <w:t>demurrage</w:t>
      </w:r>
      <w:proofErr w:type="spellEnd"/>
      <w:r w:rsidRPr="00B658E9">
        <w:rPr>
          <w:rFonts w:ascii="Verdana" w:eastAsia="Times New Roman" w:hAnsi="Verdana" w:cs="Times New Roman"/>
          <w:color w:val="000000"/>
          <w:kern w:val="0"/>
          <w:lang w:val="es-CO" w:eastAsia="es-MX"/>
          <w14:ligatures w14:val="none"/>
        </w:rPr>
        <w:t xml:space="preserve"> consiste en el término de permanencia en el puerto - fijado por el capitán- de una nave que se encuentra lista para cargue o descargue, y por el cual se debe reconocer una compensación, cuyo pago corresponde a quien la cause.</w:t>
      </w:r>
    </w:p>
    <w:p w14:paraId="6219B142" w14:textId="77777777" w:rsidR="00B658E9" w:rsidRPr="00B658E9" w:rsidRDefault="00B658E9" w:rsidP="00B658E9">
      <w:pPr>
        <w:rPr>
          <w:rFonts w:ascii="Times New Roman" w:eastAsia="Times New Roman" w:hAnsi="Times New Roman" w:cs="Times New Roman"/>
          <w:kern w:val="0"/>
          <w:lang w:val="es-CO" w:eastAsia="es-MX"/>
          <w14:ligatures w14:val="none"/>
        </w:rPr>
      </w:pPr>
    </w:p>
    <w:p w14:paraId="0EB21982" w14:textId="77777777" w:rsidR="00B658E9" w:rsidRPr="00B658E9" w:rsidRDefault="00B658E9" w:rsidP="00B658E9">
      <w:pPr>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color w:val="000000"/>
          <w:kern w:val="0"/>
          <w:lang w:val="es-CO" w:eastAsia="es-MX"/>
          <w14:ligatures w14:val="none"/>
        </w:rPr>
        <w:t xml:space="preserve">Así mismo, el artículo 1606 del Código de Comercio, establece que la responsabilidad del transportador en el contrato de transporte de carga marítimo inicia cuando se recibe la carga y termina con su entrega al destinatario en el lugar convenido, a la empresa estibadora, o quien deba </w:t>
      </w:r>
      <w:r w:rsidRPr="00B658E9">
        <w:rPr>
          <w:rFonts w:ascii="Verdana" w:eastAsia="Times New Roman" w:hAnsi="Verdana" w:cs="Times New Roman"/>
          <w:color w:val="000000"/>
          <w:kern w:val="0"/>
          <w:lang w:val="es-CO" w:eastAsia="es-MX"/>
          <w14:ligatures w14:val="none"/>
        </w:rPr>
        <w:lastRenderedPageBreak/>
        <w:t>descargarlas, o a la aduana del puerto. Por lo tanto, los cobros asociados a la prestación de servicios en la que se incluyan cobros por sobreestadía no hacen parte del contrato de transporte marítimo y, por lo tanto, no se encuentran entre los servicios excluidos de IVA de conformidad con el artículo 476 del Estatuto Tributario.</w:t>
      </w:r>
    </w:p>
    <w:p w14:paraId="61893AA2" w14:textId="77777777" w:rsidR="00B658E9" w:rsidRPr="00B658E9" w:rsidRDefault="00B658E9" w:rsidP="00B658E9">
      <w:pPr>
        <w:rPr>
          <w:rFonts w:ascii="Times New Roman" w:eastAsia="Times New Roman" w:hAnsi="Times New Roman" w:cs="Times New Roman"/>
          <w:kern w:val="0"/>
          <w:lang w:val="es-CO" w:eastAsia="es-MX"/>
          <w14:ligatures w14:val="none"/>
        </w:rPr>
      </w:pPr>
    </w:p>
    <w:p w14:paraId="689B51B5" w14:textId="77777777" w:rsidR="00B658E9" w:rsidRPr="00B658E9" w:rsidRDefault="00B658E9" w:rsidP="00B658E9">
      <w:pPr>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b/>
          <w:bCs/>
          <w:color w:val="000000"/>
          <w:kern w:val="0"/>
          <w:lang w:val="es-CO" w:eastAsia="es-MX"/>
          <w14:ligatures w14:val="none"/>
        </w:rPr>
        <w:t>FUNDAMENTACIÓN:</w:t>
      </w:r>
    </w:p>
    <w:p w14:paraId="299A8C6F" w14:textId="77777777" w:rsidR="00B658E9" w:rsidRPr="00B658E9" w:rsidRDefault="00B658E9" w:rsidP="00B658E9">
      <w:pPr>
        <w:rPr>
          <w:rFonts w:ascii="Times New Roman" w:eastAsia="Times New Roman" w:hAnsi="Times New Roman" w:cs="Times New Roman"/>
          <w:kern w:val="0"/>
          <w:lang w:val="es-CO" w:eastAsia="es-MX"/>
          <w14:ligatures w14:val="none"/>
        </w:rPr>
      </w:pPr>
      <w:r w:rsidRPr="00B658E9">
        <w:rPr>
          <w:rFonts w:ascii="Times New Roman" w:eastAsia="Times New Roman" w:hAnsi="Times New Roman" w:cs="Times New Roman"/>
          <w:kern w:val="0"/>
          <w:lang w:val="es-CO" w:eastAsia="es-MX"/>
          <w14:ligatures w14:val="none"/>
        </w:rPr>
        <w:br/>
      </w:r>
    </w:p>
    <w:p w14:paraId="290A4595" w14:textId="77777777" w:rsidR="00B658E9" w:rsidRPr="00B658E9" w:rsidRDefault="00B658E9" w:rsidP="00B658E9">
      <w:pPr>
        <w:numPr>
          <w:ilvl w:val="0"/>
          <w:numId w:val="5"/>
        </w:numPr>
        <w:jc w:val="both"/>
        <w:textAlignment w:val="baseline"/>
        <w:rPr>
          <w:rFonts w:ascii="Verdana" w:eastAsia="Times New Roman" w:hAnsi="Verdana" w:cs="Times New Roman"/>
          <w:color w:val="000000"/>
          <w:kern w:val="0"/>
          <w:lang w:val="es-CO" w:eastAsia="es-MX"/>
          <w14:ligatures w14:val="none"/>
        </w:rPr>
      </w:pPr>
      <w:r w:rsidRPr="00B658E9">
        <w:rPr>
          <w:rFonts w:ascii="Verdana" w:eastAsia="Times New Roman" w:hAnsi="Verdana" w:cs="Times New Roman"/>
          <w:color w:val="000000"/>
          <w:kern w:val="0"/>
          <w:lang w:val="es-CO" w:eastAsia="es-MX"/>
          <w14:ligatures w14:val="none"/>
        </w:rPr>
        <w:t>El artículo 476 del Estatuto Tributario, establece cuáles son bienes y servicios que se encuentran excluidos del impuesto a las ventas – IVA. En el numeral 9, indica lo siguiente:</w:t>
      </w:r>
    </w:p>
    <w:p w14:paraId="0A1C3502" w14:textId="77777777" w:rsidR="00B658E9" w:rsidRPr="00B658E9" w:rsidRDefault="00B658E9" w:rsidP="00B658E9">
      <w:pPr>
        <w:rPr>
          <w:rFonts w:ascii="Times New Roman" w:eastAsia="Times New Roman" w:hAnsi="Times New Roman" w:cs="Times New Roman"/>
          <w:kern w:val="0"/>
          <w:lang w:val="es-CO" w:eastAsia="es-MX"/>
          <w14:ligatures w14:val="none"/>
        </w:rPr>
      </w:pPr>
    </w:p>
    <w:p w14:paraId="772A32F6" w14:textId="77777777" w:rsidR="00B658E9" w:rsidRPr="00B658E9" w:rsidRDefault="00B658E9" w:rsidP="00B658E9">
      <w:pPr>
        <w:ind w:left="1418"/>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i/>
          <w:iCs/>
          <w:color w:val="000000"/>
          <w:kern w:val="0"/>
          <w:sz w:val="22"/>
          <w:szCs w:val="22"/>
          <w:lang w:val="es-CO" w:eastAsia="es-MX"/>
          <w14:ligatures w14:val="none"/>
        </w:rPr>
        <w:t>Se exceptúan del impuesto los siguientes servicios y los bienes relacionados explícitamente a continuación: (…) el de transporte público o privado nacional e internacional de carga marítimo, fluvial, terrestre y aéreo.</w:t>
      </w:r>
    </w:p>
    <w:p w14:paraId="28F21223" w14:textId="77777777" w:rsidR="00B658E9" w:rsidRPr="00B658E9" w:rsidRDefault="00B658E9" w:rsidP="00B658E9">
      <w:pPr>
        <w:rPr>
          <w:rFonts w:ascii="Times New Roman" w:eastAsia="Times New Roman" w:hAnsi="Times New Roman" w:cs="Times New Roman"/>
          <w:kern w:val="0"/>
          <w:lang w:val="es-CO" w:eastAsia="es-MX"/>
          <w14:ligatures w14:val="none"/>
        </w:rPr>
      </w:pPr>
      <w:r w:rsidRPr="00B658E9">
        <w:rPr>
          <w:rFonts w:ascii="Times New Roman" w:eastAsia="Times New Roman" w:hAnsi="Times New Roman" w:cs="Times New Roman"/>
          <w:kern w:val="0"/>
          <w:lang w:val="es-CO" w:eastAsia="es-MX"/>
          <w14:ligatures w14:val="none"/>
        </w:rPr>
        <w:br/>
      </w:r>
    </w:p>
    <w:p w14:paraId="69AE8B79" w14:textId="77777777" w:rsidR="00B658E9" w:rsidRPr="00B658E9" w:rsidRDefault="00B658E9" w:rsidP="00B658E9">
      <w:pPr>
        <w:numPr>
          <w:ilvl w:val="0"/>
          <w:numId w:val="6"/>
        </w:numPr>
        <w:jc w:val="both"/>
        <w:textAlignment w:val="baseline"/>
        <w:rPr>
          <w:rFonts w:ascii="Verdana" w:eastAsia="Times New Roman" w:hAnsi="Verdana" w:cs="Times New Roman"/>
          <w:color w:val="000000"/>
          <w:kern w:val="0"/>
          <w:lang w:val="es-CO" w:eastAsia="es-MX"/>
          <w14:ligatures w14:val="none"/>
        </w:rPr>
      </w:pPr>
      <w:r w:rsidRPr="00B658E9">
        <w:rPr>
          <w:rFonts w:ascii="Verdana" w:eastAsia="Times New Roman" w:hAnsi="Verdana" w:cs="Times New Roman"/>
          <w:color w:val="000000"/>
          <w:kern w:val="0"/>
          <w:lang w:val="es-CO" w:eastAsia="es-MX"/>
          <w14:ligatures w14:val="none"/>
        </w:rPr>
        <w:t>De acuerdo con lo anterior, tenemos que el artículo 981 del Código de Comercio, dispone que el contrato de transporte implica el traslado de personas o cosas de un lugar a otro, por un medio determinado, y dentro de un plazo previamente fijado:</w:t>
      </w:r>
    </w:p>
    <w:p w14:paraId="68299B17" w14:textId="77777777" w:rsidR="00B658E9" w:rsidRPr="00B658E9" w:rsidRDefault="00B658E9" w:rsidP="00B658E9">
      <w:pPr>
        <w:rPr>
          <w:rFonts w:ascii="Times New Roman" w:eastAsia="Times New Roman" w:hAnsi="Times New Roman" w:cs="Times New Roman"/>
          <w:kern w:val="0"/>
          <w:lang w:val="es-CO" w:eastAsia="es-MX"/>
          <w14:ligatures w14:val="none"/>
        </w:rPr>
      </w:pPr>
    </w:p>
    <w:p w14:paraId="1F2F9E0B" w14:textId="77777777" w:rsidR="00B658E9" w:rsidRPr="00B658E9" w:rsidRDefault="00B658E9" w:rsidP="00B658E9">
      <w:pPr>
        <w:ind w:left="1418"/>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b/>
          <w:bCs/>
          <w:i/>
          <w:iCs/>
          <w:color w:val="000000"/>
          <w:kern w:val="0"/>
          <w:sz w:val="22"/>
          <w:szCs w:val="22"/>
          <w:lang w:val="es-CO" w:eastAsia="es-MX"/>
          <w14:ligatures w14:val="none"/>
        </w:rPr>
        <w:t>Artículo 981.CONTRATO DE TRANSPORTE.</w:t>
      </w:r>
      <w:r w:rsidRPr="00B658E9">
        <w:rPr>
          <w:rFonts w:ascii="Verdana" w:eastAsia="Times New Roman" w:hAnsi="Verdana" w:cs="Times New Roman"/>
          <w:i/>
          <w:iCs/>
          <w:color w:val="000000"/>
          <w:kern w:val="0"/>
          <w:sz w:val="22"/>
          <w:szCs w:val="22"/>
          <w:lang w:val="es-CO" w:eastAsia="es-MX"/>
          <w14:ligatures w14:val="none"/>
        </w:rPr>
        <w:t xml:space="preserve"> El transporte es un contrato por medio del cual una de las partes se obliga para con la otra, a cambio de un precio, a conducir de un lugar a otro, por determinado medio y en el plazo fijado, personas o cosas y a entregar éstas al destinatario.</w:t>
      </w:r>
    </w:p>
    <w:p w14:paraId="00CED9ED" w14:textId="77777777" w:rsidR="00B658E9" w:rsidRPr="00B658E9" w:rsidRDefault="00B658E9" w:rsidP="00B658E9">
      <w:pPr>
        <w:rPr>
          <w:rFonts w:ascii="Times New Roman" w:eastAsia="Times New Roman" w:hAnsi="Times New Roman" w:cs="Times New Roman"/>
          <w:kern w:val="0"/>
          <w:lang w:val="es-CO" w:eastAsia="es-MX"/>
          <w14:ligatures w14:val="none"/>
        </w:rPr>
      </w:pPr>
      <w:r w:rsidRPr="00B658E9">
        <w:rPr>
          <w:rFonts w:ascii="Times New Roman" w:eastAsia="Times New Roman" w:hAnsi="Times New Roman" w:cs="Times New Roman"/>
          <w:kern w:val="0"/>
          <w:lang w:val="es-CO" w:eastAsia="es-MX"/>
          <w14:ligatures w14:val="none"/>
        </w:rPr>
        <w:br/>
      </w:r>
    </w:p>
    <w:p w14:paraId="1A8B08FB" w14:textId="77777777" w:rsidR="00B658E9" w:rsidRPr="00B658E9" w:rsidRDefault="00B658E9" w:rsidP="00B658E9">
      <w:pPr>
        <w:numPr>
          <w:ilvl w:val="0"/>
          <w:numId w:val="7"/>
        </w:numPr>
        <w:jc w:val="both"/>
        <w:textAlignment w:val="baseline"/>
        <w:rPr>
          <w:rFonts w:ascii="Verdana" w:eastAsia="Times New Roman" w:hAnsi="Verdana" w:cs="Times New Roman"/>
          <w:color w:val="000000"/>
          <w:kern w:val="0"/>
          <w:lang w:val="es-CO" w:eastAsia="es-MX"/>
          <w14:ligatures w14:val="none"/>
        </w:rPr>
      </w:pPr>
      <w:r w:rsidRPr="00B658E9">
        <w:rPr>
          <w:rFonts w:ascii="Verdana" w:eastAsia="Times New Roman" w:hAnsi="Verdana" w:cs="Times New Roman"/>
          <w:color w:val="000000"/>
          <w:kern w:val="0"/>
          <w:lang w:val="es-CO" w:eastAsia="es-MX"/>
          <w14:ligatures w14:val="none"/>
        </w:rPr>
        <w:t>En esta misma norma, esta vez en el artículo 1606, se señala que la responsabilidad del transportador, particularmente en los contratos de transporte marítimo, inicia cuando este se hace cargo de las cosas y termina con su entrega al destinatario o a quien deba descargarlas o la aduana del puerto. Así mismo, cuando se trata del transporte de carga, se presume que las cosas son recibidas y entregadas bajo aparejo, caso en el cual la responsabilidad del transportador irá hasta que estas sean descargadas en el muelle (artículo 1655 C. Comercio):</w:t>
      </w:r>
    </w:p>
    <w:p w14:paraId="62E43B48" w14:textId="77777777" w:rsidR="00B658E9" w:rsidRPr="00B658E9" w:rsidRDefault="00B658E9" w:rsidP="00B658E9">
      <w:pPr>
        <w:rPr>
          <w:rFonts w:ascii="Times New Roman" w:eastAsia="Times New Roman" w:hAnsi="Times New Roman" w:cs="Times New Roman"/>
          <w:kern w:val="0"/>
          <w:lang w:val="es-CO" w:eastAsia="es-MX"/>
          <w14:ligatures w14:val="none"/>
        </w:rPr>
      </w:pPr>
    </w:p>
    <w:p w14:paraId="68C3240A" w14:textId="77777777" w:rsidR="00B658E9" w:rsidRPr="00B658E9" w:rsidRDefault="00B658E9" w:rsidP="00B658E9">
      <w:pPr>
        <w:ind w:left="1418"/>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b/>
          <w:bCs/>
          <w:i/>
          <w:iCs/>
          <w:color w:val="000000"/>
          <w:kern w:val="0"/>
          <w:sz w:val="22"/>
          <w:szCs w:val="22"/>
          <w:lang w:val="es-CO" w:eastAsia="es-MX"/>
          <w14:ligatures w14:val="none"/>
        </w:rPr>
        <w:t>Artículo 1606.</w:t>
      </w:r>
      <w:r w:rsidRPr="00B658E9">
        <w:rPr>
          <w:rFonts w:ascii="Verdana" w:eastAsia="Times New Roman" w:hAnsi="Verdana" w:cs="Times New Roman"/>
          <w:i/>
          <w:iCs/>
          <w:color w:val="000000"/>
          <w:kern w:val="0"/>
          <w:sz w:val="22"/>
          <w:szCs w:val="22"/>
          <w:lang w:val="es-CO" w:eastAsia="es-MX"/>
          <w14:ligatures w14:val="none"/>
        </w:rPr>
        <w:t xml:space="preserve"> La responsabilidad del transportador se inicia desde cuando recibe las cosas o se hace cargo de ellas y termina con su entrega al destinatario en el lugar convenido, o su entrega a la orden de aquél a la empresa estibadora o de quien deba descargarlas, o a la aduana del puerto. </w:t>
      </w:r>
      <w:r w:rsidRPr="00B658E9">
        <w:rPr>
          <w:rFonts w:ascii="Verdana" w:eastAsia="Times New Roman" w:hAnsi="Verdana" w:cs="Times New Roman"/>
          <w:i/>
          <w:iCs/>
          <w:color w:val="000000"/>
          <w:kern w:val="0"/>
          <w:sz w:val="22"/>
          <w:szCs w:val="22"/>
          <w:u w:val="single"/>
          <w:lang w:val="es-CO" w:eastAsia="es-MX"/>
          <w14:ligatures w14:val="none"/>
        </w:rPr>
        <w:t xml:space="preserve">A partir del momento en que cesa la responsabilidad del transportador se inicia la de la </w:t>
      </w:r>
      <w:r w:rsidRPr="00B658E9">
        <w:rPr>
          <w:rFonts w:ascii="Verdana" w:eastAsia="Times New Roman" w:hAnsi="Verdana" w:cs="Times New Roman"/>
          <w:i/>
          <w:iCs/>
          <w:color w:val="000000"/>
          <w:kern w:val="0"/>
          <w:sz w:val="22"/>
          <w:szCs w:val="22"/>
          <w:u w:val="single"/>
          <w:lang w:val="es-CO" w:eastAsia="es-MX"/>
          <w14:ligatures w14:val="none"/>
        </w:rPr>
        <w:lastRenderedPageBreak/>
        <w:t>empresa estibadora o de quien haga el descargue o de la aduana que recibió dichas cosas</w:t>
      </w:r>
    </w:p>
    <w:p w14:paraId="214A84ED" w14:textId="77777777" w:rsidR="00B658E9" w:rsidRPr="00B658E9" w:rsidRDefault="00B658E9" w:rsidP="00B658E9">
      <w:pPr>
        <w:rPr>
          <w:rFonts w:ascii="Times New Roman" w:eastAsia="Times New Roman" w:hAnsi="Times New Roman" w:cs="Times New Roman"/>
          <w:kern w:val="0"/>
          <w:lang w:val="es-CO" w:eastAsia="es-MX"/>
          <w14:ligatures w14:val="none"/>
        </w:rPr>
      </w:pPr>
    </w:p>
    <w:p w14:paraId="42DA4426" w14:textId="77777777" w:rsidR="00B658E9" w:rsidRPr="00B658E9" w:rsidRDefault="00B658E9" w:rsidP="00B658E9">
      <w:pPr>
        <w:ind w:left="1418"/>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i/>
          <w:iCs/>
          <w:color w:val="000000"/>
          <w:kern w:val="0"/>
          <w:sz w:val="22"/>
          <w:szCs w:val="22"/>
          <w:lang w:val="es-CO" w:eastAsia="es-MX"/>
          <w14:ligatures w14:val="none"/>
        </w:rPr>
        <w:t xml:space="preserve">Cuando las cosas sean recibidas o entregadas bajo aparejo, la responsabilidad del transportador se inicia desde que la grúa o pluma del buque toma la cosa para cargarla, </w:t>
      </w:r>
      <w:r w:rsidRPr="00B658E9">
        <w:rPr>
          <w:rFonts w:ascii="Verdana" w:eastAsia="Times New Roman" w:hAnsi="Verdana" w:cs="Times New Roman"/>
          <w:i/>
          <w:iCs/>
          <w:color w:val="000000"/>
          <w:kern w:val="0"/>
          <w:sz w:val="22"/>
          <w:szCs w:val="22"/>
          <w:u w:val="single"/>
          <w:lang w:val="es-CO" w:eastAsia="es-MX"/>
          <w14:ligatures w14:val="none"/>
        </w:rPr>
        <w:t>hasta que sea descargada en el muelle del lugar de destino.</w:t>
      </w:r>
    </w:p>
    <w:p w14:paraId="4A754DA8" w14:textId="77777777" w:rsidR="00B658E9" w:rsidRPr="00B658E9" w:rsidRDefault="00B658E9" w:rsidP="00B658E9">
      <w:pPr>
        <w:rPr>
          <w:rFonts w:ascii="Times New Roman" w:eastAsia="Times New Roman" w:hAnsi="Times New Roman" w:cs="Times New Roman"/>
          <w:kern w:val="0"/>
          <w:lang w:val="es-CO" w:eastAsia="es-MX"/>
          <w14:ligatures w14:val="none"/>
        </w:rPr>
      </w:pPr>
    </w:p>
    <w:p w14:paraId="1130F66F" w14:textId="77777777" w:rsidR="00B658E9" w:rsidRPr="00B658E9" w:rsidRDefault="00B658E9" w:rsidP="00B658E9">
      <w:pPr>
        <w:ind w:left="1418"/>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b/>
          <w:bCs/>
          <w:i/>
          <w:iCs/>
          <w:color w:val="000000"/>
          <w:kern w:val="0"/>
          <w:sz w:val="22"/>
          <w:szCs w:val="22"/>
          <w:lang w:val="es-CO" w:eastAsia="es-MX"/>
          <w14:ligatures w14:val="none"/>
        </w:rPr>
        <w:t>Artículo 1655.</w:t>
      </w:r>
      <w:r w:rsidRPr="00B658E9">
        <w:rPr>
          <w:rFonts w:ascii="Verdana" w:eastAsia="Times New Roman" w:hAnsi="Verdana" w:cs="Times New Roman"/>
          <w:i/>
          <w:iCs/>
          <w:color w:val="000000"/>
          <w:kern w:val="0"/>
          <w:sz w:val="22"/>
          <w:szCs w:val="22"/>
          <w:lang w:val="es-CO" w:eastAsia="es-MX"/>
          <w14:ligatures w14:val="none"/>
        </w:rPr>
        <w:t xml:space="preserve"> Salvo pacto, reglamento o costumbre en contrario, el transportador recibirá y entregará las cosas bajo aparejo.</w:t>
      </w:r>
    </w:p>
    <w:p w14:paraId="1E6AAFFB" w14:textId="77777777" w:rsidR="00B658E9" w:rsidRPr="00B658E9" w:rsidRDefault="00B658E9" w:rsidP="00B658E9">
      <w:pPr>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color w:val="000000"/>
          <w:kern w:val="0"/>
          <w:lang w:val="es-CO" w:eastAsia="es-MX"/>
          <w14:ligatures w14:val="none"/>
        </w:rPr>
        <w:t> </w:t>
      </w:r>
    </w:p>
    <w:p w14:paraId="7DEDF7BD" w14:textId="77777777" w:rsidR="00B658E9" w:rsidRPr="00B658E9" w:rsidRDefault="00B658E9" w:rsidP="00B658E9">
      <w:pPr>
        <w:numPr>
          <w:ilvl w:val="0"/>
          <w:numId w:val="8"/>
        </w:numPr>
        <w:jc w:val="both"/>
        <w:textAlignment w:val="baseline"/>
        <w:rPr>
          <w:rFonts w:ascii="Verdana" w:eastAsia="Times New Roman" w:hAnsi="Verdana" w:cs="Times New Roman"/>
          <w:color w:val="000000"/>
          <w:kern w:val="0"/>
          <w:lang w:val="es-CO" w:eastAsia="es-MX"/>
          <w14:ligatures w14:val="none"/>
        </w:rPr>
      </w:pPr>
      <w:r w:rsidRPr="00B658E9">
        <w:rPr>
          <w:rFonts w:ascii="Verdana" w:eastAsia="Times New Roman" w:hAnsi="Verdana" w:cs="Times New Roman"/>
          <w:color w:val="000000"/>
          <w:kern w:val="0"/>
          <w:lang w:val="es-CO" w:eastAsia="es-MX"/>
          <w14:ligatures w14:val="none"/>
        </w:rPr>
        <w:t>En este sentido, se trae a colación, los argumentos expuestos por la Sala de Casación Civil de la Corte Suprema de Justicia, en sentencia SC1043-2021, M.P. Luis Armando Tolosa Villabona, en el cual se mencionó cuáles son las prestaciones esenciales del contrato de transporte en la modalidad marítimo. Al respecto se dijo:</w:t>
      </w:r>
    </w:p>
    <w:p w14:paraId="2D45F969" w14:textId="77777777" w:rsidR="00B658E9" w:rsidRPr="00B658E9" w:rsidRDefault="00B658E9" w:rsidP="00B658E9">
      <w:pPr>
        <w:rPr>
          <w:rFonts w:ascii="Times New Roman" w:eastAsia="Times New Roman" w:hAnsi="Times New Roman" w:cs="Times New Roman"/>
          <w:kern w:val="0"/>
          <w:lang w:val="es-CO" w:eastAsia="es-MX"/>
          <w14:ligatures w14:val="none"/>
        </w:rPr>
      </w:pPr>
    </w:p>
    <w:p w14:paraId="707DEC43" w14:textId="77777777" w:rsidR="00B658E9" w:rsidRPr="00B658E9" w:rsidRDefault="00B658E9" w:rsidP="00B658E9">
      <w:pPr>
        <w:ind w:left="1418"/>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i/>
          <w:iCs/>
          <w:color w:val="000000"/>
          <w:kern w:val="0"/>
          <w:sz w:val="22"/>
          <w:szCs w:val="22"/>
          <w:lang w:val="es-CO" w:eastAsia="es-MX"/>
          <w14:ligatures w14:val="none"/>
        </w:rPr>
        <w:t>La obligación de transporte reviste un carácter complejo, pues envuelve distintas prestaciones, cuya observancia produce la satisfacción de la finalidad del contrato.</w:t>
      </w:r>
    </w:p>
    <w:p w14:paraId="29DDAC3E" w14:textId="77777777" w:rsidR="00B658E9" w:rsidRPr="00B658E9" w:rsidRDefault="00B658E9" w:rsidP="00B658E9">
      <w:pPr>
        <w:rPr>
          <w:rFonts w:ascii="Times New Roman" w:eastAsia="Times New Roman" w:hAnsi="Times New Roman" w:cs="Times New Roman"/>
          <w:kern w:val="0"/>
          <w:lang w:val="es-CO" w:eastAsia="es-MX"/>
          <w14:ligatures w14:val="none"/>
        </w:rPr>
      </w:pPr>
    </w:p>
    <w:p w14:paraId="3825A190" w14:textId="77777777" w:rsidR="00B658E9" w:rsidRPr="00B658E9" w:rsidRDefault="00B658E9" w:rsidP="00B658E9">
      <w:pPr>
        <w:ind w:left="1418"/>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i/>
          <w:iCs/>
          <w:color w:val="000000"/>
          <w:kern w:val="0"/>
          <w:sz w:val="22"/>
          <w:szCs w:val="22"/>
          <w:lang w:val="es-CO" w:eastAsia="es-MX"/>
          <w14:ligatures w14:val="none"/>
        </w:rPr>
        <w:t xml:space="preserve">En esencia, estas son: i) traslado de las mercancías de un lugar a otro en las mismas condiciones en que fueron dispuestas por el cargador y en el plazo prefijado, o en ausencia de pacto, en el estimado razonable; </w:t>
      </w:r>
      <w:proofErr w:type="spellStart"/>
      <w:r w:rsidRPr="00B658E9">
        <w:rPr>
          <w:rFonts w:ascii="Verdana" w:eastAsia="Times New Roman" w:hAnsi="Verdana" w:cs="Times New Roman"/>
          <w:i/>
          <w:iCs/>
          <w:color w:val="000000"/>
          <w:kern w:val="0"/>
          <w:sz w:val="22"/>
          <w:szCs w:val="22"/>
          <w:lang w:val="es-CO" w:eastAsia="es-MX"/>
          <w14:ligatures w14:val="none"/>
        </w:rPr>
        <w:t>ii</w:t>
      </w:r>
      <w:proofErr w:type="spellEnd"/>
      <w:r w:rsidRPr="00B658E9">
        <w:rPr>
          <w:rFonts w:ascii="Verdana" w:eastAsia="Times New Roman" w:hAnsi="Verdana" w:cs="Times New Roman"/>
          <w:i/>
          <w:iCs/>
          <w:color w:val="000000"/>
          <w:kern w:val="0"/>
          <w:sz w:val="22"/>
          <w:szCs w:val="22"/>
          <w:lang w:val="es-CO" w:eastAsia="es-MX"/>
          <w14:ligatures w14:val="none"/>
        </w:rPr>
        <w:t xml:space="preserve">) custodia y conservación de esos efectos comerciales; </w:t>
      </w:r>
      <w:proofErr w:type="spellStart"/>
      <w:r w:rsidRPr="00B658E9">
        <w:rPr>
          <w:rFonts w:ascii="Verdana" w:eastAsia="Times New Roman" w:hAnsi="Verdana" w:cs="Times New Roman"/>
          <w:i/>
          <w:iCs/>
          <w:color w:val="000000"/>
          <w:kern w:val="0"/>
          <w:sz w:val="22"/>
          <w:szCs w:val="22"/>
          <w:lang w:val="es-CO" w:eastAsia="es-MX"/>
          <w14:ligatures w14:val="none"/>
        </w:rPr>
        <w:t>iii</w:t>
      </w:r>
      <w:proofErr w:type="spellEnd"/>
      <w:r w:rsidRPr="00B658E9">
        <w:rPr>
          <w:rFonts w:ascii="Verdana" w:eastAsia="Times New Roman" w:hAnsi="Verdana" w:cs="Times New Roman"/>
          <w:i/>
          <w:iCs/>
          <w:color w:val="000000"/>
          <w:kern w:val="0"/>
          <w:sz w:val="22"/>
          <w:szCs w:val="22"/>
          <w:lang w:val="es-CO" w:eastAsia="es-MX"/>
          <w14:ligatures w14:val="none"/>
        </w:rPr>
        <w:t xml:space="preserve">) entrega de las mercaderías en el puerto de destino y </w:t>
      </w:r>
      <w:proofErr w:type="spellStart"/>
      <w:r w:rsidRPr="00B658E9">
        <w:rPr>
          <w:rFonts w:ascii="Verdana" w:eastAsia="Times New Roman" w:hAnsi="Verdana" w:cs="Times New Roman"/>
          <w:i/>
          <w:iCs/>
          <w:color w:val="000000"/>
          <w:kern w:val="0"/>
          <w:sz w:val="22"/>
          <w:szCs w:val="22"/>
          <w:lang w:val="es-CO" w:eastAsia="es-MX"/>
          <w14:ligatures w14:val="none"/>
        </w:rPr>
        <w:t>iv</w:t>
      </w:r>
      <w:proofErr w:type="spellEnd"/>
      <w:r w:rsidRPr="00B658E9">
        <w:rPr>
          <w:rFonts w:ascii="Verdana" w:eastAsia="Times New Roman" w:hAnsi="Verdana" w:cs="Times New Roman"/>
          <w:i/>
          <w:iCs/>
          <w:color w:val="000000"/>
          <w:kern w:val="0"/>
          <w:sz w:val="22"/>
          <w:szCs w:val="22"/>
          <w:lang w:val="es-CO" w:eastAsia="es-MX"/>
          <w14:ligatures w14:val="none"/>
        </w:rPr>
        <w:t>) garantía de navegabilidad de la embarcación.</w:t>
      </w:r>
    </w:p>
    <w:p w14:paraId="16B3DF64" w14:textId="77777777" w:rsidR="00B658E9" w:rsidRPr="00B658E9" w:rsidRDefault="00B658E9" w:rsidP="00B658E9">
      <w:pPr>
        <w:rPr>
          <w:rFonts w:ascii="Times New Roman" w:eastAsia="Times New Roman" w:hAnsi="Times New Roman" w:cs="Times New Roman"/>
          <w:kern w:val="0"/>
          <w:lang w:val="es-CO" w:eastAsia="es-MX"/>
          <w14:ligatures w14:val="none"/>
        </w:rPr>
      </w:pPr>
      <w:r w:rsidRPr="00B658E9">
        <w:rPr>
          <w:rFonts w:ascii="Times New Roman" w:eastAsia="Times New Roman" w:hAnsi="Times New Roman" w:cs="Times New Roman"/>
          <w:kern w:val="0"/>
          <w:lang w:val="es-CO" w:eastAsia="es-MX"/>
          <w14:ligatures w14:val="none"/>
        </w:rPr>
        <w:br/>
      </w:r>
    </w:p>
    <w:p w14:paraId="0D8DBD26" w14:textId="77777777" w:rsidR="00B658E9" w:rsidRPr="00B658E9" w:rsidRDefault="00B658E9" w:rsidP="00B658E9">
      <w:pPr>
        <w:numPr>
          <w:ilvl w:val="0"/>
          <w:numId w:val="9"/>
        </w:numPr>
        <w:jc w:val="both"/>
        <w:textAlignment w:val="baseline"/>
        <w:rPr>
          <w:rFonts w:ascii="Verdana" w:eastAsia="Times New Roman" w:hAnsi="Verdana" w:cs="Times New Roman"/>
          <w:color w:val="000000"/>
          <w:kern w:val="0"/>
          <w:lang w:val="es-CO" w:eastAsia="es-MX"/>
          <w14:ligatures w14:val="none"/>
        </w:rPr>
      </w:pPr>
      <w:r w:rsidRPr="00B658E9">
        <w:rPr>
          <w:rFonts w:ascii="Verdana" w:eastAsia="Times New Roman" w:hAnsi="Verdana" w:cs="Times New Roman"/>
          <w:color w:val="000000"/>
          <w:kern w:val="0"/>
          <w:lang w:val="es-CO" w:eastAsia="es-MX"/>
          <w14:ligatures w14:val="none"/>
        </w:rPr>
        <w:t>De otro lado, el término de estadía, según los artículos 1658 y 1659 del Código de Comercio, consiste en un plazo fijado por el capitán del puerto, el cual comienza a correr una vez se de aviso al cargador o a quien deba recibir las mercancías de que la nave se encuentra lista para su cargue o descargue. Por su parte, la sobrestadía consiste en el mismo rango de tiempo, cuyo término inicia una vez finaliza el designado para la estadía, y su compensación se encuentra atribuida a aquel que la causó (artículo 1665 C. Comercio).</w:t>
      </w:r>
    </w:p>
    <w:p w14:paraId="119E08AA" w14:textId="77777777" w:rsidR="00B658E9" w:rsidRPr="00B658E9" w:rsidRDefault="00B658E9" w:rsidP="00B658E9">
      <w:pPr>
        <w:rPr>
          <w:rFonts w:ascii="Times New Roman" w:eastAsia="Times New Roman" w:hAnsi="Times New Roman" w:cs="Times New Roman"/>
          <w:kern w:val="0"/>
          <w:lang w:val="es-CO" w:eastAsia="es-MX"/>
          <w14:ligatures w14:val="none"/>
        </w:rPr>
      </w:pPr>
    </w:p>
    <w:p w14:paraId="76BF1B86" w14:textId="77777777" w:rsidR="00B658E9" w:rsidRPr="00B658E9" w:rsidRDefault="00B658E9" w:rsidP="00B658E9">
      <w:pPr>
        <w:ind w:left="1418"/>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b/>
          <w:bCs/>
          <w:i/>
          <w:iCs/>
          <w:color w:val="000000"/>
          <w:kern w:val="0"/>
          <w:sz w:val="22"/>
          <w:szCs w:val="22"/>
          <w:lang w:val="es-CO" w:eastAsia="es-MX"/>
          <w14:ligatures w14:val="none"/>
        </w:rPr>
        <w:t>Artículo 1658.</w:t>
      </w:r>
      <w:r w:rsidRPr="00B658E9">
        <w:rPr>
          <w:rFonts w:ascii="Verdana" w:eastAsia="Times New Roman" w:hAnsi="Verdana" w:cs="Times New Roman"/>
          <w:i/>
          <w:iCs/>
          <w:color w:val="000000"/>
          <w:kern w:val="0"/>
          <w:sz w:val="22"/>
          <w:szCs w:val="22"/>
          <w:lang w:val="es-CO" w:eastAsia="es-MX"/>
          <w14:ligatures w14:val="none"/>
        </w:rPr>
        <w:t xml:space="preserve"> Los días de estadía para el cargue o para el descargue comenzarán a correr, salvo pacto, reglamento o costumbre local en contrario, desde que al cargador o a quien deba recibir las mercancías se dé aviso de que la nave está lista para cargar o descargar.</w:t>
      </w:r>
    </w:p>
    <w:p w14:paraId="1C8FE59C" w14:textId="77777777" w:rsidR="00B658E9" w:rsidRPr="00B658E9" w:rsidRDefault="00B658E9" w:rsidP="00B658E9">
      <w:pPr>
        <w:rPr>
          <w:rFonts w:ascii="Times New Roman" w:eastAsia="Times New Roman" w:hAnsi="Times New Roman" w:cs="Times New Roman"/>
          <w:kern w:val="0"/>
          <w:lang w:val="es-CO" w:eastAsia="es-MX"/>
          <w14:ligatures w14:val="none"/>
        </w:rPr>
      </w:pPr>
    </w:p>
    <w:p w14:paraId="576843CC" w14:textId="77777777" w:rsidR="00B658E9" w:rsidRPr="00B658E9" w:rsidRDefault="00B658E9" w:rsidP="00B658E9">
      <w:pPr>
        <w:ind w:left="1418"/>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b/>
          <w:bCs/>
          <w:i/>
          <w:iCs/>
          <w:color w:val="000000"/>
          <w:kern w:val="0"/>
          <w:sz w:val="22"/>
          <w:szCs w:val="22"/>
          <w:lang w:val="es-CO" w:eastAsia="es-MX"/>
          <w14:ligatures w14:val="none"/>
        </w:rPr>
        <w:t>Artículo 1659.</w:t>
      </w:r>
      <w:r w:rsidRPr="00B658E9">
        <w:rPr>
          <w:rFonts w:ascii="Verdana" w:eastAsia="Times New Roman" w:hAnsi="Verdana" w:cs="Times New Roman"/>
          <w:i/>
          <w:iCs/>
          <w:color w:val="000000"/>
          <w:kern w:val="0"/>
          <w:sz w:val="22"/>
          <w:szCs w:val="22"/>
          <w:lang w:val="es-CO" w:eastAsia="es-MX"/>
          <w14:ligatures w14:val="none"/>
        </w:rPr>
        <w:t xml:space="preserve"> Salvo pacto, reglamento o costumbre local en contrario, el término de sobreestadía será de tantos días de </w:t>
      </w:r>
      <w:r w:rsidRPr="00B658E9">
        <w:rPr>
          <w:rFonts w:ascii="Verdana" w:eastAsia="Times New Roman" w:hAnsi="Verdana" w:cs="Times New Roman"/>
          <w:i/>
          <w:iCs/>
          <w:color w:val="000000"/>
          <w:kern w:val="0"/>
          <w:sz w:val="22"/>
          <w:szCs w:val="22"/>
          <w:lang w:val="es-CO" w:eastAsia="es-MX"/>
          <w14:ligatures w14:val="none"/>
        </w:rPr>
        <w:lastRenderedPageBreak/>
        <w:t>calendario cuantos hayan sido los laborables de estadía, y correrá a partir de la terminación de ésta.</w:t>
      </w:r>
    </w:p>
    <w:p w14:paraId="55FDD6CE" w14:textId="77777777" w:rsidR="00B658E9" w:rsidRPr="00B658E9" w:rsidRDefault="00B658E9" w:rsidP="00B658E9">
      <w:pPr>
        <w:rPr>
          <w:rFonts w:ascii="Times New Roman" w:eastAsia="Times New Roman" w:hAnsi="Times New Roman" w:cs="Times New Roman"/>
          <w:kern w:val="0"/>
          <w:lang w:val="es-CO" w:eastAsia="es-MX"/>
          <w14:ligatures w14:val="none"/>
        </w:rPr>
      </w:pPr>
    </w:p>
    <w:p w14:paraId="062673AF" w14:textId="77777777" w:rsidR="00B658E9" w:rsidRPr="00B658E9" w:rsidRDefault="00B658E9" w:rsidP="00B658E9">
      <w:pPr>
        <w:ind w:left="1418"/>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b/>
          <w:bCs/>
          <w:i/>
          <w:iCs/>
          <w:color w:val="000000"/>
          <w:kern w:val="0"/>
          <w:sz w:val="22"/>
          <w:szCs w:val="22"/>
          <w:lang w:val="es-CO" w:eastAsia="es-MX"/>
          <w14:ligatures w14:val="none"/>
        </w:rPr>
        <w:t>Artículo 1665.</w:t>
      </w:r>
      <w:r w:rsidRPr="00B658E9">
        <w:rPr>
          <w:rFonts w:ascii="Verdana" w:eastAsia="Times New Roman" w:hAnsi="Verdana" w:cs="Times New Roman"/>
          <w:i/>
          <w:iCs/>
          <w:color w:val="000000"/>
          <w:kern w:val="0"/>
          <w:sz w:val="22"/>
          <w:szCs w:val="22"/>
          <w:lang w:val="es-CO" w:eastAsia="es-MX"/>
          <w14:ligatures w14:val="none"/>
        </w:rPr>
        <w:t xml:space="preserve"> La compensación de sobreestadía o de contra estadía estará a cargo de quien la cause.</w:t>
      </w:r>
    </w:p>
    <w:p w14:paraId="0C30A1B2" w14:textId="77777777" w:rsidR="00B658E9" w:rsidRPr="00B658E9" w:rsidRDefault="00B658E9" w:rsidP="00B658E9">
      <w:pPr>
        <w:rPr>
          <w:rFonts w:ascii="Times New Roman" w:eastAsia="Times New Roman" w:hAnsi="Times New Roman" w:cs="Times New Roman"/>
          <w:kern w:val="0"/>
          <w:lang w:val="es-CO" w:eastAsia="es-MX"/>
          <w14:ligatures w14:val="none"/>
        </w:rPr>
      </w:pPr>
      <w:r w:rsidRPr="00B658E9">
        <w:rPr>
          <w:rFonts w:ascii="Times New Roman" w:eastAsia="Times New Roman" w:hAnsi="Times New Roman" w:cs="Times New Roman"/>
          <w:kern w:val="0"/>
          <w:lang w:val="es-CO" w:eastAsia="es-MX"/>
          <w14:ligatures w14:val="none"/>
        </w:rPr>
        <w:br/>
      </w:r>
    </w:p>
    <w:p w14:paraId="40B7E814" w14:textId="77777777" w:rsidR="00B658E9" w:rsidRPr="00B658E9" w:rsidRDefault="00B658E9" w:rsidP="00B658E9">
      <w:pPr>
        <w:numPr>
          <w:ilvl w:val="0"/>
          <w:numId w:val="10"/>
        </w:numPr>
        <w:jc w:val="both"/>
        <w:textAlignment w:val="baseline"/>
        <w:rPr>
          <w:rFonts w:ascii="Verdana" w:eastAsia="Times New Roman" w:hAnsi="Verdana" w:cs="Times New Roman"/>
          <w:color w:val="000000"/>
          <w:kern w:val="0"/>
          <w:lang w:val="es-CO" w:eastAsia="es-MX"/>
          <w14:ligatures w14:val="none"/>
        </w:rPr>
      </w:pPr>
      <w:r w:rsidRPr="00B658E9">
        <w:rPr>
          <w:rFonts w:ascii="Verdana" w:eastAsia="Times New Roman" w:hAnsi="Verdana" w:cs="Times New Roman"/>
          <w:color w:val="000000"/>
          <w:kern w:val="0"/>
          <w:lang w:val="es-CO" w:eastAsia="es-MX"/>
          <w14:ligatures w14:val="none"/>
        </w:rPr>
        <w:t>Así las cosas, tenemos que, si bien la sobreestadía puede estar conexa con el contrato de transporte marítimo de carga, esto no quiere decir que se trate de la misma prestación. Lo anterior, teniendo en cuenta que la responsabilidad del contrato de transporte tiene su límite en la disposición de la mercancía para su cargue o descargue en el lugar acordado, y no incluye el término de permanencia de la carga en el puerto de destino.</w:t>
      </w:r>
    </w:p>
    <w:p w14:paraId="6A4F2CDE" w14:textId="77777777" w:rsidR="00B658E9" w:rsidRPr="00B658E9" w:rsidRDefault="00B658E9" w:rsidP="00B658E9">
      <w:pPr>
        <w:rPr>
          <w:rFonts w:ascii="Times New Roman" w:eastAsia="Times New Roman" w:hAnsi="Times New Roman" w:cs="Times New Roman"/>
          <w:kern w:val="0"/>
          <w:lang w:val="es-CO" w:eastAsia="es-MX"/>
          <w14:ligatures w14:val="none"/>
        </w:rPr>
      </w:pPr>
      <w:r w:rsidRPr="00B658E9">
        <w:rPr>
          <w:rFonts w:ascii="Times New Roman" w:eastAsia="Times New Roman" w:hAnsi="Times New Roman" w:cs="Times New Roman"/>
          <w:kern w:val="0"/>
          <w:lang w:val="es-CO" w:eastAsia="es-MX"/>
          <w14:ligatures w14:val="none"/>
        </w:rPr>
        <w:br/>
      </w:r>
    </w:p>
    <w:p w14:paraId="7A79262C" w14:textId="77777777" w:rsidR="00B658E9" w:rsidRPr="00B658E9" w:rsidRDefault="00B658E9" w:rsidP="00B658E9">
      <w:pPr>
        <w:numPr>
          <w:ilvl w:val="0"/>
          <w:numId w:val="11"/>
        </w:numPr>
        <w:jc w:val="both"/>
        <w:textAlignment w:val="baseline"/>
        <w:rPr>
          <w:rFonts w:ascii="Verdana" w:eastAsia="Times New Roman" w:hAnsi="Verdana" w:cs="Times New Roman"/>
          <w:color w:val="000000"/>
          <w:kern w:val="0"/>
          <w:lang w:val="es-CO" w:eastAsia="es-MX"/>
          <w14:ligatures w14:val="none"/>
        </w:rPr>
      </w:pPr>
      <w:r w:rsidRPr="00B658E9">
        <w:rPr>
          <w:rFonts w:ascii="Verdana" w:eastAsia="Times New Roman" w:hAnsi="Verdana" w:cs="Times New Roman"/>
          <w:color w:val="000000"/>
          <w:kern w:val="0"/>
          <w:lang w:val="es-CO" w:eastAsia="es-MX"/>
          <w14:ligatures w14:val="none"/>
        </w:rPr>
        <w:t>Por lo anterior se concluye que los cobros relacionados con las compensaciones por sobreestadía no hacen parte del contrato de transporte de carga marítimo y, por lo tanto, no se encuentran exentos de IVA, puesto que no se ajustan a la descripción de los servicios de transporte del numeral 9 del artículo 476 de Estatuto Tributario.</w:t>
      </w:r>
    </w:p>
    <w:p w14:paraId="14BA6AE9" w14:textId="77777777" w:rsidR="00B658E9" w:rsidRPr="00B658E9" w:rsidRDefault="00B658E9" w:rsidP="00B658E9">
      <w:pPr>
        <w:rPr>
          <w:rFonts w:ascii="Times New Roman" w:eastAsia="Times New Roman" w:hAnsi="Times New Roman" w:cs="Times New Roman"/>
          <w:kern w:val="0"/>
          <w:lang w:val="es-CO" w:eastAsia="es-MX"/>
          <w14:ligatures w14:val="none"/>
        </w:rPr>
      </w:pPr>
      <w:r w:rsidRPr="00B658E9">
        <w:rPr>
          <w:rFonts w:ascii="Times New Roman" w:eastAsia="Times New Roman" w:hAnsi="Times New Roman" w:cs="Times New Roman"/>
          <w:kern w:val="0"/>
          <w:lang w:val="es-CO" w:eastAsia="es-MX"/>
          <w14:ligatures w14:val="none"/>
        </w:rPr>
        <w:br/>
      </w:r>
    </w:p>
    <w:p w14:paraId="4EA428F6" w14:textId="77777777" w:rsidR="00B658E9" w:rsidRPr="00B658E9" w:rsidRDefault="00B658E9" w:rsidP="00B658E9">
      <w:pPr>
        <w:numPr>
          <w:ilvl w:val="0"/>
          <w:numId w:val="12"/>
        </w:numPr>
        <w:jc w:val="both"/>
        <w:textAlignment w:val="baseline"/>
        <w:rPr>
          <w:rFonts w:ascii="Verdana" w:eastAsia="Times New Roman" w:hAnsi="Verdana" w:cs="Times New Roman"/>
          <w:color w:val="000000"/>
          <w:kern w:val="0"/>
          <w:lang w:val="es-CO" w:eastAsia="es-MX"/>
          <w14:ligatures w14:val="none"/>
        </w:rPr>
      </w:pPr>
      <w:r w:rsidRPr="00B658E9">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0AC447AD" w14:textId="77777777" w:rsidR="00B658E9" w:rsidRPr="00B658E9" w:rsidRDefault="00B658E9" w:rsidP="00B658E9">
      <w:pPr>
        <w:spacing w:after="240"/>
        <w:rPr>
          <w:rFonts w:ascii="Times New Roman" w:eastAsia="Times New Roman" w:hAnsi="Times New Roman" w:cs="Times New Roman"/>
          <w:kern w:val="0"/>
          <w:lang w:val="es-CO" w:eastAsia="es-MX"/>
          <w14:ligatures w14:val="none"/>
        </w:rPr>
      </w:pPr>
    </w:p>
    <w:p w14:paraId="26FE7750" w14:textId="77777777" w:rsidR="00B658E9" w:rsidRPr="00B658E9" w:rsidRDefault="00B658E9" w:rsidP="00B658E9">
      <w:pPr>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color w:val="000000"/>
          <w:kern w:val="0"/>
          <w:lang w:val="es-CO" w:eastAsia="es-MX"/>
          <w14:ligatures w14:val="none"/>
        </w:rPr>
        <w:t>Atentamente,</w:t>
      </w:r>
    </w:p>
    <w:p w14:paraId="0B340C23" w14:textId="77777777" w:rsidR="00B658E9" w:rsidRPr="00B658E9" w:rsidRDefault="00B658E9" w:rsidP="00B658E9">
      <w:pPr>
        <w:spacing w:after="240"/>
        <w:rPr>
          <w:rFonts w:ascii="Times New Roman" w:eastAsia="Times New Roman" w:hAnsi="Times New Roman" w:cs="Times New Roman"/>
          <w:kern w:val="0"/>
          <w:lang w:val="es-CO" w:eastAsia="es-MX"/>
          <w14:ligatures w14:val="none"/>
        </w:rPr>
      </w:pPr>
      <w:r w:rsidRPr="00B658E9">
        <w:rPr>
          <w:rFonts w:ascii="Times New Roman" w:eastAsia="Times New Roman" w:hAnsi="Times New Roman" w:cs="Times New Roman"/>
          <w:kern w:val="0"/>
          <w:lang w:val="es-CO" w:eastAsia="es-MX"/>
          <w14:ligatures w14:val="none"/>
        </w:rPr>
        <w:br/>
      </w:r>
    </w:p>
    <w:p w14:paraId="66C2468C" w14:textId="77777777" w:rsidR="00B658E9" w:rsidRPr="00B658E9" w:rsidRDefault="00B658E9" w:rsidP="00B658E9">
      <w:pPr>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b/>
          <w:bCs/>
          <w:color w:val="000000"/>
          <w:kern w:val="0"/>
          <w:lang w:val="es-CO" w:eastAsia="es-MX"/>
          <w14:ligatures w14:val="none"/>
        </w:rPr>
        <w:t>INGRID CASTAÑEDA CEPEDA</w:t>
      </w:r>
    </w:p>
    <w:p w14:paraId="46194CAA" w14:textId="77777777" w:rsidR="00B658E9" w:rsidRPr="00B658E9" w:rsidRDefault="00B658E9" w:rsidP="00B658E9">
      <w:pPr>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color w:val="000000"/>
          <w:kern w:val="0"/>
          <w:lang w:val="es-CO" w:eastAsia="es-MX"/>
          <w14:ligatures w14:val="none"/>
        </w:rPr>
        <w:t>Subdirectora de Normativa y Doctrina (A)</w:t>
      </w:r>
    </w:p>
    <w:p w14:paraId="539EED7F" w14:textId="77777777" w:rsidR="00B658E9" w:rsidRPr="00B658E9" w:rsidRDefault="00B658E9" w:rsidP="00B658E9">
      <w:pPr>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color w:val="000000"/>
          <w:kern w:val="0"/>
          <w:lang w:val="es-CO" w:eastAsia="es-MX"/>
          <w14:ligatures w14:val="none"/>
        </w:rPr>
        <w:t>Subdirección de Normativa y Doctrina</w:t>
      </w:r>
    </w:p>
    <w:p w14:paraId="130A15E1" w14:textId="77777777" w:rsidR="00B658E9" w:rsidRPr="00B658E9" w:rsidRDefault="00B658E9" w:rsidP="00B658E9">
      <w:pPr>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color w:val="000000"/>
          <w:kern w:val="0"/>
          <w:lang w:val="es-CO" w:eastAsia="es-MX"/>
          <w14:ligatures w14:val="none"/>
        </w:rPr>
        <w:t>Dirección de Gestión Jurídica</w:t>
      </w:r>
    </w:p>
    <w:p w14:paraId="04F60C11" w14:textId="77777777" w:rsidR="00B658E9" w:rsidRPr="00B658E9" w:rsidRDefault="00B658E9" w:rsidP="00B658E9">
      <w:pPr>
        <w:jc w:val="both"/>
        <w:rPr>
          <w:rFonts w:ascii="Times New Roman" w:eastAsia="Times New Roman" w:hAnsi="Times New Roman" w:cs="Times New Roman"/>
          <w:kern w:val="0"/>
          <w:lang w:val="es-CO" w:eastAsia="es-MX"/>
          <w14:ligatures w14:val="none"/>
        </w:rPr>
      </w:pPr>
      <w:r w:rsidRPr="00B658E9">
        <w:rPr>
          <w:rFonts w:ascii="Verdana" w:eastAsia="Times New Roman" w:hAnsi="Verdana" w:cs="Times New Roman"/>
          <w:color w:val="000000"/>
          <w:kern w:val="0"/>
          <w:lang w:val="es-CO" w:eastAsia="es-MX"/>
          <w14:ligatures w14:val="none"/>
        </w:rPr>
        <w:t>www.dian.gov.co</w:t>
      </w:r>
    </w:p>
    <w:p w14:paraId="6E39ABE9" w14:textId="77777777" w:rsidR="00B658E9" w:rsidRPr="00B658E9" w:rsidRDefault="00B658E9" w:rsidP="00B658E9">
      <w:pPr>
        <w:rPr>
          <w:rFonts w:ascii="Times New Roman" w:eastAsia="Times New Roman" w:hAnsi="Times New Roman" w:cs="Times New Roman"/>
          <w:kern w:val="0"/>
          <w:lang w:val="es-CO" w:eastAsia="es-MX"/>
          <w14:ligatures w14:val="none"/>
        </w:rPr>
      </w:pPr>
    </w:p>
    <w:p w14:paraId="4E614062"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E59D2"/>
    <w:multiLevelType w:val="multilevel"/>
    <w:tmpl w:val="129401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E34AD8"/>
    <w:multiLevelType w:val="multilevel"/>
    <w:tmpl w:val="1BA4D5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A8440B"/>
    <w:multiLevelType w:val="multilevel"/>
    <w:tmpl w:val="15B8B4F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7831618"/>
    <w:multiLevelType w:val="multilevel"/>
    <w:tmpl w:val="89B2DED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7B15C39"/>
    <w:multiLevelType w:val="multilevel"/>
    <w:tmpl w:val="6F4ADE7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A6D513D"/>
    <w:multiLevelType w:val="multilevel"/>
    <w:tmpl w:val="A3A2E5F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F1C3E"/>
    <w:multiLevelType w:val="multilevel"/>
    <w:tmpl w:val="5D8AEE4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508100B"/>
    <w:multiLevelType w:val="multilevel"/>
    <w:tmpl w:val="5296CA5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A704F07"/>
    <w:multiLevelType w:val="multilevel"/>
    <w:tmpl w:val="1ADE1CF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4B845FF"/>
    <w:multiLevelType w:val="multilevel"/>
    <w:tmpl w:val="009E0B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5F826AA"/>
    <w:multiLevelType w:val="multilevel"/>
    <w:tmpl w:val="213C41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EFC5FD1"/>
    <w:multiLevelType w:val="multilevel"/>
    <w:tmpl w:val="4F7A75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10025469">
    <w:abstractNumId w:val="9"/>
  </w:num>
  <w:num w:numId="2" w16cid:durableId="320430124">
    <w:abstractNumId w:val="0"/>
    <w:lvlOverride w:ilvl="0">
      <w:lvl w:ilvl="0">
        <w:numFmt w:val="decimal"/>
        <w:lvlText w:val="%1."/>
        <w:lvlJc w:val="left"/>
      </w:lvl>
    </w:lvlOverride>
  </w:num>
  <w:num w:numId="3" w16cid:durableId="277415891">
    <w:abstractNumId w:val="7"/>
    <w:lvlOverride w:ilvl="0">
      <w:lvl w:ilvl="0">
        <w:numFmt w:val="decimal"/>
        <w:lvlText w:val="%1."/>
        <w:lvlJc w:val="left"/>
      </w:lvl>
    </w:lvlOverride>
  </w:num>
  <w:num w:numId="4" w16cid:durableId="2087071162">
    <w:abstractNumId w:val="11"/>
    <w:lvlOverride w:ilvl="0">
      <w:lvl w:ilvl="0">
        <w:numFmt w:val="decimal"/>
        <w:lvlText w:val="%1."/>
        <w:lvlJc w:val="left"/>
      </w:lvl>
    </w:lvlOverride>
  </w:num>
  <w:num w:numId="5" w16cid:durableId="2031759293">
    <w:abstractNumId w:val="10"/>
    <w:lvlOverride w:ilvl="0">
      <w:lvl w:ilvl="0">
        <w:numFmt w:val="decimal"/>
        <w:lvlText w:val="%1."/>
        <w:lvlJc w:val="left"/>
      </w:lvl>
    </w:lvlOverride>
  </w:num>
  <w:num w:numId="6" w16cid:durableId="1493566449">
    <w:abstractNumId w:val="1"/>
    <w:lvlOverride w:ilvl="0">
      <w:lvl w:ilvl="0">
        <w:numFmt w:val="decimal"/>
        <w:lvlText w:val="%1."/>
        <w:lvlJc w:val="left"/>
      </w:lvl>
    </w:lvlOverride>
  </w:num>
  <w:num w:numId="7" w16cid:durableId="237785830">
    <w:abstractNumId w:val="6"/>
    <w:lvlOverride w:ilvl="0">
      <w:lvl w:ilvl="0">
        <w:numFmt w:val="decimal"/>
        <w:lvlText w:val="%1."/>
        <w:lvlJc w:val="left"/>
      </w:lvl>
    </w:lvlOverride>
  </w:num>
  <w:num w:numId="8" w16cid:durableId="1283733190">
    <w:abstractNumId w:val="8"/>
    <w:lvlOverride w:ilvl="0">
      <w:lvl w:ilvl="0">
        <w:numFmt w:val="decimal"/>
        <w:lvlText w:val="%1."/>
        <w:lvlJc w:val="left"/>
      </w:lvl>
    </w:lvlOverride>
  </w:num>
  <w:num w:numId="9" w16cid:durableId="1774472266">
    <w:abstractNumId w:val="2"/>
    <w:lvlOverride w:ilvl="0">
      <w:lvl w:ilvl="0">
        <w:numFmt w:val="decimal"/>
        <w:lvlText w:val="%1."/>
        <w:lvlJc w:val="left"/>
      </w:lvl>
    </w:lvlOverride>
  </w:num>
  <w:num w:numId="10" w16cid:durableId="570189609">
    <w:abstractNumId w:val="4"/>
    <w:lvlOverride w:ilvl="0">
      <w:lvl w:ilvl="0">
        <w:numFmt w:val="decimal"/>
        <w:lvlText w:val="%1."/>
        <w:lvlJc w:val="left"/>
      </w:lvl>
    </w:lvlOverride>
  </w:num>
  <w:num w:numId="11" w16cid:durableId="1448157735">
    <w:abstractNumId w:val="5"/>
    <w:lvlOverride w:ilvl="0">
      <w:lvl w:ilvl="0">
        <w:numFmt w:val="decimal"/>
        <w:lvlText w:val="%1."/>
        <w:lvlJc w:val="left"/>
      </w:lvl>
    </w:lvlOverride>
  </w:num>
  <w:num w:numId="12" w16cid:durableId="1670131603">
    <w:abstractNumId w:val="3"/>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8E9"/>
    <w:rsid w:val="000B2285"/>
    <w:rsid w:val="001D3E0D"/>
    <w:rsid w:val="00537D8F"/>
    <w:rsid w:val="00B658E9"/>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45A94D6"/>
  <w14:defaultImageDpi w14:val="32767"/>
  <w15:chartTrackingRefBased/>
  <w15:docId w15:val="{A932D77B-DE1C-B84D-8176-E6F4A447C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658E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658E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658E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658E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658E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658E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658E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658E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658E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658E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B658E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B658E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B658E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B658E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B658E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658E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658E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658E9"/>
    <w:rPr>
      <w:rFonts w:eastAsiaTheme="majorEastAsia" w:cstheme="majorBidi"/>
      <w:color w:val="272727" w:themeColor="text1" w:themeTint="D8"/>
    </w:rPr>
  </w:style>
  <w:style w:type="paragraph" w:styleId="Ttulo">
    <w:name w:val="Title"/>
    <w:basedOn w:val="Normal"/>
    <w:next w:val="Normal"/>
    <w:link w:val="TtuloCar"/>
    <w:uiPriority w:val="10"/>
    <w:qFormat/>
    <w:rsid w:val="00B658E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658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658E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658E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658E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B658E9"/>
    <w:rPr>
      <w:i/>
      <w:iCs/>
      <w:color w:val="404040" w:themeColor="text1" w:themeTint="BF"/>
    </w:rPr>
  </w:style>
  <w:style w:type="paragraph" w:styleId="Prrafodelista">
    <w:name w:val="List Paragraph"/>
    <w:basedOn w:val="Normal"/>
    <w:uiPriority w:val="34"/>
    <w:qFormat/>
    <w:rsid w:val="00B658E9"/>
    <w:pPr>
      <w:ind w:left="720"/>
      <w:contextualSpacing/>
    </w:pPr>
  </w:style>
  <w:style w:type="character" w:styleId="nfasisintenso">
    <w:name w:val="Intense Emphasis"/>
    <w:basedOn w:val="Fuentedeprrafopredeter"/>
    <w:uiPriority w:val="21"/>
    <w:qFormat/>
    <w:rsid w:val="00B658E9"/>
    <w:rPr>
      <w:i/>
      <w:iCs/>
      <w:color w:val="2F5496" w:themeColor="accent1" w:themeShade="BF"/>
    </w:rPr>
  </w:style>
  <w:style w:type="paragraph" w:styleId="Citadestacada">
    <w:name w:val="Intense Quote"/>
    <w:basedOn w:val="Normal"/>
    <w:next w:val="Normal"/>
    <w:link w:val="CitadestacadaCar"/>
    <w:uiPriority w:val="30"/>
    <w:qFormat/>
    <w:rsid w:val="00B658E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658E9"/>
    <w:rPr>
      <w:i/>
      <w:iCs/>
      <w:color w:val="2F5496" w:themeColor="accent1" w:themeShade="BF"/>
    </w:rPr>
  </w:style>
  <w:style w:type="character" w:styleId="Referenciaintensa">
    <w:name w:val="Intense Reference"/>
    <w:basedOn w:val="Fuentedeprrafopredeter"/>
    <w:uiPriority w:val="32"/>
    <w:qFormat/>
    <w:rsid w:val="00B658E9"/>
    <w:rPr>
      <w:b/>
      <w:bCs/>
      <w:smallCaps/>
      <w:color w:val="2F5496" w:themeColor="accent1" w:themeShade="BF"/>
      <w:spacing w:val="5"/>
    </w:rPr>
  </w:style>
  <w:style w:type="paragraph" w:styleId="NormalWeb">
    <w:name w:val="Normal (Web)"/>
    <w:basedOn w:val="Normal"/>
    <w:uiPriority w:val="99"/>
    <w:semiHidden/>
    <w:unhideWhenUsed/>
    <w:rsid w:val="00B658E9"/>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B658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1169</Words>
  <Characters>6435</Characters>
  <Application>Microsoft Office Word</Application>
  <DocSecurity>0</DocSecurity>
  <Lines>53</Lines>
  <Paragraphs>15</Paragraphs>
  <ScaleCrop>false</ScaleCrop>
  <Company/>
  <LinksUpToDate>false</LinksUpToDate>
  <CharactersWithSpaces>7589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2026-04-20T15:01:00Z</dcterms:created>
  <dcterms:modified xsi:type="dcterms:W3CDTF">2026-04-20T15:02:00Z</dcterms:modified>
</cp:coreProperties>
</file>