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E4200"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b/>
          <w:bCs/>
          <w:color w:val="000000"/>
          <w:kern w:val="0"/>
          <w:lang w:val="es-CO" w:eastAsia="es-MX"/>
          <w14:ligatures w14:val="none"/>
        </w:rPr>
        <w:t>CONCEPTO 158(2) DEL 6 DE FEBRERO DE 2026</w:t>
      </w:r>
    </w:p>
    <w:p w14:paraId="5A16CE98"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b/>
          <w:bCs/>
          <w:color w:val="000000"/>
          <w:kern w:val="0"/>
          <w:lang w:val="es-CO" w:eastAsia="es-MX"/>
          <w14:ligatures w14:val="none"/>
        </w:rPr>
        <w:t>DIRECCIÓN DE IMPUESTOS Y ADUANAS NACIONALES</w:t>
      </w:r>
    </w:p>
    <w:p w14:paraId="380079D5" w14:textId="77777777" w:rsidR="00486EB6" w:rsidRPr="00486EB6" w:rsidRDefault="00486EB6" w:rsidP="00486EB6">
      <w:pPr>
        <w:rPr>
          <w:rFonts w:ascii="Times New Roman" w:eastAsia="Times New Roman" w:hAnsi="Times New Roman" w:cs="Times New Roman"/>
          <w:kern w:val="0"/>
          <w:lang w:val="es-CO" w:eastAsia="es-MX"/>
          <w14:ligatures w14:val="none"/>
        </w:rPr>
      </w:pPr>
    </w:p>
    <w:p w14:paraId="054EA757"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Bogotá D.C.,</w:t>
      </w:r>
    </w:p>
    <w:p w14:paraId="3576689B"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1A97DE66" w14:textId="77777777" w:rsidR="00486EB6" w:rsidRPr="00486EB6" w:rsidRDefault="00486EB6" w:rsidP="00486EB6">
      <w:pPr>
        <w:numPr>
          <w:ilvl w:val="0"/>
          <w:numId w:val="1"/>
        </w:numPr>
        <w:jc w:val="both"/>
        <w:textAlignment w:val="baseline"/>
        <w:rPr>
          <w:rFonts w:ascii="Verdana" w:eastAsia="Times New Roman" w:hAnsi="Verdana" w:cs="Times New Roman"/>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4F3BAB99"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3F32DD6E" w14:textId="77777777" w:rsidR="00486EB6" w:rsidRPr="00486EB6" w:rsidRDefault="00486EB6" w:rsidP="00486EB6">
      <w:pPr>
        <w:numPr>
          <w:ilvl w:val="0"/>
          <w:numId w:val="2"/>
        </w:numPr>
        <w:jc w:val="both"/>
        <w:textAlignment w:val="baseline"/>
        <w:rPr>
          <w:rFonts w:ascii="Verdana" w:eastAsia="Times New Roman" w:hAnsi="Verdana" w:cs="Times New Roman"/>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Mediante el presente pronunciamiento se da respuesta a una consulta sobre la procedencia del hecho generador de la contribución parafiscal Estampilla Pro-Universidad Nacional, en los contratos de obra ejecutados mediante fiducia mercantil con recursos públicos, así como la procedencia de la devolución del tributo retenido en dichos casos.</w:t>
      </w:r>
    </w:p>
    <w:p w14:paraId="1D659E6E"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5E7B90CA" w14:textId="77777777" w:rsidR="00486EB6" w:rsidRPr="00486EB6" w:rsidRDefault="00486EB6" w:rsidP="00486EB6">
      <w:pPr>
        <w:numPr>
          <w:ilvl w:val="0"/>
          <w:numId w:val="3"/>
        </w:numPr>
        <w:jc w:val="both"/>
        <w:textAlignment w:val="baseline"/>
        <w:rPr>
          <w:rFonts w:ascii="Verdana" w:eastAsia="Times New Roman" w:hAnsi="Verdana" w:cs="Times New Roman"/>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 xml:space="preserve">Sobre el particular este Despacho </w:t>
      </w:r>
      <w:proofErr w:type="spellStart"/>
      <w:r w:rsidRPr="00486EB6">
        <w:rPr>
          <w:rFonts w:ascii="Verdana" w:eastAsia="Times New Roman" w:hAnsi="Verdana" w:cs="Times New Roman"/>
          <w:color w:val="000000"/>
          <w:kern w:val="0"/>
          <w:lang w:val="es-CO" w:eastAsia="es-MX"/>
          <w14:ligatures w14:val="none"/>
        </w:rPr>
        <w:t>a</w:t>
      </w:r>
      <w:proofErr w:type="spellEnd"/>
      <w:r w:rsidRPr="00486EB6">
        <w:rPr>
          <w:rFonts w:ascii="Verdana" w:eastAsia="Times New Roman" w:hAnsi="Verdana" w:cs="Times New Roman"/>
          <w:color w:val="000000"/>
          <w:kern w:val="0"/>
          <w:lang w:val="es-CO" w:eastAsia="es-MX"/>
          <w14:ligatures w14:val="none"/>
        </w:rPr>
        <w:t xml:space="preserve"> señalado de forma reiterada que se configura el hecho generador de la Estampilla Pro-Universidad Nacional en los contratos de obra ejecutados mediante estructuras fiduciarias, porque los propios conceptos reiteran que la utilización de la fiducia no altera ni excluye la naturaleza pública del contrato ni la participación de la entidad pública del orden nacional.</w:t>
      </w:r>
    </w:p>
    <w:p w14:paraId="456E8361"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3BB2EC97" w14:textId="77777777" w:rsidR="00486EB6" w:rsidRPr="00486EB6" w:rsidRDefault="00486EB6" w:rsidP="00486EB6">
      <w:pPr>
        <w:numPr>
          <w:ilvl w:val="0"/>
          <w:numId w:val="4"/>
        </w:numPr>
        <w:jc w:val="both"/>
        <w:textAlignment w:val="baseline"/>
        <w:rPr>
          <w:rFonts w:ascii="Verdana" w:eastAsia="Times New Roman" w:hAnsi="Verdana" w:cs="Times New Roman"/>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 xml:space="preserve">En efecto, el Concepto 902454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541 del 13 de diciembre de 2021 señala expresamente que</w:t>
      </w:r>
    </w:p>
    <w:p w14:paraId="5A2B3A37" w14:textId="77777777" w:rsidR="00486EB6" w:rsidRPr="00486EB6" w:rsidRDefault="00486EB6" w:rsidP="00486EB6">
      <w:pPr>
        <w:rPr>
          <w:rFonts w:ascii="Times New Roman" w:eastAsia="Times New Roman" w:hAnsi="Times New Roman" w:cs="Times New Roman"/>
          <w:kern w:val="0"/>
          <w:lang w:val="es-CO" w:eastAsia="es-MX"/>
          <w14:ligatures w14:val="none"/>
        </w:rPr>
      </w:pPr>
    </w:p>
    <w:p w14:paraId="47653642" w14:textId="77777777" w:rsidR="00486EB6" w:rsidRPr="00486EB6" w:rsidRDefault="00486EB6" w:rsidP="00486EB6">
      <w:pPr>
        <w:ind w:left="1418"/>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i/>
          <w:iCs/>
          <w:color w:val="000000"/>
          <w:kern w:val="0"/>
          <w:sz w:val="22"/>
          <w:szCs w:val="22"/>
          <w:lang w:val="es-CO" w:eastAsia="es-MX"/>
          <w14:ligatures w14:val="none"/>
        </w:rPr>
        <w:t>“(…) los contratos de obra pública que se ejecuten en virtud de encargos fiduciarios, fiducias públicas, fiducias mercantiles o cualquier otra figura jurídica que permita la tercerización como un simple medio para la contratación y ejecución de obras públicas a cargo de entidades del orden nacional, estarán sometidos a la Estampilla”, precisando además que “si bien, la entidad pública mediante un vínculo jurídico contractual permitido por la ley hace uso de una figura para encomendar a un tercero la suscripción de los contratos de obra pública, esto no significa que la labor deje de depender de dicha entidad pública, no haga parte de sus funciones y, además, pierda la naturaleza de obra pública, o que por usar a un tercero que hace sus veces para la suscripción de los mismos, no se configure el hecho generador del tributo”.</w:t>
      </w:r>
    </w:p>
    <w:p w14:paraId="10DF597F"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lastRenderedPageBreak/>
        <w:br/>
      </w:r>
    </w:p>
    <w:p w14:paraId="6379169B" w14:textId="77777777" w:rsidR="00486EB6" w:rsidRPr="00486EB6" w:rsidRDefault="00486EB6" w:rsidP="00486EB6">
      <w:pPr>
        <w:numPr>
          <w:ilvl w:val="0"/>
          <w:numId w:val="5"/>
        </w:numPr>
        <w:jc w:val="both"/>
        <w:textAlignment w:val="baseline"/>
        <w:rPr>
          <w:rFonts w:ascii="Verdana" w:eastAsia="Times New Roman" w:hAnsi="Verdana" w:cs="Times New Roman"/>
          <w:i/>
          <w:iCs/>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 xml:space="preserve">En el mismo sentido, el Oficio 000734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173 del 9 de febrero de 2023 confirma que el hecho generador se configura porque </w:t>
      </w:r>
      <w:r w:rsidRPr="00486EB6">
        <w:rPr>
          <w:rFonts w:ascii="Verdana" w:eastAsia="Times New Roman" w:hAnsi="Verdana" w:cs="Times New Roman"/>
          <w:i/>
          <w:iCs/>
          <w:color w:val="000000"/>
          <w:kern w:val="0"/>
          <w:lang w:val="es-CO" w:eastAsia="es-MX"/>
          <w14:ligatures w14:val="none"/>
        </w:rPr>
        <w:t>“no se observa que el elemento subjetivo del hecho generador -que involucra la participación de una entidad pública del orden nacional- se vea alterado por la utilización de un vehículo contractual, como lo es la fiducia mercantil. Esto, ya que el fideicomitente es la entidad y el patrimonio autónomo está constituido por recursos públicos”.</w:t>
      </w:r>
      <w:r w:rsidRPr="00486EB6">
        <w:rPr>
          <w:rFonts w:ascii="Verdana" w:eastAsia="Times New Roman" w:hAnsi="Verdana" w:cs="Times New Roman"/>
          <w:color w:val="000000"/>
          <w:kern w:val="0"/>
          <w:lang w:val="es-CO" w:eastAsia="es-MX"/>
          <w14:ligatures w14:val="none"/>
        </w:rPr>
        <w:t xml:space="preserve"> Asimismo, de manera expresa señala que </w:t>
      </w:r>
      <w:r w:rsidRPr="00486EB6">
        <w:rPr>
          <w:rFonts w:ascii="Verdana" w:eastAsia="Times New Roman" w:hAnsi="Verdana" w:cs="Times New Roman"/>
          <w:i/>
          <w:iCs/>
          <w:color w:val="000000"/>
          <w:kern w:val="0"/>
          <w:lang w:val="es-CO" w:eastAsia="es-MX"/>
          <w14:ligatures w14:val="none"/>
        </w:rPr>
        <w:t>“para este Despacho se configura el hecho generador del tributo en cuestión en los precisos términos del artículo 5 de la Ley 1697 de 2013”.</w:t>
      </w:r>
    </w:p>
    <w:p w14:paraId="37651E5D"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3D4A9866" w14:textId="77777777" w:rsidR="00486EB6" w:rsidRPr="00486EB6" w:rsidRDefault="00486EB6" w:rsidP="00486EB6">
      <w:pPr>
        <w:numPr>
          <w:ilvl w:val="0"/>
          <w:numId w:val="6"/>
        </w:numPr>
        <w:jc w:val="both"/>
        <w:textAlignment w:val="baseline"/>
        <w:rPr>
          <w:rFonts w:ascii="Verdana" w:eastAsia="Times New Roman" w:hAnsi="Verdana" w:cs="Times New Roman"/>
          <w:i/>
          <w:iCs/>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 xml:space="preserve">Esta misma interpretación es reiterada en el Concepto 003183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698 del 30 de mayo de 2023, al afirmar que </w:t>
      </w:r>
      <w:r w:rsidRPr="00486EB6">
        <w:rPr>
          <w:rFonts w:ascii="Verdana" w:eastAsia="Times New Roman" w:hAnsi="Verdana" w:cs="Times New Roman"/>
          <w:i/>
          <w:iCs/>
          <w:color w:val="000000"/>
          <w:kern w:val="0"/>
          <w:lang w:val="es-CO" w:eastAsia="es-MX"/>
          <w14:ligatures w14:val="none"/>
        </w:rPr>
        <w:t>“no es posible decir que los contratos suscritos por parte de un patrimonio autónomo, donde el fideicomitente es una entidad pública y donde los recursos utilizados para dicho contrato son públicos, no constituye el hecho generador de la estampilla pro-Universidad Nacional”</w:t>
      </w:r>
      <w:r w:rsidRPr="00486EB6">
        <w:rPr>
          <w:rFonts w:ascii="Verdana" w:eastAsia="Times New Roman" w:hAnsi="Verdana" w:cs="Times New Roman"/>
          <w:color w:val="000000"/>
          <w:kern w:val="0"/>
          <w:lang w:val="es-CO" w:eastAsia="es-MX"/>
          <w14:ligatures w14:val="none"/>
        </w:rPr>
        <w:t>, pues la sociedad fiduciaria “</w:t>
      </w:r>
      <w:r w:rsidRPr="00486EB6">
        <w:rPr>
          <w:rFonts w:ascii="Verdana" w:eastAsia="Times New Roman" w:hAnsi="Verdana" w:cs="Times New Roman"/>
          <w:i/>
          <w:iCs/>
          <w:color w:val="000000"/>
          <w:kern w:val="0"/>
          <w:lang w:val="es-CO" w:eastAsia="es-MX"/>
          <w14:ligatures w14:val="none"/>
        </w:rPr>
        <w:t>sólo cumple las instrucciones impartidas por el fideicomitente”</w:t>
      </w:r>
      <w:r w:rsidRPr="00486EB6">
        <w:rPr>
          <w:rFonts w:ascii="Verdana" w:eastAsia="Times New Roman" w:hAnsi="Verdana" w:cs="Times New Roman"/>
          <w:color w:val="000000"/>
          <w:kern w:val="0"/>
          <w:lang w:val="es-CO" w:eastAsia="es-MX"/>
          <w14:ligatures w14:val="none"/>
        </w:rPr>
        <w:t xml:space="preserve"> y la fiducia constituye un medio instrumental para ejecutar una función pública.</w:t>
      </w:r>
    </w:p>
    <w:p w14:paraId="71C546E3"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383D5765" w14:textId="77777777" w:rsidR="00486EB6" w:rsidRPr="00486EB6" w:rsidRDefault="00486EB6" w:rsidP="00486EB6">
      <w:pPr>
        <w:numPr>
          <w:ilvl w:val="0"/>
          <w:numId w:val="7"/>
        </w:numPr>
        <w:jc w:val="both"/>
        <w:textAlignment w:val="baseline"/>
        <w:rPr>
          <w:rFonts w:ascii="Verdana" w:eastAsia="Times New Roman" w:hAnsi="Verdana" w:cs="Times New Roman"/>
          <w:i/>
          <w:iCs/>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Así, conforme a la doctrina citada y adjunta a la presente respuesta, cuando el contrato de obra se ejecuta mediante fiducia mercantil con recursos públicos y por instrucción de una entidad pública del orden nacional, el hecho generador de la Estampilla Pro-Universidad Nacional se causa efectivamente, toda vez que la intermediación de una sociedad fiduciaria no desvirtúa ni la naturaleza pública de los recursos ni la obligación tributaria asociada a su destinación para la ejecución de una obra pública; en consecuencia, la retención debe efectuarse en los términos previstos al momento de la celebración del contrato, y por ende a la luz de dichos conceptos no hay lugar a devolución, al no tratarse de un pago sin causa sino de un tributo válidamente generado.</w:t>
      </w:r>
    </w:p>
    <w:p w14:paraId="244E8AF2"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743523CD" w14:textId="77777777" w:rsidR="00486EB6" w:rsidRPr="00486EB6" w:rsidRDefault="00486EB6" w:rsidP="00486EB6">
      <w:pPr>
        <w:numPr>
          <w:ilvl w:val="0"/>
          <w:numId w:val="8"/>
        </w:numPr>
        <w:jc w:val="both"/>
        <w:textAlignment w:val="baseline"/>
        <w:rPr>
          <w:rFonts w:ascii="Verdana" w:eastAsia="Times New Roman" w:hAnsi="Verdana" w:cs="Times New Roman"/>
          <w:i/>
          <w:iCs/>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 xml:space="preserve">Cabe precisar que el Concepto 902454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541 del 13 de diciembre de 2021, el Oficio 000734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173 del 9 de febrero de 2023, el Concepto 003183 – </w:t>
      </w:r>
      <w:proofErr w:type="spellStart"/>
      <w:r w:rsidRPr="00486EB6">
        <w:rPr>
          <w:rFonts w:ascii="Verdana" w:eastAsia="Times New Roman" w:hAnsi="Verdana" w:cs="Times New Roman"/>
          <w:color w:val="000000"/>
          <w:kern w:val="0"/>
          <w:lang w:val="es-CO" w:eastAsia="es-MX"/>
          <w14:ligatures w14:val="none"/>
        </w:rPr>
        <w:t>int</w:t>
      </w:r>
      <w:proofErr w:type="spellEnd"/>
      <w:r w:rsidRPr="00486EB6">
        <w:rPr>
          <w:rFonts w:ascii="Verdana" w:eastAsia="Times New Roman" w:hAnsi="Verdana" w:cs="Times New Roman"/>
          <w:color w:val="000000"/>
          <w:kern w:val="0"/>
          <w:lang w:val="es-CO" w:eastAsia="es-MX"/>
          <w14:ligatures w14:val="none"/>
        </w:rPr>
        <w:t xml:space="preserve">. 698 del 30 de mayo de 2023, así como el </w:t>
      </w:r>
      <w:proofErr w:type="spellStart"/>
      <w:r w:rsidRPr="00486EB6">
        <w:rPr>
          <w:rFonts w:ascii="Verdana" w:eastAsia="Times New Roman" w:hAnsi="Verdana" w:cs="Times New Roman"/>
          <w:color w:val="000000"/>
          <w:kern w:val="0"/>
          <w:lang w:val="es-CO" w:eastAsia="es-MX"/>
          <w14:ligatures w14:val="none"/>
        </w:rPr>
        <w:t>subnumeral</w:t>
      </w:r>
      <w:proofErr w:type="spellEnd"/>
      <w:r w:rsidRPr="00486EB6">
        <w:rPr>
          <w:rFonts w:ascii="Verdana" w:eastAsia="Times New Roman" w:hAnsi="Verdana" w:cs="Times New Roman"/>
          <w:color w:val="000000"/>
          <w:kern w:val="0"/>
          <w:lang w:val="es-CO" w:eastAsia="es-MX"/>
          <w14:ligatures w14:val="none"/>
        </w:rPr>
        <w:t xml:space="preserve"> 2.1.1 del Concepto General Unificado 007546 de 2020 y demás doctrina concordante en la que se ha sostenido que en los contratos de obra ejecutados mediante estructuras fiduciarias se configura el hecho generador de la Estampilla Pro-Universidad Nacional, se encuentran actualmente demandados ante el Consejo de Estado, </w:t>
      </w:r>
      <w:r w:rsidRPr="00486EB6">
        <w:rPr>
          <w:rFonts w:ascii="Verdana" w:eastAsia="Times New Roman" w:hAnsi="Verdana" w:cs="Times New Roman"/>
          <w:color w:val="000000"/>
          <w:kern w:val="0"/>
          <w:lang w:val="es-CO" w:eastAsia="es-MX"/>
          <w14:ligatures w14:val="none"/>
        </w:rPr>
        <w:lastRenderedPageBreak/>
        <w:t>dentro del proceso de nulidad radicado 11001-03-27-000-2023-00042-00 (28187), admitido mediante auto de 20 de noviembre de 2023; en consecuencia, hasta tanto no exista una sentencia que declare su nulidad, dicha doctrina constituye la interpretación vigente y aplicable a la fecha.</w:t>
      </w:r>
    </w:p>
    <w:p w14:paraId="35AB7106" w14:textId="77777777" w:rsidR="00486EB6" w:rsidRPr="00486EB6" w:rsidRDefault="00486EB6" w:rsidP="00486EB6">
      <w:pPr>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0D1BCF45" w14:textId="77777777" w:rsidR="00486EB6" w:rsidRPr="00486EB6" w:rsidRDefault="00486EB6" w:rsidP="00486EB6">
      <w:pPr>
        <w:numPr>
          <w:ilvl w:val="0"/>
          <w:numId w:val="9"/>
        </w:numPr>
        <w:jc w:val="both"/>
        <w:textAlignment w:val="baseline"/>
        <w:rPr>
          <w:rFonts w:ascii="Verdana" w:eastAsia="Times New Roman" w:hAnsi="Verdana" w:cs="Times New Roman"/>
          <w:i/>
          <w:iCs/>
          <w:color w:val="000000"/>
          <w:kern w:val="0"/>
          <w:lang w:val="es-CO" w:eastAsia="es-MX"/>
          <w14:ligatures w14:val="none"/>
        </w:rPr>
      </w:pPr>
      <w:r w:rsidRPr="00486EB6">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7EEB469B" w14:textId="77777777" w:rsidR="00486EB6" w:rsidRPr="00486EB6" w:rsidRDefault="00486EB6" w:rsidP="00486EB6">
      <w:pPr>
        <w:spacing w:after="240"/>
        <w:rPr>
          <w:rFonts w:ascii="Times New Roman" w:eastAsia="Times New Roman" w:hAnsi="Times New Roman" w:cs="Times New Roman"/>
          <w:kern w:val="0"/>
          <w:lang w:val="es-CO" w:eastAsia="es-MX"/>
          <w14:ligatures w14:val="none"/>
        </w:rPr>
      </w:pPr>
    </w:p>
    <w:p w14:paraId="23009F86"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Atentamente,</w:t>
      </w:r>
    </w:p>
    <w:p w14:paraId="69F48ADA" w14:textId="77777777" w:rsidR="00486EB6" w:rsidRPr="00486EB6" w:rsidRDefault="00486EB6" w:rsidP="00486EB6">
      <w:pPr>
        <w:spacing w:after="240"/>
        <w:rPr>
          <w:rFonts w:ascii="Times New Roman" w:eastAsia="Times New Roman" w:hAnsi="Times New Roman" w:cs="Times New Roman"/>
          <w:kern w:val="0"/>
          <w:lang w:val="es-CO" w:eastAsia="es-MX"/>
          <w14:ligatures w14:val="none"/>
        </w:rPr>
      </w:pPr>
      <w:r w:rsidRPr="00486EB6">
        <w:rPr>
          <w:rFonts w:ascii="Times New Roman" w:eastAsia="Times New Roman" w:hAnsi="Times New Roman" w:cs="Times New Roman"/>
          <w:kern w:val="0"/>
          <w:lang w:val="es-CO" w:eastAsia="es-MX"/>
          <w14:ligatures w14:val="none"/>
        </w:rPr>
        <w:br/>
      </w:r>
    </w:p>
    <w:p w14:paraId="657FCFB8"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b/>
          <w:bCs/>
          <w:color w:val="000000"/>
          <w:kern w:val="0"/>
          <w:lang w:val="es-CO" w:eastAsia="es-MX"/>
          <w14:ligatures w14:val="none"/>
        </w:rPr>
        <w:t>INGRID CASTAÑEDA CEPEDA</w:t>
      </w:r>
    </w:p>
    <w:p w14:paraId="7350AFB7"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Subdirectora de Normativa y Doctrina (A)</w:t>
      </w:r>
    </w:p>
    <w:p w14:paraId="7971F291"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Subdirección de Normativa y Doctrina</w:t>
      </w:r>
    </w:p>
    <w:p w14:paraId="2373A4E1"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Dirección de Gestión Jurídica</w:t>
      </w:r>
    </w:p>
    <w:p w14:paraId="26891D7D" w14:textId="77777777" w:rsidR="00486EB6" w:rsidRPr="00486EB6" w:rsidRDefault="00486EB6" w:rsidP="00486EB6">
      <w:pPr>
        <w:jc w:val="both"/>
        <w:rPr>
          <w:rFonts w:ascii="Times New Roman" w:eastAsia="Times New Roman" w:hAnsi="Times New Roman" w:cs="Times New Roman"/>
          <w:kern w:val="0"/>
          <w:lang w:val="es-CO" w:eastAsia="es-MX"/>
          <w14:ligatures w14:val="none"/>
        </w:rPr>
      </w:pPr>
      <w:r w:rsidRPr="00486EB6">
        <w:rPr>
          <w:rFonts w:ascii="Verdana" w:eastAsia="Times New Roman" w:hAnsi="Verdana" w:cs="Times New Roman"/>
          <w:color w:val="000000"/>
          <w:kern w:val="0"/>
          <w:lang w:val="es-CO" w:eastAsia="es-MX"/>
          <w14:ligatures w14:val="none"/>
        </w:rPr>
        <w:t>www.dian.gov.co</w:t>
      </w:r>
    </w:p>
    <w:p w14:paraId="753CFE67" w14:textId="77777777" w:rsidR="00486EB6" w:rsidRPr="00486EB6" w:rsidRDefault="00486EB6" w:rsidP="00486EB6">
      <w:pPr>
        <w:rPr>
          <w:rFonts w:ascii="Times New Roman" w:eastAsia="Times New Roman" w:hAnsi="Times New Roman" w:cs="Times New Roman"/>
          <w:kern w:val="0"/>
          <w:lang w:val="es-CO" w:eastAsia="es-MX"/>
          <w14:ligatures w14:val="none"/>
        </w:rPr>
      </w:pPr>
    </w:p>
    <w:p w14:paraId="59D1392B"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0CB7"/>
    <w:multiLevelType w:val="multilevel"/>
    <w:tmpl w:val="13E6B1A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501265"/>
    <w:multiLevelType w:val="multilevel"/>
    <w:tmpl w:val="CFAC8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5E1CEB"/>
    <w:multiLevelType w:val="multilevel"/>
    <w:tmpl w:val="24C27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3110A1B"/>
    <w:multiLevelType w:val="multilevel"/>
    <w:tmpl w:val="A300CC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F3D13"/>
    <w:multiLevelType w:val="multilevel"/>
    <w:tmpl w:val="75BC06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EA445A"/>
    <w:multiLevelType w:val="multilevel"/>
    <w:tmpl w:val="C2606D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3DD340D"/>
    <w:multiLevelType w:val="multilevel"/>
    <w:tmpl w:val="081214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D7B747A"/>
    <w:multiLevelType w:val="multilevel"/>
    <w:tmpl w:val="7CA2F1E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A1D2869"/>
    <w:multiLevelType w:val="multilevel"/>
    <w:tmpl w:val="220A45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64512564">
    <w:abstractNumId w:val="1"/>
  </w:num>
  <w:num w:numId="2" w16cid:durableId="1377467002">
    <w:abstractNumId w:val="5"/>
    <w:lvlOverride w:ilvl="0">
      <w:lvl w:ilvl="0">
        <w:numFmt w:val="decimal"/>
        <w:lvlText w:val="%1."/>
        <w:lvlJc w:val="left"/>
      </w:lvl>
    </w:lvlOverride>
  </w:num>
  <w:num w:numId="3" w16cid:durableId="1241409529">
    <w:abstractNumId w:val="4"/>
    <w:lvlOverride w:ilvl="0">
      <w:lvl w:ilvl="0">
        <w:numFmt w:val="decimal"/>
        <w:lvlText w:val="%1."/>
        <w:lvlJc w:val="left"/>
      </w:lvl>
    </w:lvlOverride>
  </w:num>
  <w:num w:numId="4" w16cid:durableId="774179242">
    <w:abstractNumId w:val="6"/>
    <w:lvlOverride w:ilvl="0">
      <w:lvl w:ilvl="0">
        <w:numFmt w:val="decimal"/>
        <w:lvlText w:val="%1."/>
        <w:lvlJc w:val="left"/>
      </w:lvl>
    </w:lvlOverride>
  </w:num>
  <w:num w:numId="5" w16cid:durableId="1303730935">
    <w:abstractNumId w:val="7"/>
    <w:lvlOverride w:ilvl="0">
      <w:lvl w:ilvl="0">
        <w:numFmt w:val="decimal"/>
        <w:lvlText w:val="%1."/>
        <w:lvlJc w:val="left"/>
      </w:lvl>
    </w:lvlOverride>
  </w:num>
  <w:num w:numId="6" w16cid:durableId="484861699">
    <w:abstractNumId w:val="3"/>
    <w:lvlOverride w:ilvl="0">
      <w:lvl w:ilvl="0">
        <w:numFmt w:val="decimal"/>
        <w:lvlText w:val="%1."/>
        <w:lvlJc w:val="left"/>
      </w:lvl>
    </w:lvlOverride>
  </w:num>
  <w:num w:numId="7" w16cid:durableId="1129981633">
    <w:abstractNumId w:val="2"/>
    <w:lvlOverride w:ilvl="0">
      <w:lvl w:ilvl="0">
        <w:numFmt w:val="decimal"/>
        <w:lvlText w:val="%1."/>
        <w:lvlJc w:val="left"/>
      </w:lvl>
    </w:lvlOverride>
  </w:num>
  <w:num w:numId="8" w16cid:durableId="1444616613">
    <w:abstractNumId w:val="0"/>
    <w:lvlOverride w:ilvl="0">
      <w:lvl w:ilvl="0">
        <w:numFmt w:val="decimal"/>
        <w:lvlText w:val="%1."/>
        <w:lvlJc w:val="left"/>
      </w:lvl>
    </w:lvlOverride>
  </w:num>
  <w:num w:numId="9" w16cid:durableId="303584755">
    <w:abstractNumId w:val="8"/>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EB6"/>
    <w:rsid w:val="000B2285"/>
    <w:rsid w:val="00486EB6"/>
    <w:rsid w:val="00537D8F"/>
    <w:rsid w:val="00734DF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3ECCDAB"/>
  <w14:defaultImageDpi w14:val="32767"/>
  <w15:chartTrackingRefBased/>
  <w15:docId w15:val="{AF8F3C96-F63F-BB48-88CB-C0522F83B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86E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86E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86EB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86EB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86EB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86EB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86EB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86EB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86EB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6EB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86EB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86EB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86EB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86EB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86EB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86EB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86EB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86EB6"/>
    <w:rPr>
      <w:rFonts w:eastAsiaTheme="majorEastAsia" w:cstheme="majorBidi"/>
      <w:color w:val="272727" w:themeColor="text1" w:themeTint="D8"/>
    </w:rPr>
  </w:style>
  <w:style w:type="paragraph" w:styleId="Ttulo">
    <w:name w:val="Title"/>
    <w:basedOn w:val="Normal"/>
    <w:next w:val="Normal"/>
    <w:link w:val="TtuloCar"/>
    <w:uiPriority w:val="10"/>
    <w:qFormat/>
    <w:rsid w:val="00486EB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86EB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86EB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86EB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86EB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86EB6"/>
    <w:rPr>
      <w:i/>
      <w:iCs/>
      <w:color w:val="404040" w:themeColor="text1" w:themeTint="BF"/>
    </w:rPr>
  </w:style>
  <w:style w:type="paragraph" w:styleId="Prrafodelista">
    <w:name w:val="List Paragraph"/>
    <w:basedOn w:val="Normal"/>
    <w:uiPriority w:val="34"/>
    <w:qFormat/>
    <w:rsid w:val="00486EB6"/>
    <w:pPr>
      <w:ind w:left="720"/>
      <w:contextualSpacing/>
    </w:pPr>
  </w:style>
  <w:style w:type="character" w:styleId="nfasisintenso">
    <w:name w:val="Intense Emphasis"/>
    <w:basedOn w:val="Fuentedeprrafopredeter"/>
    <w:uiPriority w:val="21"/>
    <w:qFormat/>
    <w:rsid w:val="00486EB6"/>
    <w:rPr>
      <w:i/>
      <w:iCs/>
      <w:color w:val="2F5496" w:themeColor="accent1" w:themeShade="BF"/>
    </w:rPr>
  </w:style>
  <w:style w:type="paragraph" w:styleId="Citadestacada">
    <w:name w:val="Intense Quote"/>
    <w:basedOn w:val="Normal"/>
    <w:next w:val="Normal"/>
    <w:link w:val="CitadestacadaCar"/>
    <w:uiPriority w:val="30"/>
    <w:qFormat/>
    <w:rsid w:val="00486E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86EB6"/>
    <w:rPr>
      <w:i/>
      <w:iCs/>
      <w:color w:val="2F5496" w:themeColor="accent1" w:themeShade="BF"/>
    </w:rPr>
  </w:style>
  <w:style w:type="character" w:styleId="Referenciaintensa">
    <w:name w:val="Intense Reference"/>
    <w:basedOn w:val="Fuentedeprrafopredeter"/>
    <w:uiPriority w:val="32"/>
    <w:qFormat/>
    <w:rsid w:val="00486EB6"/>
    <w:rPr>
      <w:b/>
      <w:bCs/>
      <w:smallCaps/>
      <w:color w:val="2F5496" w:themeColor="accent1" w:themeShade="BF"/>
      <w:spacing w:val="5"/>
    </w:rPr>
  </w:style>
  <w:style w:type="paragraph" w:styleId="NormalWeb">
    <w:name w:val="Normal (Web)"/>
    <w:basedOn w:val="Normal"/>
    <w:uiPriority w:val="99"/>
    <w:semiHidden/>
    <w:unhideWhenUsed/>
    <w:rsid w:val="00486EB6"/>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836</Words>
  <Characters>4603</Characters>
  <Application>Microsoft Office Word</Application>
  <DocSecurity>0</DocSecurity>
  <Lines>38</Lines>
  <Paragraphs>10</Paragraphs>
  <ScaleCrop>false</ScaleCrop>
  <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2026-04-21T16:41:00Z</dcterms:created>
  <dcterms:modified xsi:type="dcterms:W3CDTF">2026-04-21T16:43:00Z</dcterms:modified>
</cp:coreProperties>
</file>