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81781"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b/>
          <w:bCs/>
          <w:color w:val="000000"/>
          <w:kern w:val="0"/>
          <w:lang w:val="es-CO" w:eastAsia="es-MX"/>
          <w14:ligatures w14:val="none"/>
        </w:rPr>
        <w:t>CONCEPTO 223 DEL 17 DE FEBRERO DE 2026</w:t>
      </w:r>
    </w:p>
    <w:p w14:paraId="292A99AA"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b/>
          <w:bCs/>
          <w:color w:val="000000"/>
          <w:kern w:val="0"/>
          <w:lang w:val="es-CO" w:eastAsia="es-MX"/>
          <w14:ligatures w14:val="none"/>
        </w:rPr>
        <w:t>DIRECCIÓN DE IMPUESTOS Y ADUANAS NACIONALES</w:t>
      </w:r>
    </w:p>
    <w:p w14:paraId="6255D484" w14:textId="77777777" w:rsidR="004142E0" w:rsidRPr="004142E0" w:rsidRDefault="004142E0" w:rsidP="004142E0">
      <w:pPr>
        <w:rPr>
          <w:rFonts w:ascii="Times New Roman" w:eastAsia="Times New Roman" w:hAnsi="Times New Roman" w:cs="Times New Roman"/>
          <w:kern w:val="0"/>
          <w:lang w:val="es-CO" w:eastAsia="es-MX"/>
          <w14:ligatures w14:val="none"/>
        </w:rPr>
      </w:pPr>
    </w:p>
    <w:p w14:paraId="11C6A9EB"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Bogotá D.C.,</w:t>
      </w:r>
    </w:p>
    <w:p w14:paraId="0D71474F" w14:textId="77777777" w:rsidR="004142E0" w:rsidRPr="004142E0" w:rsidRDefault="004142E0" w:rsidP="004142E0">
      <w:pPr>
        <w:rPr>
          <w:rFonts w:ascii="Times New Roman" w:eastAsia="Times New Roman" w:hAnsi="Times New Roman" w:cs="Times New Roman"/>
          <w:kern w:val="0"/>
          <w:lang w:val="es-CO" w:eastAsia="es-MX"/>
          <w14:ligatures w14:val="none"/>
        </w:rPr>
      </w:pPr>
    </w:p>
    <w:p w14:paraId="4DC9583F"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b/>
          <w:bCs/>
          <w:color w:val="000000"/>
          <w:kern w:val="0"/>
          <w:lang w:val="es-CO" w:eastAsia="es-MX"/>
          <w14:ligatures w14:val="none"/>
        </w:rPr>
        <w:t>Tema:</w:t>
      </w:r>
      <w:r w:rsidRPr="004142E0">
        <w:rPr>
          <w:rFonts w:ascii="Verdana" w:eastAsia="Times New Roman" w:hAnsi="Verdana" w:cs="Times New Roman"/>
          <w:b/>
          <w:bCs/>
          <w:color w:val="000000"/>
          <w:kern w:val="0"/>
          <w:lang w:val="es-CO" w:eastAsia="es-MX"/>
          <w14:ligatures w14:val="none"/>
        </w:rPr>
        <w:tab/>
      </w:r>
      <w:r w:rsidRPr="004142E0">
        <w:rPr>
          <w:rFonts w:ascii="Verdana" w:eastAsia="Times New Roman" w:hAnsi="Verdana" w:cs="Times New Roman"/>
          <w:b/>
          <w:bCs/>
          <w:color w:val="000000"/>
          <w:kern w:val="0"/>
          <w:lang w:val="es-CO" w:eastAsia="es-MX"/>
          <w14:ligatures w14:val="none"/>
        </w:rPr>
        <w:tab/>
      </w:r>
      <w:r w:rsidRPr="004142E0">
        <w:rPr>
          <w:rFonts w:ascii="Verdana" w:eastAsia="Times New Roman" w:hAnsi="Verdana" w:cs="Times New Roman"/>
          <w:b/>
          <w:bCs/>
          <w:color w:val="000000"/>
          <w:kern w:val="0"/>
          <w:lang w:val="es-CO" w:eastAsia="es-MX"/>
          <w14:ligatures w14:val="none"/>
        </w:rPr>
        <w:tab/>
      </w:r>
      <w:r w:rsidRPr="004142E0">
        <w:rPr>
          <w:rFonts w:ascii="Verdana" w:eastAsia="Times New Roman" w:hAnsi="Verdana" w:cs="Times New Roman"/>
          <w:color w:val="000000"/>
          <w:kern w:val="0"/>
          <w:lang w:val="es-CO" w:eastAsia="es-MX"/>
          <w14:ligatures w14:val="none"/>
        </w:rPr>
        <w:t>Impuesto sobre la renta y complementarios.</w:t>
      </w:r>
    </w:p>
    <w:p w14:paraId="404B4BB8"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b/>
          <w:bCs/>
          <w:color w:val="000000"/>
          <w:kern w:val="0"/>
          <w:lang w:val="es-CO" w:eastAsia="es-MX"/>
          <w14:ligatures w14:val="none"/>
        </w:rPr>
        <w:t>Descriptores:</w:t>
      </w:r>
      <w:r w:rsidRPr="004142E0">
        <w:rPr>
          <w:rFonts w:ascii="Verdana" w:eastAsia="Times New Roman" w:hAnsi="Verdana" w:cs="Times New Roman"/>
          <w:b/>
          <w:bCs/>
          <w:color w:val="000000"/>
          <w:kern w:val="0"/>
          <w:lang w:val="es-CO" w:eastAsia="es-MX"/>
          <w14:ligatures w14:val="none"/>
        </w:rPr>
        <w:tab/>
      </w:r>
      <w:r w:rsidRPr="004142E0">
        <w:rPr>
          <w:rFonts w:ascii="Verdana" w:eastAsia="Times New Roman" w:hAnsi="Verdana" w:cs="Times New Roman"/>
          <w:b/>
          <w:bCs/>
          <w:color w:val="000000"/>
          <w:kern w:val="0"/>
          <w:lang w:val="es-CO" w:eastAsia="es-MX"/>
          <w14:ligatures w14:val="none"/>
        </w:rPr>
        <w:tab/>
      </w:r>
      <w:r w:rsidRPr="004142E0">
        <w:rPr>
          <w:rFonts w:ascii="Verdana" w:eastAsia="Times New Roman" w:hAnsi="Verdana" w:cs="Times New Roman"/>
          <w:color w:val="000000"/>
          <w:kern w:val="0"/>
          <w:lang w:val="es-CO" w:eastAsia="es-MX"/>
          <w14:ligatures w14:val="none"/>
        </w:rPr>
        <w:t>Tributación de los Establecimientos permanentes.</w:t>
      </w:r>
    </w:p>
    <w:p w14:paraId="23A49BBA" w14:textId="77777777" w:rsidR="004142E0" w:rsidRPr="004142E0" w:rsidRDefault="004142E0" w:rsidP="004142E0">
      <w:pPr>
        <w:ind w:left="2127" w:firstLine="709"/>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Atribución de rentas y ganancias.</w:t>
      </w:r>
    </w:p>
    <w:p w14:paraId="7CF6E5CA" w14:textId="77777777" w:rsidR="004142E0" w:rsidRPr="004142E0" w:rsidRDefault="004142E0" w:rsidP="004142E0">
      <w:pPr>
        <w:ind w:left="2127" w:firstLine="709"/>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Contabilidad separada.</w:t>
      </w:r>
    </w:p>
    <w:p w14:paraId="26DA7191" w14:textId="77777777" w:rsidR="004142E0" w:rsidRPr="004142E0" w:rsidRDefault="004142E0" w:rsidP="004142E0">
      <w:pPr>
        <w:ind w:left="2832" w:hanging="2832"/>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b/>
          <w:bCs/>
          <w:color w:val="000000"/>
          <w:kern w:val="0"/>
          <w:lang w:val="es-CO" w:eastAsia="es-MX"/>
          <w14:ligatures w14:val="none"/>
        </w:rPr>
        <w:t>Fuentes formales:</w:t>
      </w:r>
      <w:r w:rsidRPr="004142E0">
        <w:rPr>
          <w:rFonts w:ascii="Verdana" w:eastAsia="Times New Roman" w:hAnsi="Verdana" w:cs="Times New Roman"/>
          <w:b/>
          <w:bCs/>
          <w:color w:val="000000"/>
          <w:kern w:val="0"/>
          <w:lang w:val="es-CO" w:eastAsia="es-MX"/>
          <w14:ligatures w14:val="none"/>
        </w:rPr>
        <w:tab/>
      </w:r>
      <w:r w:rsidRPr="004142E0">
        <w:rPr>
          <w:rFonts w:ascii="Verdana" w:eastAsia="Times New Roman" w:hAnsi="Verdana" w:cs="Times New Roman"/>
          <w:color w:val="000000"/>
          <w:kern w:val="0"/>
          <w:lang w:val="es-CO" w:eastAsia="es-MX"/>
          <w14:ligatures w14:val="none"/>
        </w:rPr>
        <w:t>Artículos 20-1, 20-2, 107, 743 y 771-2 del Estatuto Tributario</w:t>
      </w:r>
    </w:p>
    <w:p w14:paraId="254392D5" w14:textId="77777777" w:rsidR="004142E0" w:rsidRPr="004142E0" w:rsidRDefault="004142E0" w:rsidP="004142E0">
      <w:pPr>
        <w:ind w:left="2835" w:firstLine="1"/>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Artículos 1.2.1.1.5, 1.2.1.14.2, 1.2.1.14.3, 1.2.1.14.4, 1.2.1.14.5 del Decreto 1625 de 2016</w:t>
      </w:r>
    </w:p>
    <w:p w14:paraId="2C64AFF9" w14:textId="77777777" w:rsidR="004142E0" w:rsidRPr="004142E0" w:rsidRDefault="004142E0" w:rsidP="004142E0">
      <w:pPr>
        <w:ind w:left="2126" w:firstLine="709"/>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Artículo 1 de la Resolución DIAN 000227 de 2025.</w:t>
      </w:r>
    </w:p>
    <w:p w14:paraId="2DBFBEF2"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300D1B70" w14:textId="77777777" w:rsidR="004142E0" w:rsidRPr="004142E0" w:rsidRDefault="004142E0" w:rsidP="004142E0">
      <w:pPr>
        <w:numPr>
          <w:ilvl w:val="0"/>
          <w:numId w:val="1"/>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01E26325" w14:textId="77777777" w:rsidR="004142E0" w:rsidRPr="004142E0" w:rsidRDefault="004142E0" w:rsidP="004142E0">
      <w:pPr>
        <w:rPr>
          <w:rFonts w:ascii="Times New Roman" w:eastAsia="Times New Roman" w:hAnsi="Times New Roman" w:cs="Times New Roman"/>
          <w:kern w:val="0"/>
          <w:lang w:val="es-CO" w:eastAsia="es-MX"/>
          <w14:ligatures w14:val="none"/>
        </w:rPr>
      </w:pPr>
    </w:p>
    <w:p w14:paraId="6502328B"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b/>
          <w:bCs/>
          <w:color w:val="000000"/>
          <w:kern w:val="0"/>
          <w:lang w:val="es-CO" w:eastAsia="es-MX"/>
          <w14:ligatures w14:val="none"/>
        </w:rPr>
        <w:t>PROBLEMA JURÍDICO.</w:t>
      </w:r>
    </w:p>
    <w:p w14:paraId="2059EFDE"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3553DB4F" w14:textId="77777777" w:rsidR="004142E0" w:rsidRPr="004142E0" w:rsidRDefault="004142E0" w:rsidP="004142E0">
      <w:pPr>
        <w:numPr>
          <w:ilvl w:val="0"/>
          <w:numId w:val="2"/>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Para efectos de la tributación de los establecimientos permanentes en Colombia, ¿la procedencia de los gastos deducibles se soporta exclusivamente en el estudio de atribución de rentas, lo cual exige llevar una contabilidad separada que discrimine claramente los ingresos, costos y gastos atribuibles al establecimiento permanente?</w:t>
      </w:r>
    </w:p>
    <w:p w14:paraId="6D11405C" w14:textId="77777777" w:rsidR="004142E0" w:rsidRPr="004142E0" w:rsidRDefault="004142E0" w:rsidP="004142E0">
      <w:pPr>
        <w:rPr>
          <w:rFonts w:ascii="Times New Roman" w:eastAsia="Times New Roman" w:hAnsi="Times New Roman" w:cs="Times New Roman"/>
          <w:kern w:val="0"/>
          <w:lang w:val="es-CO" w:eastAsia="es-MX"/>
          <w14:ligatures w14:val="none"/>
        </w:rPr>
      </w:pPr>
    </w:p>
    <w:p w14:paraId="49DF0162"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b/>
          <w:bCs/>
          <w:color w:val="000000"/>
          <w:kern w:val="0"/>
          <w:lang w:val="es-CO" w:eastAsia="es-MX"/>
          <w14:ligatures w14:val="none"/>
        </w:rPr>
        <w:t>TESIS JURÍDICA</w:t>
      </w:r>
    </w:p>
    <w:p w14:paraId="0B44DF1A"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6C2F9B65" w14:textId="77777777" w:rsidR="004142E0" w:rsidRPr="004142E0" w:rsidRDefault="004142E0" w:rsidP="004142E0">
      <w:pPr>
        <w:numPr>
          <w:ilvl w:val="0"/>
          <w:numId w:val="3"/>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No. La procedencia de los costos y gastos deducibles atribuibles a un establecimiento permanente (EP) en Colombia no se acredita exclusivamente con el estudio de atribución de rentas ni con la contabilidad separada llevada para fines fiscales, sino que exige el cumplimiento de los requisitos sustanciales y formales previstos en el Estatuto Tributario (E.T.), en particular los relativos a causalidad, necesidad, proporcionalidad (Art. 107 E.T.) y el idóneo soporte documental (Arts. 743 y 771-1 E.T).</w:t>
      </w:r>
    </w:p>
    <w:p w14:paraId="79695F4F" w14:textId="77777777" w:rsidR="004142E0" w:rsidRPr="004142E0" w:rsidRDefault="004142E0" w:rsidP="004142E0">
      <w:pPr>
        <w:rPr>
          <w:rFonts w:ascii="Times New Roman" w:eastAsia="Times New Roman" w:hAnsi="Times New Roman" w:cs="Times New Roman"/>
          <w:kern w:val="0"/>
          <w:lang w:val="es-CO" w:eastAsia="es-MX"/>
          <w14:ligatures w14:val="none"/>
        </w:rPr>
      </w:pPr>
    </w:p>
    <w:p w14:paraId="5A7A5002"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b/>
          <w:bCs/>
          <w:color w:val="000000"/>
          <w:kern w:val="0"/>
          <w:lang w:val="es-CO" w:eastAsia="es-MX"/>
          <w14:ligatures w14:val="none"/>
        </w:rPr>
        <w:lastRenderedPageBreak/>
        <w:t>FUNDAMENTACIÓN</w:t>
      </w:r>
    </w:p>
    <w:p w14:paraId="215C55BD"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6E51F48C" w14:textId="77777777" w:rsidR="004142E0" w:rsidRPr="004142E0" w:rsidRDefault="004142E0" w:rsidP="004142E0">
      <w:pPr>
        <w:numPr>
          <w:ilvl w:val="0"/>
          <w:numId w:val="4"/>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El articulo 20-1 del E.T. dentro de la definición de EP incluye el lugar fijo de negocios ubicado en el país, a través del cual una persona natural sin residencia en Colombia o una empresa extranjera —sociedad o cualquier otra entidad extranjera— realiza total o parcialmente su actividad.</w:t>
      </w:r>
    </w:p>
    <w:p w14:paraId="591F843C"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2920E8DC" w14:textId="77777777" w:rsidR="004142E0" w:rsidRPr="004142E0" w:rsidRDefault="004142E0" w:rsidP="004142E0">
      <w:pPr>
        <w:numPr>
          <w:ilvl w:val="0"/>
          <w:numId w:val="5"/>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Conforme al artículo 1.2.1.1.5 del Decreto 1625 de 2016, las personas naturales o jurídicas que posean un EP son contribuyentes del impuesto sobre la renta y complementarios respecto de las rentas y ganancias ocasionales de fuente nacional que le sean atribuibles en Colombia. Para estos efectos, la determinación de dichas rentas y ganancias se realiza con base en un criterio de atribución.</w:t>
      </w:r>
    </w:p>
    <w:p w14:paraId="6E920B72"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73CE1836" w14:textId="77777777" w:rsidR="004142E0" w:rsidRPr="004142E0" w:rsidRDefault="004142E0" w:rsidP="004142E0">
      <w:pPr>
        <w:numPr>
          <w:ilvl w:val="0"/>
          <w:numId w:val="6"/>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Sobre el particular, en el ámbito de la fiscalidad internacional, el concepto de empresa funcionalmente separada es el pilar fundamental sobre el que se asienta la atribución de beneficios a un EP. Esta perspectiva se encuentra alineada con el denominado «enfoque autorizado de la OCDE» según el cual los beneficios atribuibles a un establecimiento permanente son aquellos que este habría obtenido en condiciones de plena competencia si fuese una empresa jurídicamente distinta e independiente, que desempeñara las mismas o similares funciones en las mismas o similares condiciones.</w:t>
      </w:r>
    </w:p>
    <w:p w14:paraId="4483BCF0"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0CF41DA1" w14:textId="77777777" w:rsidR="004142E0" w:rsidRDefault="004142E0" w:rsidP="004142E0">
      <w:pPr>
        <w:numPr>
          <w:ilvl w:val="0"/>
          <w:numId w:val="8"/>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En ese sentido, el enfoque autorizado de la OCDE exige la realización de un análisis en dos etapas:</w:t>
      </w:r>
    </w:p>
    <w:p w14:paraId="7EB80CCD" w14:textId="77777777" w:rsidR="00CC1B93" w:rsidRPr="004142E0" w:rsidRDefault="00CC1B93" w:rsidP="00CC1B93">
      <w:pPr>
        <w:jc w:val="both"/>
        <w:textAlignment w:val="baseline"/>
        <w:rPr>
          <w:rFonts w:ascii="Verdana" w:eastAsia="Times New Roman" w:hAnsi="Verdana" w:cs="Times New Roman"/>
          <w:color w:val="000000"/>
          <w:kern w:val="0"/>
          <w:lang w:val="es-CO" w:eastAsia="es-MX"/>
          <w14:ligatures w14:val="none"/>
        </w:rPr>
      </w:pPr>
    </w:p>
    <w:p w14:paraId="0C21662F" w14:textId="77777777" w:rsidR="004142E0" w:rsidRPr="004142E0" w:rsidRDefault="004142E0" w:rsidP="004142E0">
      <w:pPr>
        <w:numPr>
          <w:ilvl w:val="1"/>
          <w:numId w:val="7"/>
        </w:numPr>
        <w:ind w:left="720"/>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 xml:space="preserve">En una primera etapa, se efectúa un </w:t>
      </w:r>
      <w:r w:rsidRPr="004142E0">
        <w:rPr>
          <w:rFonts w:ascii="Verdana" w:eastAsia="Times New Roman" w:hAnsi="Verdana" w:cs="Times New Roman"/>
          <w:b/>
          <w:bCs/>
          <w:color w:val="000000"/>
          <w:kern w:val="0"/>
          <w:lang w:val="es-CO" w:eastAsia="es-MX"/>
          <w14:ligatures w14:val="none"/>
        </w:rPr>
        <w:t>análisis funcional y fáctico</w:t>
      </w:r>
      <w:r w:rsidRPr="004142E0">
        <w:rPr>
          <w:rFonts w:ascii="Verdana" w:eastAsia="Times New Roman" w:hAnsi="Verdana" w:cs="Times New Roman"/>
          <w:color w:val="000000"/>
          <w:kern w:val="0"/>
          <w:lang w:val="es-CO" w:eastAsia="es-MX"/>
          <w14:ligatures w14:val="none"/>
        </w:rPr>
        <w:t>, con el propósito de hipotetizar al establecimiento permanente y al resto de la empresa como si se tratara de entidades separadas que desarrollan actividades comparables;</w:t>
      </w:r>
    </w:p>
    <w:p w14:paraId="7859D17E"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28C6C65C" w14:textId="77777777" w:rsidR="004142E0" w:rsidRPr="004142E0" w:rsidRDefault="004142E0" w:rsidP="004142E0">
      <w:pPr>
        <w:numPr>
          <w:ilvl w:val="0"/>
          <w:numId w:val="9"/>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En una segunda etapa, se analizan las operaciones internas (</w:t>
      </w:r>
      <w:proofErr w:type="spellStart"/>
      <w:r w:rsidRPr="004142E0">
        <w:rPr>
          <w:rFonts w:ascii="Verdana" w:eastAsia="Times New Roman" w:hAnsi="Verdana" w:cs="Times New Roman"/>
          <w:color w:val="000000"/>
          <w:kern w:val="0"/>
          <w:lang w:val="es-CO" w:eastAsia="es-MX"/>
          <w14:ligatures w14:val="none"/>
        </w:rPr>
        <w:t>dealings</w:t>
      </w:r>
      <w:proofErr w:type="spellEnd"/>
      <w:r w:rsidRPr="004142E0">
        <w:rPr>
          <w:rFonts w:ascii="Verdana" w:eastAsia="Times New Roman" w:hAnsi="Verdana" w:cs="Times New Roman"/>
          <w:color w:val="000000"/>
          <w:kern w:val="0"/>
          <w:lang w:val="es-CO" w:eastAsia="es-MX"/>
          <w14:ligatures w14:val="none"/>
        </w:rPr>
        <w:t>) que se hubieran celebrado entre ambos de haber sido partes independientes conforme al principio de plena competencia, atendiendo las funciones desempeñadas, los activos utilizados y los riesgos asumidos por el EP.</w:t>
      </w:r>
    </w:p>
    <w:p w14:paraId="6CB48D5D"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65A00FBC" w14:textId="77777777" w:rsidR="004142E0" w:rsidRPr="004142E0" w:rsidRDefault="004142E0" w:rsidP="004142E0">
      <w:pPr>
        <w:numPr>
          <w:ilvl w:val="0"/>
          <w:numId w:val="10"/>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lastRenderedPageBreak/>
        <w:t xml:space="preserve">De esta manera, cada una de las etapas descritas tiene por finalidad que el EP, hipotetizado bajo la ficción de una empresa funcionalmente distinta, se asimile a una empresa separada que desempeña funciones, utiliza o es propietaria económica de activos, asume riesgos y mantiene </w:t>
      </w:r>
      <w:proofErr w:type="spellStart"/>
      <w:r w:rsidRPr="004142E0">
        <w:rPr>
          <w:rFonts w:ascii="Verdana" w:eastAsia="Times New Roman" w:hAnsi="Verdana" w:cs="Times New Roman"/>
          <w:color w:val="000000"/>
          <w:kern w:val="0"/>
          <w:lang w:val="es-CO" w:eastAsia="es-MX"/>
          <w14:ligatures w14:val="none"/>
        </w:rPr>
        <w:t>dealings</w:t>
      </w:r>
      <w:proofErr w:type="spellEnd"/>
      <w:r w:rsidRPr="004142E0">
        <w:rPr>
          <w:rFonts w:ascii="Verdana" w:eastAsia="Times New Roman" w:hAnsi="Verdana" w:cs="Times New Roman"/>
          <w:color w:val="000000"/>
          <w:kern w:val="0"/>
          <w:lang w:val="es-CO" w:eastAsia="es-MX"/>
          <w14:ligatures w14:val="none"/>
        </w:rPr>
        <w:t xml:space="preserve"> internos, así como transacciones con empresas vinculadas y no vinculadas, lo que permite determinar los </w:t>
      </w:r>
      <w:r w:rsidRPr="004142E0">
        <w:rPr>
          <w:rFonts w:ascii="Verdana" w:eastAsia="Times New Roman" w:hAnsi="Verdana" w:cs="Times New Roman"/>
          <w:b/>
          <w:bCs/>
          <w:color w:val="000000"/>
          <w:kern w:val="0"/>
          <w:lang w:val="es-CO" w:eastAsia="es-MX"/>
          <w14:ligatures w14:val="none"/>
        </w:rPr>
        <w:t>beneficios o pérdidas atribuibles al establecimiento permanente</w:t>
      </w:r>
      <w:r w:rsidRPr="004142E0">
        <w:rPr>
          <w:rFonts w:ascii="Verdana" w:eastAsia="Times New Roman" w:hAnsi="Verdana" w:cs="Times New Roman"/>
          <w:color w:val="000000"/>
          <w:kern w:val="0"/>
          <w:lang w:val="es-CO" w:eastAsia="es-MX"/>
          <w14:ligatures w14:val="none"/>
        </w:rPr>
        <w:t xml:space="preserve"> derivados del conjunto de sus actividades.</w:t>
      </w:r>
    </w:p>
    <w:p w14:paraId="48888F2A"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39E91F5E" w14:textId="77777777" w:rsidR="004142E0" w:rsidRPr="004142E0" w:rsidRDefault="004142E0" w:rsidP="004142E0">
      <w:pPr>
        <w:numPr>
          <w:ilvl w:val="0"/>
          <w:numId w:val="11"/>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 xml:space="preserve">En este contexto, el artículo 1.2.1.14.2 del Decreto 1625 de 2016 dispone que, para efectos de la determinación de los activos, pasivos, capital, ingresos, costos y gastos deducibles atribuibles al EP, deberá elaborarse un estudio conforme al principio de plena competencia, </w:t>
      </w:r>
      <w:r w:rsidRPr="004142E0">
        <w:rPr>
          <w:rFonts w:ascii="Verdana" w:eastAsia="Times New Roman" w:hAnsi="Verdana" w:cs="Times New Roman"/>
          <w:i/>
          <w:iCs/>
          <w:color w:val="000000"/>
          <w:kern w:val="0"/>
          <w:lang w:val="es-CO" w:eastAsia="es-MX"/>
          <w14:ligatures w14:val="none"/>
        </w:rPr>
        <w:t>«en el cual se tengan en cuenta las funciones, activos, personal y riesgos asumidos por la empresa a través del establecimiento permanente o sucursal y de las otras partes de la empresa de la que el establecimiento permanente o sucursal forma parte, en la obtención de rentas y de ganancias ocasionales»</w:t>
      </w:r>
      <w:r w:rsidRPr="004142E0">
        <w:rPr>
          <w:rFonts w:ascii="Verdana" w:eastAsia="Times New Roman" w:hAnsi="Verdana" w:cs="Times New Roman"/>
          <w:color w:val="000000"/>
          <w:kern w:val="0"/>
          <w:lang w:val="es-CO" w:eastAsia="es-MX"/>
          <w14:ligatures w14:val="none"/>
        </w:rPr>
        <w:t xml:space="preserve">. Dicho estudio, en línea con el enfoque autorizado de la OCDE, consiste en un análisis </w:t>
      </w:r>
      <w:r w:rsidRPr="004142E0">
        <w:rPr>
          <w:rFonts w:ascii="Verdana" w:eastAsia="Times New Roman" w:hAnsi="Verdana" w:cs="Times New Roman"/>
          <w:b/>
          <w:bCs/>
          <w:color w:val="000000"/>
          <w:kern w:val="0"/>
          <w:lang w:val="es-CO" w:eastAsia="es-MX"/>
          <w14:ligatures w14:val="none"/>
        </w:rPr>
        <w:t>funcional y fáctico</w:t>
      </w:r>
      <w:r w:rsidRPr="004142E0">
        <w:rPr>
          <w:rFonts w:ascii="Verdana" w:eastAsia="Times New Roman" w:hAnsi="Verdana" w:cs="Times New Roman"/>
          <w:color w:val="000000"/>
          <w:kern w:val="0"/>
          <w:lang w:val="es-CO" w:eastAsia="es-MX"/>
          <w14:ligatures w14:val="none"/>
        </w:rPr>
        <w:t xml:space="preserve"> que debe reunir los requisitos allí establecidos.</w:t>
      </w:r>
    </w:p>
    <w:p w14:paraId="3F651C36"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24F80CE6" w14:textId="77777777" w:rsidR="004142E0" w:rsidRPr="004142E0" w:rsidRDefault="004142E0" w:rsidP="004142E0">
      <w:pPr>
        <w:numPr>
          <w:ilvl w:val="0"/>
          <w:numId w:val="12"/>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En ese orden de ideas, de conformidad con el artículo 20-2 del ET., y en armonía con el enfoque autorizado de la OCDE, el estudio de atribución constituye una herramienta indispensable para la correcta y justa cuantificación de la carga impositiva que una persona natural no residente o una empresa extranjera debe soportar en Colombia a través de un EP, en la medida en que permite identificar y cuantificar los ingresos, costos y gastos atribuibles a dicho establecimiento, razón por la cual su elaboración debe corresponder al desarrollo continuo de las operaciones realizadas durante el período gravable.</w:t>
      </w:r>
    </w:p>
    <w:p w14:paraId="5B139FC1"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1AE4A4E7" w14:textId="77777777" w:rsidR="004142E0" w:rsidRPr="004142E0" w:rsidRDefault="004142E0" w:rsidP="004142E0">
      <w:pPr>
        <w:numPr>
          <w:ilvl w:val="0"/>
          <w:numId w:val="13"/>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No obstante, dicho estudio cumple una función eminentemente metodológica y cuantificadora, por lo que no sustituye ni constituye, por sí mismo, el único soporte fiscal documental idóneo de los costos y gastos cuya deducción se pretende.</w:t>
      </w:r>
    </w:p>
    <w:p w14:paraId="5096FA13"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4B0481AB" w14:textId="77777777" w:rsidR="004142E0" w:rsidRPr="004142E0" w:rsidRDefault="004142E0" w:rsidP="004142E0">
      <w:pPr>
        <w:numPr>
          <w:ilvl w:val="0"/>
          <w:numId w:val="14"/>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 xml:space="preserve">Por ello, el artículo 1.2.1.14.3 del Decreto 1625 de 2016 dispone que, para efectos exclusivamente fiscales y con el fin de efectuar la atribución de rentas, las entidades extranjeras que cuenten con un EP en Colombia deberán llevar una contabilidad separada, a la cual le resultan aplicables las normas de realización de ingresos, costos y </w:t>
      </w:r>
      <w:r w:rsidRPr="004142E0">
        <w:rPr>
          <w:rFonts w:ascii="Verdana" w:eastAsia="Times New Roman" w:hAnsi="Verdana" w:cs="Times New Roman"/>
          <w:b/>
          <w:bCs/>
          <w:color w:val="000000"/>
          <w:kern w:val="0"/>
          <w:lang w:val="es-CO" w:eastAsia="es-MX"/>
          <w14:ligatures w14:val="none"/>
        </w:rPr>
        <w:t>deducciones</w:t>
      </w:r>
      <w:r w:rsidRPr="004142E0">
        <w:rPr>
          <w:rFonts w:ascii="Verdana" w:eastAsia="Times New Roman" w:hAnsi="Verdana" w:cs="Times New Roman"/>
          <w:color w:val="000000"/>
          <w:kern w:val="0"/>
          <w:lang w:val="es-CO" w:eastAsia="es-MX"/>
          <w14:ligatures w14:val="none"/>
        </w:rPr>
        <w:t xml:space="preserve"> </w:t>
      </w:r>
      <w:r w:rsidRPr="004142E0">
        <w:rPr>
          <w:rFonts w:ascii="Verdana" w:eastAsia="Times New Roman" w:hAnsi="Verdana" w:cs="Times New Roman"/>
          <w:color w:val="000000"/>
          <w:kern w:val="0"/>
          <w:lang w:val="es-CO" w:eastAsia="es-MX"/>
          <w14:ligatures w14:val="none"/>
        </w:rPr>
        <w:lastRenderedPageBreak/>
        <w:t xml:space="preserve">previstas en el E.T. En tal sentido, dicha contabilidad debe encontrarse debidamente soportada tanto en el estudio de atribución como en </w:t>
      </w:r>
      <w:r w:rsidRPr="004142E0">
        <w:rPr>
          <w:rFonts w:ascii="Verdana" w:eastAsia="Times New Roman" w:hAnsi="Verdana" w:cs="Times New Roman"/>
          <w:i/>
          <w:iCs/>
          <w:color w:val="000000"/>
          <w:kern w:val="0"/>
          <w:u w:val="single"/>
          <w:lang w:val="es-CO" w:eastAsia="es-MX"/>
          <w14:ligatures w14:val="none"/>
        </w:rPr>
        <w:t>«documentos que sirvan de soporte externo de las operaciones, actos y hechos registrados en la misma»</w:t>
      </w:r>
      <w:r w:rsidRPr="004142E0">
        <w:rPr>
          <w:rFonts w:ascii="Verdana" w:eastAsia="Times New Roman" w:hAnsi="Verdana" w:cs="Times New Roman"/>
          <w:color w:val="000000"/>
          <w:kern w:val="0"/>
          <w:lang w:val="es-CO" w:eastAsia="es-MX"/>
          <w14:ligatures w14:val="none"/>
        </w:rPr>
        <w:t>.</w:t>
      </w:r>
    </w:p>
    <w:p w14:paraId="06EF6400"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28DC168A" w14:textId="77777777" w:rsidR="004142E0" w:rsidRDefault="004142E0" w:rsidP="004142E0">
      <w:pPr>
        <w:numPr>
          <w:ilvl w:val="0"/>
          <w:numId w:val="15"/>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 xml:space="preserve">Además, en operaciones internas, el parágrafo 2 del artículo en comento, permite que se soporten en documentos </w:t>
      </w:r>
      <w:r w:rsidRPr="004142E0">
        <w:rPr>
          <w:rFonts w:ascii="Verdana" w:eastAsia="Times New Roman" w:hAnsi="Verdana" w:cs="Times New Roman"/>
          <w:i/>
          <w:iCs/>
          <w:color w:val="000000"/>
          <w:kern w:val="0"/>
          <w:lang w:val="es-CO" w:eastAsia="es-MX"/>
          <w14:ligatures w14:val="none"/>
        </w:rPr>
        <w:t>«iguales o similares a los que usualmente habría en los casos de operaciones realizadas entre partes jurídicamente diferentes.»</w:t>
      </w:r>
      <w:r w:rsidRPr="004142E0">
        <w:rPr>
          <w:rFonts w:ascii="Verdana" w:eastAsia="Times New Roman" w:hAnsi="Verdana" w:cs="Times New Roman"/>
          <w:color w:val="000000"/>
          <w:kern w:val="0"/>
          <w:lang w:val="es-CO" w:eastAsia="es-MX"/>
          <w14:ligatures w14:val="none"/>
        </w:rPr>
        <w:t>. Dichos documentos no sustituyen el estudio de atribución, sino que deben ser coherentes con este y reflejar la realidad económica de las operaciones atribuidas al EP.</w:t>
      </w:r>
    </w:p>
    <w:p w14:paraId="4B73BA0F" w14:textId="77777777" w:rsidR="00CC1B93" w:rsidRPr="004142E0" w:rsidRDefault="00CC1B93" w:rsidP="00CC1B93">
      <w:pPr>
        <w:jc w:val="both"/>
        <w:textAlignment w:val="baseline"/>
        <w:rPr>
          <w:rFonts w:ascii="Verdana" w:eastAsia="Times New Roman" w:hAnsi="Verdana" w:cs="Times New Roman"/>
          <w:color w:val="000000"/>
          <w:kern w:val="0"/>
          <w:lang w:val="es-CO" w:eastAsia="es-MX"/>
          <w14:ligatures w14:val="none"/>
        </w:rPr>
      </w:pPr>
    </w:p>
    <w:p w14:paraId="1E596B00" w14:textId="77777777" w:rsidR="004142E0" w:rsidRPr="004142E0" w:rsidRDefault="004142E0" w:rsidP="004142E0">
      <w:pPr>
        <w:numPr>
          <w:ilvl w:val="0"/>
          <w:numId w:val="16"/>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 xml:space="preserve">Por su parte, las personas naturales sin residencia en Colombia con EP, según el artículo 1.2.1.14.4 del Decreto 1625 de 2016, deberán llevar un registro auxiliar en el que se consignen todas las operaciones que le sean atribuibles y, con base en este, elaborar al cierre del período gravable un documento auxiliar equivalente a un estado de resultados en el cual se consigne el total de las operaciones del establecimiento permanente. Dicho registro auxiliar </w:t>
      </w:r>
      <w:r w:rsidRPr="004142E0">
        <w:rPr>
          <w:rFonts w:ascii="Verdana" w:eastAsia="Times New Roman" w:hAnsi="Verdana" w:cs="Times New Roman"/>
          <w:i/>
          <w:iCs/>
          <w:color w:val="000000"/>
          <w:kern w:val="0"/>
          <w:lang w:val="es-CO" w:eastAsia="es-MX"/>
          <w14:ligatures w14:val="none"/>
        </w:rPr>
        <w:t>«comporta la conservación de todo soporte externo o de aquellos que deban elaborarse en ausencia de soportes externos»</w:t>
      </w:r>
      <w:r w:rsidRPr="004142E0">
        <w:rPr>
          <w:rFonts w:ascii="Verdana" w:eastAsia="Times New Roman" w:hAnsi="Verdana" w:cs="Times New Roman"/>
          <w:color w:val="000000"/>
          <w:kern w:val="0"/>
          <w:lang w:val="es-CO" w:eastAsia="es-MX"/>
          <w14:ligatures w14:val="none"/>
        </w:rPr>
        <w:t>.</w:t>
      </w:r>
    </w:p>
    <w:p w14:paraId="676AA1AF"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00C9A9BE" w14:textId="77777777" w:rsidR="004142E0" w:rsidRPr="004142E0" w:rsidRDefault="004142E0" w:rsidP="004142E0">
      <w:pPr>
        <w:numPr>
          <w:ilvl w:val="0"/>
          <w:numId w:val="17"/>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Una interpretación sistemática de la normativa citada permite concluir que las deducciones aplicables a los EP, para efectos de la determinación de la obligación tributaria prevista en el artículo 1.2.1.14.5 del Decreto 1625 de 2016, si bien encuentran sustento en el estudio de atribución realizado, deben cumplir adicionalmente con las normas generales sobre deducciones y sus limitaciones, en particular las previstas en los artículos 107, 743 y 771-2 del E.T., para su procedencia fiscal.</w:t>
      </w:r>
    </w:p>
    <w:p w14:paraId="53819877"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2DC30126" w14:textId="77777777" w:rsidR="004142E0" w:rsidRPr="004142E0" w:rsidRDefault="004142E0" w:rsidP="004142E0">
      <w:pPr>
        <w:numPr>
          <w:ilvl w:val="0"/>
          <w:numId w:val="18"/>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En consecuencia, la procedencia de los costos y gastos deducibles atribuibles a un EP no se acredita de manera exclusiva con el estudio de atribución de rentas ni con la contabilidad separada elaborada para fines fiscales, sino que exige el cumplimiento concurrente de los requisitos sustanciales y formales previstos en el E.T.</w:t>
      </w:r>
    </w:p>
    <w:p w14:paraId="2D0FCDAC"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5252022B" w14:textId="77777777" w:rsidR="004142E0" w:rsidRPr="004142E0" w:rsidRDefault="004142E0" w:rsidP="004142E0">
      <w:pPr>
        <w:numPr>
          <w:ilvl w:val="0"/>
          <w:numId w:val="19"/>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 xml:space="preserve">Finalmente, es preciso aclarar que el reporte de información exógena a cargo de los EP, de conformidad con el numeral 7 del artículo 1 de la Resolución DIAN 000227 de 2025, tiene por finalidad dar cumplimiento a los objetivos previstos en el artículo 631 del E.T., relacionados con la realización de cruces de información y el ejercicio de </w:t>
      </w:r>
      <w:r w:rsidRPr="004142E0">
        <w:rPr>
          <w:rFonts w:ascii="Verdana" w:eastAsia="Times New Roman" w:hAnsi="Verdana" w:cs="Times New Roman"/>
          <w:color w:val="000000"/>
          <w:kern w:val="0"/>
          <w:lang w:val="es-CO" w:eastAsia="es-MX"/>
          <w14:ligatures w14:val="none"/>
        </w:rPr>
        <w:lastRenderedPageBreak/>
        <w:t>controles fiscales por parte de la Administración Tributaria. En consecuencia, dicho reporte constituye un deber formal de información, pero no un requisito sustancial para la procedencia ni para la deducibilidad de los costos o gastos atribuibles al EP.</w:t>
      </w:r>
    </w:p>
    <w:p w14:paraId="2F2A1ECA"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7DEBE5D3" w14:textId="77777777" w:rsidR="004142E0" w:rsidRPr="004142E0" w:rsidRDefault="004142E0" w:rsidP="004142E0">
      <w:pPr>
        <w:numPr>
          <w:ilvl w:val="0"/>
          <w:numId w:val="20"/>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Así mismo, en relación con la retención en la fuente practicada por y al EP, se remite para su consulta los Oficios DIAN 032332 de 2015 y 905372 de 2022, en los cuales se desarrollan los criterios aplicables a dicha obligación.</w:t>
      </w:r>
    </w:p>
    <w:p w14:paraId="5DDCC391" w14:textId="77777777" w:rsidR="004142E0" w:rsidRPr="004142E0" w:rsidRDefault="004142E0" w:rsidP="004142E0">
      <w:pPr>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79476B83" w14:textId="77777777" w:rsidR="004142E0" w:rsidRPr="004142E0" w:rsidRDefault="004142E0" w:rsidP="004142E0">
      <w:pPr>
        <w:numPr>
          <w:ilvl w:val="0"/>
          <w:numId w:val="21"/>
        </w:numPr>
        <w:jc w:val="both"/>
        <w:textAlignment w:val="baseline"/>
        <w:rPr>
          <w:rFonts w:ascii="Verdana" w:eastAsia="Times New Roman" w:hAnsi="Verdana" w:cs="Times New Roman"/>
          <w:color w:val="000000"/>
          <w:kern w:val="0"/>
          <w:lang w:val="es-CO" w:eastAsia="es-MX"/>
          <w14:ligatures w14:val="none"/>
        </w:rPr>
      </w:pPr>
      <w:r w:rsidRPr="004142E0">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43F478A0" w14:textId="77777777" w:rsidR="004142E0" w:rsidRPr="004142E0" w:rsidRDefault="004142E0" w:rsidP="004142E0">
      <w:pPr>
        <w:spacing w:after="240"/>
        <w:rPr>
          <w:rFonts w:ascii="Times New Roman" w:eastAsia="Times New Roman" w:hAnsi="Times New Roman" w:cs="Times New Roman"/>
          <w:kern w:val="0"/>
          <w:lang w:val="es-CO" w:eastAsia="es-MX"/>
          <w14:ligatures w14:val="none"/>
        </w:rPr>
      </w:pPr>
    </w:p>
    <w:p w14:paraId="14C46B84"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Atentamente,</w:t>
      </w:r>
    </w:p>
    <w:p w14:paraId="4E5D752D" w14:textId="77777777" w:rsidR="004142E0" w:rsidRPr="004142E0" w:rsidRDefault="004142E0" w:rsidP="004142E0">
      <w:pPr>
        <w:spacing w:after="240"/>
        <w:rPr>
          <w:rFonts w:ascii="Times New Roman" w:eastAsia="Times New Roman" w:hAnsi="Times New Roman" w:cs="Times New Roman"/>
          <w:kern w:val="0"/>
          <w:lang w:val="es-CO" w:eastAsia="es-MX"/>
          <w14:ligatures w14:val="none"/>
        </w:rPr>
      </w:pPr>
      <w:r w:rsidRPr="004142E0">
        <w:rPr>
          <w:rFonts w:ascii="Times New Roman" w:eastAsia="Times New Roman" w:hAnsi="Times New Roman" w:cs="Times New Roman"/>
          <w:kern w:val="0"/>
          <w:lang w:val="es-CO" w:eastAsia="es-MX"/>
          <w14:ligatures w14:val="none"/>
        </w:rPr>
        <w:br/>
      </w:r>
    </w:p>
    <w:p w14:paraId="72653176"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b/>
          <w:bCs/>
          <w:color w:val="000000"/>
          <w:kern w:val="0"/>
          <w:lang w:val="es-CO" w:eastAsia="es-MX"/>
          <w14:ligatures w14:val="none"/>
        </w:rPr>
        <w:t>INGRID CASTAÑEDA CEPEDA</w:t>
      </w:r>
    </w:p>
    <w:p w14:paraId="2F276E36"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Subdirectora de Normativa y Doctrina (A)</w:t>
      </w:r>
    </w:p>
    <w:p w14:paraId="16BBC824"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Subdirección de Normativa y Doctrina</w:t>
      </w:r>
    </w:p>
    <w:p w14:paraId="3CF9BB3C"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Dirección de Gestión Jurídica</w:t>
      </w:r>
    </w:p>
    <w:p w14:paraId="5390C270" w14:textId="77777777" w:rsidR="004142E0" w:rsidRPr="004142E0" w:rsidRDefault="004142E0" w:rsidP="004142E0">
      <w:pPr>
        <w:jc w:val="both"/>
        <w:rPr>
          <w:rFonts w:ascii="Times New Roman" w:eastAsia="Times New Roman" w:hAnsi="Times New Roman" w:cs="Times New Roman"/>
          <w:kern w:val="0"/>
          <w:lang w:val="es-CO" w:eastAsia="es-MX"/>
          <w14:ligatures w14:val="none"/>
        </w:rPr>
      </w:pPr>
      <w:r w:rsidRPr="004142E0">
        <w:rPr>
          <w:rFonts w:ascii="Verdana" w:eastAsia="Times New Roman" w:hAnsi="Verdana" w:cs="Times New Roman"/>
          <w:color w:val="000000"/>
          <w:kern w:val="0"/>
          <w:lang w:val="es-CO" w:eastAsia="es-MX"/>
          <w14:ligatures w14:val="none"/>
        </w:rPr>
        <w:t>www.dian.gov.co</w:t>
      </w:r>
    </w:p>
    <w:p w14:paraId="73803420" w14:textId="77777777" w:rsidR="004142E0" w:rsidRPr="004142E0" w:rsidRDefault="004142E0" w:rsidP="004142E0">
      <w:pPr>
        <w:rPr>
          <w:rFonts w:ascii="Times New Roman" w:eastAsia="Times New Roman" w:hAnsi="Times New Roman" w:cs="Times New Roman"/>
          <w:kern w:val="0"/>
          <w:lang w:val="es-CO" w:eastAsia="es-MX"/>
          <w14:ligatures w14:val="none"/>
        </w:rPr>
      </w:pPr>
    </w:p>
    <w:p w14:paraId="6587B0FD"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41F9A"/>
    <w:multiLevelType w:val="multilevel"/>
    <w:tmpl w:val="0D40A1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12226C"/>
    <w:multiLevelType w:val="multilevel"/>
    <w:tmpl w:val="7A34BC9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8664BD"/>
    <w:multiLevelType w:val="multilevel"/>
    <w:tmpl w:val="F55C71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6E3A4E"/>
    <w:multiLevelType w:val="multilevel"/>
    <w:tmpl w:val="0B82C1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A56993"/>
    <w:multiLevelType w:val="multilevel"/>
    <w:tmpl w:val="17D82D34"/>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542526"/>
    <w:multiLevelType w:val="multilevel"/>
    <w:tmpl w:val="B10CADC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0D76E5"/>
    <w:multiLevelType w:val="multilevel"/>
    <w:tmpl w:val="DE2025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670FC5"/>
    <w:multiLevelType w:val="multilevel"/>
    <w:tmpl w:val="78D2A8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8537DA"/>
    <w:multiLevelType w:val="multilevel"/>
    <w:tmpl w:val="D3E823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C4F6C2D"/>
    <w:multiLevelType w:val="multilevel"/>
    <w:tmpl w:val="70144CEE"/>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F0C767F"/>
    <w:multiLevelType w:val="multilevel"/>
    <w:tmpl w:val="67D0F2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F112BC8"/>
    <w:multiLevelType w:val="multilevel"/>
    <w:tmpl w:val="A20E7B9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2F57C2F"/>
    <w:multiLevelType w:val="multilevel"/>
    <w:tmpl w:val="EA36CB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F85084"/>
    <w:multiLevelType w:val="multilevel"/>
    <w:tmpl w:val="1742B75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8B86021"/>
    <w:multiLevelType w:val="multilevel"/>
    <w:tmpl w:val="5B60C9C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8DB217C"/>
    <w:multiLevelType w:val="multilevel"/>
    <w:tmpl w:val="711806E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FB1B17"/>
    <w:multiLevelType w:val="multilevel"/>
    <w:tmpl w:val="DF38F6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B255ED8"/>
    <w:multiLevelType w:val="multilevel"/>
    <w:tmpl w:val="988EF5F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2CD1263"/>
    <w:multiLevelType w:val="multilevel"/>
    <w:tmpl w:val="40A2E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00521170">
    <w:abstractNumId w:val="8"/>
  </w:num>
  <w:num w:numId="2" w16cid:durableId="104473020">
    <w:abstractNumId w:val="6"/>
    <w:lvlOverride w:ilvl="0">
      <w:lvl w:ilvl="0">
        <w:numFmt w:val="decimal"/>
        <w:lvlText w:val="%1."/>
        <w:lvlJc w:val="left"/>
      </w:lvl>
    </w:lvlOverride>
  </w:num>
  <w:num w:numId="3" w16cid:durableId="209146267">
    <w:abstractNumId w:val="7"/>
    <w:lvlOverride w:ilvl="0">
      <w:lvl w:ilvl="0">
        <w:numFmt w:val="decimal"/>
        <w:lvlText w:val="%1."/>
        <w:lvlJc w:val="left"/>
      </w:lvl>
    </w:lvlOverride>
  </w:num>
  <w:num w:numId="4" w16cid:durableId="479611977">
    <w:abstractNumId w:val="0"/>
    <w:lvlOverride w:ilvl="0">
      <w:lvl w:ilvl="0">
        <w:numFmt w:val="decimal"/>
        <w:lvlText w:val="%1."/>
        <w:lvlJc w:val="left"/>
      </w:lvl>
    </w:lvlOverride>
  </w:num>
  <w:num w:numId="5" w16cid:durableId="1951935620">
    <w:abstractNumId w:val="18"/>
    <w:lvlOverride w:ilvl="0">
      <w:lvl w:ilvl="0">
        <w:numFmt w:val="decimal"/>
        <w:lvlText w:val="%1."/>
        <w:lvlJc w:val="left"/>
      </w:lvl>
    </w:lvlOverride>
  </w:num>
  <w:num w:numId="6" w16cid:durableId="1008873618">
    <w:abstractNumId w:val="10"/>
    <w:lvlOverride w:ilvl="0">
      <w:lvl w:ilvl="0">
        <w:numFmt w:val="decimal"/>
        <w:lvlText w:val="%1."/>
        <w:lvlJc w:val="left"/>
      </w:lvl>
    </w:lvlOverride>
  </w:num>
  <w:num w:numId="7" w16cid:durableId="1305425506">
    <w:abstractNumId w:val="4"/>
  </w:num>
  <w:num w:numId="8" w16cid:durableId="781921852">
    <w:abstractNumId w:val="4"/>
    <w:lvlOverride w:ilvl="0">
      <w:lvl w:ilvl="0">
        <w:numFmt w:val="decimal"/>
        <w:lvlText w:val="%1."/>
        <w:lvlJc w:val="left"/>
      </w:lvl>
    </w:lvlOverride>
  </w:num>
  <w:num w:numId="9" w16cid:durableId="184903486">
    <w:abstractNumId w:val="16"/>
    <w:lvlOverride w:ilvl="0">
      <w:lvl w:ilvl="0">
        <w:numFmt w:val="decimal"/>
        <w:lvlText w:val="%1."/>
        <w:lvlJc w:val="left"/>
      </w:lvl>
    </w:lvlOverride>
  </w:num>
  <w:num w:numId="10" w16cid:durableId="1941797138">
    <w:abstractNumId w:val="2"/>
    <w:lvlOverride w:ilvl="0">
      <w:lvl w:ilvl="0">
        <w:numFmt w:val="decimal"/>
        <w:lvlText w:val="%1."/>
        <w:lvlJc w:val="left"/>
      </w:lvl>
    </w:lvlOverride>
  </w:num>
  <w:num w:numId="11" w16cid:durableId="1038314088">
    <w:abstractNumId w:val="11"/>
    <w:lvlOverride w:ilvl="0">
      <w:lvl w:ilvl="0">
        <w:numFmt w:val="decimal"/>
        <w:lvlText w:val="%1."/>
        <w:lvlJc w:val="left"/>
      </w:lvl>
    </w:lvlOverride>
  </w:num>
  <w:num w:numId="12" w16cid:durableId="754782841">
    <w:abstractNumId w:val="1"/>
    <w:lvlOverride w:ilvl="0">
      <w:lvl w:ilvl="0">
        <w:numFmt w:val="decimal"/>
        <w:lvlText w:val="%1."/>
        <w:lvlJc w:val="left"/>
      </w:lvl>
    </w:lvlOverride>
  </w:num>
  <w:num w:numId="13" w16cid:durableId="1950817383">
    <w:abstractNumId w:val="3"/>
    <w:lvlOverride w:ilvl="0">
      <w:lvl w:ilvl="0">
        <w:numFmt w:val="decimal"/>
        <w:lvlText w:val="%1."/>
        <w:lvlJc w:val="left"/>
      </w:lvl>
    </w:lvlOverride>
  </w:num>
  <w:num w:numId="14" w16cid:durableId="1401369478">
    <w:abstractNumId w:val="15"/>
    <w:lvlOverride w:ilvl="0">
      <w:lvl w:ilvl="0">
        <w:numFmt w:val="decimal"/>
        <w:lvlText w:val="%1."/>
        <w:lvlJc w:val="left"/>
      </w:lvl>
    </w:lvlOverride>
  </w:num>
  <w:num w:numId="15" w16cid:durableId="2143493497">
    <w:abstractNumId w:val="5"/>
    <w:lvlOverride w:ilvl="0">
      <w:lvl w:ilvl="0">
        <w:numFmt w:val="decimal"/>
        <w:lvlText w:val="%1."/>
        <w:lvlJc w:val="left"/>
      </w:lvl>
    </w:lvlOverride>
  </w:num>
  <w:num w:numId="16" w16cid:durableId="1315721794">
    <w:abstractNumId w:val="5"/>
    <w:lvlOverride w:ilvl="0">
      <w:lvl w:ilvl="0">
        <w:numFmt w:val="decimal"/>
        <w:lvlText w:val="%1."/>
        <w:lvlJc w:val="left"/>
      </w:lvl>
    </w:lvlOverride>
  </w:num>
  <w:num w:numId="17" w16cid:durableId="1198079875">
    <w:abstractNumId w:val="17"/>
    <w:lvlOverride w:ilvl="0">
      <w:lvl w:ilvl="0">
        <w:numFmt w:val="decimal"/>
        <w:lvlText w:val="%1."/>
        <w:lvlJc w:val="left"/>
      </w:lvl>
    </w:lvlOverride>
  </w:num>
  <w:num w:numId="18" w16cid:durableId="61875711">
    <w:abstractNumId w:val="12"/>
    <w:lvlOverride w:ilvl="0">
      <w:lvl w:ilvl="0">
        <w:numFmt w:val="decimal"/>
        <w:lvlText w:val="%1."/>
        <w:lvlJc w:val="left"/>
      </w:lvl>
    </w:lvlOverride>
  </w:num>
  <w:num w:numId="19" w16cid:durableId="1812941521">
    <w:abstractNumId w:val="14"/>
    <w:lvlOverride w:ilvl="0">
      <w:lvl w:ilvl="0">
        <w:numFmt w:val="decimal"/>
        <w:lvlText w:val="%1."/>
        <w:lvlJc w:val="left"/>
      </w:lvl>
    </w:lvlOverride>
  </w:num>
  <w:num w:numId="20" w16cid:durableId="1472864857">
    <w:abstractNumId w:val="13"/>
    <w:lvlOverride w:ilvl="0">
      <w:lvl w:ilvl="0">
        <w:numFmt w:val="decimal"/>
        <w:lvlText w:val="%1."/>
        <w:lvlJc w:val="left"/>
      </w:lvl>
    </w:lvlOverride>
  </w:num>
  <w:num w:numId="21" w16cid:durableId="508057463">
    <w:abstractNumId w:val="9"/>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2E0"/>
    <w:rsid w:val="000B2285"/>
    <w:rsid w:val="001D3E0D"/>
    <w:rsid w:val="004142E0"/>
    <w:rsid w:val="00537D8F"/>
    <w:rsid w:val="00A26FE1"/>
    <w:rsid w:val="00B83A7B"/>
    <w:rsid w:val="00CC1B93"/>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CE1246F"/>
  <w14:defaultImageDpi w14:val="32767"/>
  <w15:chartTrackingRefBased/>
  <w15:docId w15:val="{C3FD323F-FCC9-8C44-B1F4-5DD3A8EE8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142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142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142E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142E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142E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142E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142E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142E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142E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142E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142E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142E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142E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142E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142E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142E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142E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142E0"/>
    <w:rPr>
      <w:rFonts w:eastAsiaTheme="majorEastAsia" w:cstheme="majorBidi"/>
      <w:color w:val="272727" w:themeColor="text1" w:themeTint="D8"/>
    </w:rPr>
  </w:style>
  <w:style w:type="paragraph" w:styleId="Ttulo">
    <w:name w:val="Title"/>
    <w:basedOn w:val="Normal"/>
    <w:next w:val="Normal"/>
    <w:link w:val="TtuloCar"/>
    <w:uiPriority w:val="10"/>
    <w:qFormat/>
    <w:rsid w:val="004142E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142E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142E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142E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142E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142E0"/>
    <w:rPr>
      <w:i/>
      <w:iCs/>
      <w:color w:val="404040" w:themeColor="text1" w:themeTint="BF"/>
    </w:rPr>
  </w:style>
  <w:style w:type="paragraph" w:styleId="Prrafodelista">
    <w:name w:val="List Paragraph"/>
    <w:basedOn w:val="Normal"/>
    <w:uiPriority w:val="34"/>
    <w:qFormat/>
    <w:rsid w:val="004142E0"/>
    <w:pPr>
      <w:ind w:left="720"/>
      <w:contextualSpacing/>
    </w:pPr>
  </w:style>
  <w:style w:type="character" w:styleId="nfasisintenso">
    <w:name w:val="Intense Emphasis"/>
    <w:basedOn w:val="Fuentedeprrafopredeter"/>
    <w:uiPriority w:val="21"/>
    <w:qFormat/>
    <w:rsid w:val="004142E0"/>
    <w:rPr>
      <w:i/>
      <w:iCs/>
      <w:color w:val="2F5496" w:themeColor="accent1" w:themeShade="BF"/>
    </w:rPr>
  </w:style>
  <w:style w:type="paragraph" w:styleId="Citadestacada">
    <w:name w:val="Intense Quote"/>
    <w:basedOn w:val="Normal"/>
    <w:next w:val="Normal"/>
    <w:link w:val="CitadestacadaCar"/>
    <w:uiPriority w:val="30"/>
    <w:qFormat/>
    <w:rsid w:val="004142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142E0"/>
    <w:rPr>
      <w:i/>
      <w:iCs/>
      <w:color w:val="2F5496" w:themeColor="accent1" w:themeShade="BF"/>
    </w:rPr>
  </w:style>
  <w:style w:type="character" w:styleId="Referenciaintensa">
    <w:name w:val="Intense Reference"/>
    <w:basedOn w:val="Fuentedeprrafopredeter"/>
    <w:uiPriority w:val="32"/>
    <w:qFormat/>
    <w:rsid w:val="004142E0"/>
    <w:rPr>
      <w:b/>
      <w:bCs/>
      <w:smallCaps/>
      <w:color w:val="2F5496" w:themeColor="accent1" w:themeShade="BF"/>
      <w:spacing w:val="5"/>
    </w:rPr>
  </w:style>
  <w:style w:type="paragraph" w:styleId="NormalWeb">
    <w:name w:val="Normal (Web)"/>
    <w:basedOn w:val="Normal"/>
    <w:uiPriority w:val="99"/>
    <w:semiHidden/>
    <w:unhideWhenUsed/>
    <w:rsid w:val="004142E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4142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1458</Words>
  <Characters>8022</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2026-04-20T20:38:00Z</dcterms:created>
  <dcterms:modified xsi:type="dcterms:W3CDTF">2026-04-20T20:54:00Z</dcterms:modified>
</cp:coreProperties>
</file>