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69AEE"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b/>
          <w:bCs/>
          <w:color w:val="000000"/>
          <w:kern w:val="0"/>
          <w:lang w:val="es-CO" w:eastAsia="es-MX"/>
          <w14:ligatures w14:val="none"/>
        </w:rPr>
        <w:t>CONCEPTO 229 DEL 17 DE FEBRERO DE 2026</w:t>
      </w:r>
    </w:p>
    <w:p w14:paraId="3D526BCF"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b/>
          <w:bCs/>
          <w:color w:val="000000"/>
          <w:kern w:val="0"/>
          <w:lang w:val="es-CO" w:eastAsia="es-MX"/>
          <w14:ligatures w14:val="none"/>
        </w:rPr>
        <w:t>DIRECCIÓN DE IMPUESTOS Y ADUANAS NACIONALES</w:t>
      </w:r>
    </w:p>
    <w:p w14:paraId="1DFECBC1" w14:textId="77777777" w:rsidR="00270128" w:rsidRPr="00270128" w:rsidRDefault="00270128" w:rsidP="00270128">
      <w:pPr>
        <w:rPr>
          <w:rFonts w:ascii="Times New Roman" w:eastAsia="Times New Roman" w:hAnsi="Times New Roman" w:cs="Times New Roman"/>
          <w:kern w:val="0"/>
          <w:lang w:val="es-CO" w:eastAsia="es-MX"/>
          <w14:ligatures w14:val="none"/>
        </w:rPr>
      </w:pPr>
    </w:p>
    <w:p w14:paraId="52DB5FA3"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color w:val="000000"/>
          <w:kern w:val="0"/>
          <w:lang w:val="es-CO" w:eastAsia="es-MX"/>
          <w14:ligatures w14:val="none"/>
        </w:rPr>
        <w:t>Bogotá D.C.,</w:t>
      </w:r>
    </w:p>
    <w:p w14:paraId="44F0D6B7" w14:textId="77777777" w:rsidR="00270128" w:rsidRPr="00270128" w:rsidRDefault="00270128" w:rsidP="00270128">
      <w:pPr>
        <w:rPr>
          <w:rFonts w:ascii="Times New Roman" w:eastAsia="Times New Roman" w:hAnsi="Times New Roman" w:cs="Times New Roman"/>
          <w:kern w:val="0"/>
          <w:lang w:val="es-CO" w:eastAsia="es-MX"/>
          <w14:ligatures w14:val="none"/>
        </w:rPr>
      </w:pPr>
    </w:p>
    <w:p w14:paraId="666A16E6"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b/>
          <w:bCs/>
          <w:color w:val="000000"/>
          <w:kern w:val="0"/>
          <w:lang w:val="es-CO" w:eastAsia="es-MX"/>
          <w14:ligatures w14:val="none"/>
        </w:rPr>
        <w:t>Tema:</w:t>
      </w:r>
      <w:r w:rsidRPr="00270128">
        <w:rPr>
          <w:rFonts w:ascii="Verdana" w:eastAsia="Times New Roman" w:hAnsi="Verdana" w:cs="Times New Roman"/>
          <w:b/>
          <w:bCs/>
          <w:color w:val="000000"/>
          <w:kern w:val="0"/>
          <w:lang w:val="es-CO" w:eastAsia="es-MX"/>
          <w14:ligatures w14:val="none"/>
        </w:rPr>
        <w:tab/>
      </w:r>
      <w:r w:rsidRPr="00270128">
        <w:rPr>
          <w:rFonts w:ascii="Verdana" w:eastAsia="Times New Roman" w:hAnsi="Verdana" w:cs="Times New Roman"/>
          <w:b/>
          <w:bCs/>
          <w:color w:val="000000"/>
          <w:kern w:val="0"/>
          <w:lang w:val="es-CO" w:eastAsia="es-MX"/>
          <w14:ligatures w14:val="none"/>
        </w:rPr>
        <w:tab/>
      </w:r>
      <w:r w:rsidRPr="00270128">
        <w:rPr>
          <w:rFonts w:ascii="Verdana" w:eastAsia="Times New Roman" w:hAnsi="Verdana" w:cs="Times New Roman"/>
          <w:b/>
          <w:bCs/>
          <w:color w:val="000000"/>
          <w:kern w:val="0"/>
          <w:lang w:val="es-CO" w:eastAsia="es-MX"/>
          <w14:ligatures w14:val="none"/>
        </w:rPr>
        <w:tab/>
      </w:r>
      <w:r w:rsidRPr="00270128">
        <w:rPr>
          <w:rFonts w:ascii="Verdana" w:eastAsia="Times New Roman" w:hAnsi="Verdana" w:cs="Times New Roman"/>
          <w:color w:val="000000"/>
          <w:kern w:val="0"/>
          <w:lang w:val="es-CO" w:eastAsia="es-MX"/>
          <w14:ligatures w14:val="none"/>
        </w:rPr>
        <w:t>Sistema de facturación</w:t>
      </w:r>
    </w:p>
    <w:p w14:paraId="0EFD6F64"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b/>
          <w:bCs/>
          <w:color w:val="000000"/>
          <w:kern w:val="0"/>
          <w:lang w:val="es-CO" w:eastAsia="es-MX"/>
          <w14:ligatures w14:val="none"/>
        </w:rPr>
        <w:t>Descriptores:</w:t>
      </w:r>
      <w:r w:rsidRPr="00270128">
        <w:rPr>
          <w:rFonts w:ascii="Verdana" w:eastAsia="Times New Roman" w:hAnsi="Verdana" w:cs="Times New Roman"/>
          <w:b/>
          <w:bCs/>
          <w:color w:val="000000"/>
          <w:kern w:val="0"/>
          <w:lang w:val="es-CO" w:eastAsia="es-MX"/>
          <w14:ligatures w14:val="none"/>
        </w:rPr>
        <w:tab/>
      </w:r>
      <w:r w:rsidRPr="00270128">
        <w:rPr>
          <w:rFonts w:ascii="Verdana" w:eastAsia="Times New Roman" w:hAnsi="Verdana" w:cs="Times New Roman"/>
          <w:b/>
          <w:bCs/>
          <w:color w:val="000000"/>
          <w:kern w:val="0"/>
          <w:lang w:val="es-CO" w:eastAsia="es-MX"/>
          <w14:ligatures w14:val="none"/>
        </w:rPr>
        <w:tab/>
      </w:r>
      <w:r w:rsidRPr="00270128">
        <w:rPr>
          <w:rFonts w:ascii="Verdana" w:eastAsia="Times New Roman" w:hAnsi="Verdana" w:cs="Times New Roman"/>
          <w:color w:val="000000"/>
          <w:kern w:val="0"/>
          <w:lang w:val="es-CO" w:eastAsia="es-MX"/>
          <w14:ligatures w14:val="none"/>
        </w:rPr>
        <w:t>Inhabilitación numeración</w:t>
      </w:r>
    </w:p>
    <w:p w14:paraId="2BA71025" w14:textId="77777777" w:rsidR="00270128" w:rsidRPr="00270128" w:rsidRDefault="00270128" w:rsidP="00270128">
      <w:pPr>
        <w:ind w:left="2127" w:firstLine="709"/>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color w:val="000000"/>
          <w:kern w:val="0"/>
          <w:lang w:val="es-CO" w:eastAsia="es-MX"/>
          <w14:ligatures w14:val="none"/>
        </w:rPr>
        <w:t>Solicitud autorización numeración</w:t>
      </w:r>
    </w:p>
    <w:p w14:paraId="4323137D" w14:textId="77777777" w:rsidR="00270128" w:rsidRPr="00270128" w:rsidRDefault="00270128" w:rsidP="00270128">
      <w:pPr>
        <w:ind w:left="2127" w:firstLine="709"/>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color w:val="000000"/>
          <w:kern w:val="0"/>
          <w:lang w:val="es-CO" w:eastAsia="es-MX"/>
          <w14:ligatures w14:val="none"/>
        </w:rPr>
        <w:t>Proveedores ficticios</w:t>
      </w:r>
    </w:p>
    <w:p w14:paraId="33AF7728"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b/>
          <w:bCs/>
          <w:color w:val="000000"/>
          <w:kern w:val="0"/>
          <w:lang w:val="es-CO" w:eastAsia="es-MX"/>
          <w14:ligatures w14:val="none"/>
        </w:rPr>
        <w:t>Fuentes formales:</w:t>
      </w:r>
      <w:r w:rsidRPr="00270128">
        <w:rPr>
          <w:rFonts w:ascii="Verdana" w:eastAsia="Times New Roman" w:hAnsi="Verdana" w:cs="Times New Roman"/>
          <w:b/>
          <w:bCs/>
          <w:color w:val="000000"/>
          <w:kern w:val="0"/>
          <w:lang w:val="es-CO" w:eastAsia="es-MX"/>
          <w14:ligatures w14:val="none"/>
        </w:rPr>
        <w:tab/>
      </w:r>
      <w:r w:rsidRPr="00270128">
        <w:rPr>
          <w:rFonts w:ascii="Verdana" w:eastAsia="Times New Roman" w:hAnsi="Verdana" w:cs="Times New Roman"/>
          <w:color w:val="000000"/>
          <w:kern w:val="0"/>
          <w:lang w:val="es-CO" w:eastAsia="es-MX"/>
          <w14:ligatures w14:val="none"/>
        </w:rPr>
        <w:t>Artículo 671 del Estatuto Tributario</w:t>
      </w:r>
    </w:p>
    <w:p w14:paraId="6D7AFDB7" w14:textId="77777777" w:rsidR="00270128" w:rsidRPr="00270128" w:rsidRDefault="00270128" w:rsidP="00270128">
      <w:pPr>
        <w:ind w:left="2836"/>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color w:val="000000"/>
          <w:kern w:val="0"/>
          <w:lang w:val="es-CO" w:eastAsia="es-MX"/>
          <w14:ligatures w14:val="none"/>
        </w:rPr>
        <w:t>Artículos 1.5.1.6.2.1, 1.5.1.6.2.2 y 1.5.1.6.2.5 de la Resolución DIAN 000227 de 2025</w:t>
      </w:r>
    </w:p>
    <w:p w14:paraId="22643A90" w14:textId="77777777" w:rsidR="00270128" w:rsidRPr="00270128" w:rsidRDefault="00270128" w:rsidP="00270128">
      <w:pPr>
        <w:rPr>
          <w:rFonts w:ascii="Times New Roman" w:eastAsia="Times New Roman" w:hAnsi="Times New Roman" w:cs="Times New Roman"/>
          <w:kern w:val="0"/>
          <w:lang w:val="es-CO" w:eastAsia="es-MX"/>
          <w14:ligatures w14:val="none"/>
        </w:rPr>
      </w:pPr>
      <w:r w:rsidRPr="00270128">
        <w:rPr>
          <w:rFonts w:ascii="Times New Roman" w:eastAsia="Times New Roman" w:hAnsi="Times New Roman" w:cs="Times New Roman"/>
          <w:kern w:val="0"/>
          <w:lang w:val="es-CO" w:eastAsia="es-MX"/>
          <w14:ligatures w14:val="none"/>
        </w:rPr>
        <w:br/>
      </w:r>
    </w:p>
    <w:p w14:paraId="7A275B22" w14:textId="77777777" w:rsidR="00270128" w:rsidRPr="00270128" w:rsidRDefault="00270128" w:rsidP="00270128">
      <w:pPr>
        <w:numPr>
          <w:ilvl w:val="0"/>
          <w:numId w:val="1"/>
        </w:numPr>
        <w:jc w:val="both"/>
        <w:textAlignment w:val="baseline"/>
        <w:rPr>
          <w:rFonts w:ascii="Verdana" w:eastAsia="Times New Roman" w:hAnsi="Verdana" w:cs="Times New Roman"/>
          <w:color w:val="000000"/>
          <w:kern w:val="0"/>
          <w:lang w:val="es-CO" w:eastAsia="es-MX"/>
          <w14:ligatures w14:val="none"/>
        </w:rPr>
      </w:pPr>
      <w:r w:rsidRPr="00270128">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52E029BA" w14:textId="77777777" w:rsidR="00270128" w:rsidRPr="00270128" w:rsidRDefault="00270128" w:rsidP="00270128">
      <w:pPr>
        <w:rPr>
          <w:rFonts w:ascii="Times New Roman" w:eastAsia="Times New Roman" w:hAnsi="Times New Roman" w:cs="Times New Roman"/>
          <w:kern w:val="0"/>
          <w:lang w:val="es-CO" w:eastAsia="es-MX"/>
          <w14:ligatures w14:val="none"/>
        </w:rPr>
      </w:pPr>
    </w:p>
    <w:p w14:paraId="7CADA081"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b/>
          <w:bCs/>
          <w:color w:val="000000"/>
          <w:kern w:val="0"/>
          <w:lang w:val="es-CO" w:eastAsia="es-MX"/>
          <w14:ligatures w14:val="none"/>
        </w:rPr>
        <w:t>PROBLEMA JURÍDICO:</w:t>
      </w:r>
    </w:p>
    <w:p w14:paraId="2BF37032" w14:textId="77777777" w:rsidR="00270128" w:rsidRPr="00270128" w:rsidRDefault="00270128" w:rsidP="00270128">
      <w:pPr>
        <w:rPr>
          <w:rFonts w:ascii="Times New Roman" w:eastAsia="Times New Roman" w:hAnsi="Times New Roman" w:cs="Times New Roman"/>
          <w:kern w:val="0"/>
          <w:lang w:val="es-CO" w:eastAsia="es-MX"/>
          <w14:ligatures w14:val="none"/>
        </w:rPr>
      </w:pPr>
      <w:r w:rsidRPr="00270128">
        <w:rPr>
          <w:rFonts w:ascii="Times New Roman" w:eastAsia="Times New Roman" w:hAnsi="Times New Roman" w:cs="Times New Roman"/>
          <w:kern w:val="0"/>
          <w:lang w:val="es-CO" w:eastAsia="es-MX"/>
          <w14:ligatures w14:val="none"/>
        </w:rPr>
        <w:br/>
      </w:r>
    </w:p>
    <w:p w14:paraId="35240741" w14:textId="77777777" w:rsidR="00270128" w:rsidRPr="00270128" w:rsidRDefault="00270128" w:rsidP="00270128">
      <w:pPr>
        <w:numPr>
          <w:ilvl w:val="0"/>
          <w:numId w:val="2"/>
        </w:numPr>
        <w:jc w:val="both"/>
        <w:textAlignment w:val="baseline"/>
        <w:rPr>
          <w:rFonts w:ascii="Verdana" w:eastAsia="Times New Roman" w:hAnsi="Verdana" w:cs="Times New Roman"/>
          <w:color w:val="000000"/>
          <w:kern w:val="0"/>
          <w:lang w:val="es-CO" w:eastAsia="es-MX"/>
          <w14:ligatures w14:val="none"/>
        </w:rPr>
      </w:pPr>
      <w:r w:rsidRPr="00270128">
        <w:rPr>
          <w:rFonts w:ascii="Verdana" w:eastAsia="Times New Roman" w:hAnsi="Verdana" w:cs="Times New Roman"/>
          <w:color w:val="000000"/>
          <w:kern w:val="0"/>
          <w:lang w:val="es-CO" w:eastAsia="es-MX"/>
          <w14:ligatures w14:val="none"/>
        </w:rPr>
        <w:t>¿Es procedente, conceder las solicitudes de autorización de numeración consecutiva presentadas por proveedores ficticios con calificación vigente en los términos que establece el literal a) del artículo 671 del Estatuto Tributario?</w:t>
      </w:r>
    </w:p>
    <w:p w14:paraId="42372154" w14:textId="77777777" w:rsidR="00270128" w:rsidRPr="00270128" w:rsidRDefault="00270128" w:rsidP="00270128">
      <w:pPr>
        <w:rPr>
          <w:rFonts w:ascii="Times New Roman" w:eastAsia="Times New Roman" w:hAnsi="Times New Roman" w:cs="Times New Roman"/>
          <w:kern w:val="0"/>
          <w:lang w:val="es-CO" w:eastAsia="es-MX"/>
          <w14:ligatures w14:val="none"/>
        </w:rPr>
      </w:pPr>
    </w:p>
    <w:p w14:paraId="58066FC0"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b/>
          <w:bCs/>
          <w:color w:val="000000"/>
          <w:kern w:val="0"/>
          <w:lang w:val="es-CO" w:eastAsia="es-MX"/>
          <w14:ligatures w14:val="none"/>
        </w:rPr>
        <w:t>TESIS JURÍDICA:</w:t>
      </w:r>
    </w:p>
    <w:p w14:paraId="09FA0998" w14:textId="77777777" w:rsidR="00270128" w:rsidRPr="00270128" w:rsidRDefault="00270128" w:rsidP="00270128">
      <w:pPr>
        <w:rPr>
          <w:rFonts w:ascii="Times New Roman" w:eastAsia="Times New Roman" w:hAnsi="Times New Roman" w:cs="Times New Roman"/>
          <w:kern w:val="0"/>
          <w:lang w:val="es-CO" w:eastAsia="es-MX"/>
          <w14:ligatures w14:val="none"/>
        </w:rPr>
      </w:pPr>
      <w:r w:rsidRPr="00270128">
        <w:rPr>
          <w:rFonts w:ascii="Times New Roman" w:eastAsia="Times New Roman" w:hAnsi="Times New Roman" w:cs="Times New Roman"/>
          <w:kern w:val="0"/>
          <w:lang w:val="es-CO" w:eastAsia="es-MX"/>
          <w14:ligatures w14:val="none"/>
        </w:rPr>
        <w:br/>
      </w:r>
    </w:p>
    <w:p w14:paraId="584ED4D3" w14:textId="77777777" w:rsidR="00270128" w:rsidRPr="00270128" w:rsidRDefault="00270128" w:rsidP="00270128">
      <w:pPr>
        <w:numPr>
          <w:ilvl w:val="0"/>
          <w:numId w:val="3"/>
        </w:numPr>
        <w:jc w:val="both"/>
        <w:textAlignment w:val="baseline"/>
        <w:rPr>
          <w:rFonts w:ascii="Verdana" w:eastAsia="Times New Roman" w:hAnsi="Verdana" w:cs="Times New Roman"/>
          <w:color w:val="000000"/>
          <w:kern w:val="0"/>
          <w:lang w:val="es-CO" w:eastAsia="es-MX"/>
          <w14:ligatures w14:val="none"/>
        </w:rPr>
      </w:pPr>
      <w:r w:rsidRPr="00270128">
        <w:rPr>
          <w:rFonts w:ascii="Verdana" w:eastAsia="Times New Roman" w:hAnsi="Verdana" w:cs="Times New Roman"/>
          <w:color w:val="000000"/>
          <w:kern w:val="0"/>
          <w:lang w:val="es-CO" w:eastAsia="es-MX"/>
          <w14:ligatures w14:val="none"/>
        </w:rPr>
        <w:t>No. En ningún caso es procedente conceder autorización de numeración consecutiva a proveedores ficticios con calificación vigente en los términos que establece el literal a) del artículo 671 del Estatuto Tributario, dado que desconocería la finalidad de este tipo sancionatorio y además tornaría inocua la medida de inhabilitación de rangos sobrantes que establece el artículo 1.5.1.6.2.5. de la Resolución Única DIAN 000227 de 2025.</w:t>
      </w:r>
    </w:p>
    <w:p w14:paraId="63477CDD" w14:textId="77777777" w:rsidR="00270128" w:rsidRPr="00270128" w:rsidRDefault="00270128" w:rsidP="00270128">
      <w:pPr>
        <w:rPr>
          <w:rFonts w:ascii="Times New Roman" w:eastAsia="Times New Roman" w:hAnsi="Times New Roman" w:cs="Times New Roman"/>
          <w:kern w:val="0"/>
          <w:lang w:val="es-CO" w:eastAsia="es-MX"/>
          <w14:ligatures w14:val="none"/>
        </w:rPr>
      </w:pPr>
    </w:p>
    <w:p w14:paraId="488E1ECC"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b/>
          <w:bCs/>
          <w:color w:val="000000"/>
          <w:kern w:val="0"/>
          <w:lang w:val="es-CO" w:eastAsia="es-MX"/>
          <w14:ligatures w14:val="none"/>
        </w:rPr>
        <w:t>FUNDAMENTACIÓN:</w:t>
      </w:r>
    </w:p>
    <w:p w14:paraId="0F406343" w14:textId="77777777" w:rsidR="00270128" w:rsidRPr="00270128" w:rsidRDefault="00270128" w:rsidP="00270128">
      <w:pPr>
        <w:rPr>
          <w:rFonts w:ascii="Times New Roman" w:eastAsia="Times New Roman" w:hAnsi="Times New Roman" w:cs="Times New Roman"/>
          <w:kern w:val="0"/>
          <w:lang w:val="es-CO" w:eastAsia="es-MX"/>
          <w14:ligatures w14:val="none"/>
        </w:rPr>
      </w:pPr>
      <w:r w:rsidRPr="00270128">
        <w:rPr>
          <w:rFonts w:ascii="Times New Roman" w:eastAsia="Times New Roman" w:hAnsi="Times New Roman" w:cs="Times New Roman"/>
          <w:kern w:val="0"/>
          <w:lang w:val="es-CO" w:eastAsia="es-MX"/>
          <w14:ligatures w14:val="none"/>
        </w:rPr>
        <w:br/>
      </w:r>
    </w:p>
    <w:p w14:paraId="342CAB13" w14:textId="77777777" w:rsidR="00270128" w:rsidRPr="00270128" w:rsidRDefault="00270128" w:rsidP="00270128">
      <w:pPr>
        <w:numPr>
          <w:ilvl w:val="0"/>
          <w:numId w:val="4"/>
        </w:numPr>
        <w:jc w:val="both"/>
        <w:textAlignment w:val="baseline"/>
        <w:rPr>
          <w:rFonts w:ascii="Verdana" w:eastAsia="Times New Roman" w:hAnsi="Verdana" w:cs="Times New Roman"/>
          <w:color w:val="000000"/>
          <w:kern w:val="0"/>
          <w:lang w:val="es-CO" w:eastAsia="es-MX"/>
          <w14:ligatures w14:val="none"/>
        </w:rPr>
      </w:pPr>
      <w:r w:rsidRPr="00270128">
        <w:rPr>
          <w:rFonts w:ascii="Verdana" w:eastAsia="Times New Roman" w:hAnsi="Verdana" w:cs="Times New Roman"/>
          <w:color w:val="000000"/>
          <w:kern w:val="0"/>
          <w:lang w:val="es-CO" w:eastAsia="es-MX"/>
          <w14:ligatures w14:val="none"/>
        </w:rPr>
        <w:lastRenderedPageBreak/>
        <w:t>De conformidad con el literal a) del artículo 671 del Estatuto Tributario aquellas personas o entidades que facturen ventas o prestación de servicios simulados o inexistentes, serán sancionados con la declaratoria de proveedor ficticio por 5 años, transcurrido este término la Administración Tributaria levantará dicha calificación, siempre que medie solicitud de parte.</w:t>
      </w:r>
    </w:p>
    <w:p w14:paraId="30ABD869" w14:textId="77777777" w:rsidR="00270128" w:rsidRPr="00270128" w:rsidRDefault="00270128" w:rsidP="00270128">
      <w:pPr>
        <w:rPr>
          <w:rFonts w:ascii="Times New Roman" w:eastAsia="Times New Roman" w:hAnsi="Times New Roman" w:cs="Times New Roman"/>
          <w:kern w:val="0"/>
          <w:lang w:val="es-CO" w:eastAsia="es-MX"/>
          <w14:ligatures w14:val="none"/>
        </w:rPr>
      </w:pPr>
      <w:r w:rsidRPr="00270128">
        <w:rPr>
          <w:rFonts w:ascii="Times New Roman" w:eastAsia="Times New Roman" w:hAnsi="Times New Roman" w:cs="Times New Roman"/>
          <w:kern w:val="0"/>
          <w:lang w:val="es-CO" w:eastAsia="es-MX"/>
          <w14:ligatures w14:val="none"/>
        </w:rPr>
        <w:br/>
      </w:r>
    </w:p>
    <w:p w14:paraId="4B9A0C2F" w14:textId="77777777" w:rsidR="00270128" w:rsidRPr="00270128" w:rsidRDefault="00270128" w:rsidP="00270128">
      <w:pPr>
        <w:numPr>
          <w:ilvl w:val="0"/>
          <w:numId w:val="5"/>
        </w:numPr>
        <w:jc w:val="both"/>
        <w:textAlignment w:val="baseline"/>
        <w:rPr>
          <w:rFonts w:ascii="Verdana" w:eastAsia="Times New Roman" w:hAnsi="Verdana" w:cs="Times New Roman"/>
          <w:color w:val="000000"/>
          <w:kern w:val="0"/>
          <w:lang w:val="es-CO" w:eastAsia="es-MX"/>
          <w14:ligatures w14:val="none"/>
        </w:rPr>
      </w:pPr>
      <w:r w:rsidRPr="00270128">
        <w:rPr>
          <w:rFonts w:ascii="Verdana" w:eastAsia="Times New Roman" w:hAnsi="Verdana" w:cs="Times New Roman"/>
          <w:color w:val="000000"/>
          <w:kern w:val="0"/>
          <w:lang w:val="es-CO" w:eastAsia="es-MX"/>
          <w14:ligatures w14:val="none"/>
        </w:rPr>
        <w:t>Nótese que el tipo sancionatorio señalado en el artículo en mención, tiene por finalidad sancionar y prevenir la realización de conductas para defraudar al Fisco mediante la facturación de operaciones simuladas o inexistentes. En este sentido, resulta claro que el querer del Legislador es evitar que los sujetos que ostentan la calificación de proveedores ficticios, sigan realizando defraudando al erario público.</w:t>
      </w:r>
    </w:p>
    <w:p w14:paraId="6FD25152" w14:textId="77777777" w:rsidR="00270128" w:rsidRPr="00270128" w:rsidRDefault="00270128" w:rsidP="00270128">
      <w:pPr>
        <w:rPr>
          <w:rFonts w:ascii="Times New Roman" w:eastAsia="Times New Roman" w:hAnsi="Times New Roman" w:cs="Times New Roman"/>
          <w:kern w:val="0"/>
          <w:lang w:val="es-CO" w:eastAsia="es-MX"/>
          <w14:ligatures w14:val="none"/>
        </w:rPr>
      </w:pPr>
      <w:r w:rsidRPr="00270128">
        <w:rPr>
          <w:rFonts w:ascii="Times New Roman" w:eastAsia="Times New Roman" w:hAnsi="Times New Roman" w:cs="Times New Roman"/>
          <w:kern w:val="0"/>
          <w:lang w:val="es-CO" w:eastAsia="es-MX"/>
          <w14:ligatures w14:val="none"/>
        </w:rPr>
        <w:br/>
      </w:r>
    </w:p>
    <w:p w14:paraId="7286A65B" w14:textId="77777777" w:rsidR="00270128" w:rsidRPr="00270128" w:rsidRDefault="00270128" w:rsidP="00270128">
      <w:pPr>
        <w:numPr>
          <w:ilvl w:val="0"/>
          <w:numId w:val="6"/>
        </w:numPr>
        <w:jc w:val="both"/>
        <w:textAlignment w:val="baseline"/>
        <w:rPr>
          <w:rFonts w:ascii="Verdana" w:eastAsia="Times New Roman" w:hAnsi="Verdana" w:cs="Times New Roman"/>
          <w:color w:val="000000"/>
          <w:kern w:val="0"/>
          <w:lang w:val="es-CO" w:eastAsia="es-MX"/>
          <w14:ligatures w14:val="none"/>
        </w:rPr>
      </w:pPr>
      <w:r w:rsidRPr="00270128">
        <w:rPr>
          <w:rFonts w:ascii="Verdana" w:eastAsia="Times New Roman" w:hAnsi="Verdana" w:cs="Times New Roman"/>
          <w:color w:val="000000"/>
          <w:kern w:val="0"/>
          <w:lang w:val="es-CO" w:eastAsia="es-MX"/>
          <w14:ligatures w14:val="none"/>
        </w:rPr>
        <w:t>Así las cosas, y dado que la factura de venta se constituye en el medio a través del cual se simulan operaciones inexistentes, uno de los efectos de la sanción dispuesta en el artículo 671 del Estatuto Tributario, es la imposibilidad de expedir este documento durante el tiempo que se encuentre vigente la calificación de proveedor ficticio.</w:t>
      </w:r>
    </w:p>
    <w:p w14:paraId="32A8DCBB" w14:textId="77777777" w:rsidR="00270128" w:rsidRPr="00270128" w:rsidRDefault="00270128" w:rsidP="00270128">
      <w:pPr>
        <w:rPr>
          <w:rFonts w:ascii="Times New Roman" w:eastAsia="Times New Roman" w:hAnsi="Times New Roman" w:cs="Times New Roman"/>
          <w:kern w:val="0"/>
          <w:lang w:val="es-CO" w:eastAsia="es-MX"/>
          <w14:ligatures w14:val="none"/>
        </w:rPr>
      </w:pPr>
      <w:r w:rsidRPr="00270128">
        <w:rPr>
          <w:rFonts w:ascii="Times New Roman" w:eastAsia="Times New Roman" w:hAnsi="Times New Roman" w:cs="Times New Roman"/>
          <w:kern w:val="0"/>
          <w:lang w:val="es-CO" w:eastAsia="es-MX"/>
          <w14:ligatures w14:val="none"/>
        </w:rPr>
        <w:br/>
      </w:r>
    </w:p>
    <w:p w14:paraId="1328CC86" w14:textId="77777777" w:rsidR="00270128" w:rsidRPr="00270128" w:rsidRDefault="00270128" w:rsidP="00270128">
      <w:pPr>
        <w:numPr>
          <w:ilvl w:val="0"/>
          <w:numId w:val="7"/>
        </w:numPr>
        <w:jc w:val="both"/>
        <w:textAlignment w:val="baseline"/>
        <w:rPr>
          <w:rFonts w:ascii="Verdana" w:eastAsia="Times New Roman" w:hAnsi="Verdana" w:cs="Times New Roman"/>
          <w:color w:val="000000"/>
          <w:kern w:val="0"/>
          <w:lang w:val="es-CO" w:eastAsia="es-MX"/>
          <w14:ligatures w14:val="none"/>
        </w:rPr>
      </w:pPr>
      <w:r w:rsidRPr="00270128">
        <w:rPr>
          <w:rFonts w:ascii="Verdana" w:eastAsia="Times New Roman" w:hAnsi="Verdana" w:cs="Times New Roman"/>
          <w:color w:val="000000"/>
          <w:kern w:val="0"/>
          <w:lang w:val="es-CO" w:eastAsia="es-MX"/>
          <w14:ligatures w14:val="none"/>
        </w:rPr>
        <w:t>Para el efecto, la DIAN en virtud de lo dispuesto en los numerales 1.10 y numeral 2 del artículo 1.5.1.6.2.5 de la Resolución DIAN 000227 de 2025 Única en Materia Tributaria, Aduanera y Cambiaria, debe inhabilitar los rangos de numeración existentes al momento en que se ordena la calificación de proveedor ficticio.</w:t>
      </w:r>
    </w:p>
    <w:p w14:paraId="1F3AFB50" w14:textId="77777777" w:rsidR="00270128" w:rsidRPr="00270128" w:rsidRDefault="00270128" w:rsidP="00270128">
      <w:pPr>
        <w:rPr>
          <w:rFonts w:ascii="Times New Roman" w:eastAsia="Times New Roman" w:hAnsi="Times New Roman" w:cs="Times New Roman"/>
          <w:kern w:val="0"/>
          <w:lang w:val="es-CO" w:eastAsia="es-MX"/>
          <w14:ligatures w14:val="none"/>
        </w:rPr>
      </w:pPr>
      <w:r w:rsidRPr="00270128">
        <w:rPr>
          <w:rFonts w:ascii="Times New Roman" w:eastAsia="Times New Roman" w:hAnsi="Times New Roman" w:cs="Times New Roman"/>
          <w:kern w:val="0"/>
          <w:lang w:val="es-CO" w:eastAsia="es-MX"/>
          <w14:ligatures w14:val="none"/>
        </w:rPr>
        <w:br/>
      </w:r>
    </w:p>
    <w:p w14:paraId="34C7DC3E" w14:textId="77777777" w:rsidR="00270128" w:rsidRPr="00270128" w:rsidRDefault="00270128" w:rsidP="00270128">
      <w:pPr>
        <w:numPr>
          <w:ilvl w:val="0"/>
          <w:numId w:val="8"/>
        </w:numPr>
        <w:jc w:val="both"/>
        <w:textAlignment w:val="baseline"/>
        <w:rPr>
          <w:rFonts w:ascii="Verdana" w:eastAsia="Times New Roman" w:hAnsi="Verdana" w:cs="Times New Roman"/>
          <w:color w:val="000000"/>
          <w:kern w:val="0"/>
          <w:lang w:val="es-CO" w:eastAsia="es-MX"/>
          <w14:ligatures w14:val="none"/>
        </w:rPr>
      </w:pPr>
      <w:r w:rsidRPr="00270128">
        <w:rPr>
          <w:rFonts w:ascii="Verdana" w:eastAsia="Times New Roman" w:hAnsi="Verdana" w:cs="Times New Roman"/>
          <w:color w:val="000000"/>
          <w:kern w:val="0"/>
          <w:lang w:val="es-CO" w:eastAsia="es-MX"/>
          <w14:ligatures w14:val="none"/>
        </w:rPr>
        <w:t>Por otro lado, de conformidad con el artículo 1.5.1.6.2.2. ibidem la autorización de numeración consecutiva asigna de manera específica el número, fecha y vigencia de la autorización, los rangos de numeración y prefijos en caso que se requieran para el sujeto que la solicita, permitiendo de esta manera expedir facturas de venta.</w:t>
      </w:r>
    </w:p>
    <w:p w14:paraId="7259087E" w14:textId="77777777" w:rsidR="00270128" w:rsidRPr="00270128" w:rsidRDefault="00270128" w:rsidP="00270128">
      <w:pPr>
        <w:rPr>
          <w:rFonts w:ascii="Times New Roman" w:eastAsia="Times New Roman" w:hAnsi="Times New Roman" w:cs="Times New Roman"/>
          <w:kern w:val="0"/>
          <w:lang w:val="es-CO" w:eastAsia="es-MX"/>
          <w14:ligatures w14:val="none"/>
        </w:rPr>
      </w:pPr>
      <w:r w:rsidRPr="00270128">
        <w:rPr>
          <w:rFonts w:ascii="Times New Roman" w:eastAsia="Times New Roman" w:hAnsi="Times New Roman" w:cs="Times New Roman"/>
          <w:kern w:val="0"/>
          <w:lang w:val="es-CO" w:eastAsia="es-MX"/>
          <w14:ligatures w14:val="none"/>
        </w:rPr>
        <w:br/>
      </w:r>
    </w:p>
    <w:p w14:paraId="5CA7BF09" w14:textId="77777777" w:rsidR="00270128" w:rsidRPr="00270128" w:rsidRDefault="00270128" w:rsidP="00270128">
      <w:pPr>
        <w:numPr>
          <w:ilvl w:val="0"/>
          <w:numId w:val="9"/>
        </w:numPr>
        <w:jc w:val="both"/>
        <w:textAlignment w:val="baseline"/>
        <w:rPr>
          <w:rFonts w:ascii="Verdana" w:eastAsia="Times New Roman" w:hAnsi="Verdana" w:cs="Times New Roman"/>
          <w:color w:val="000000"/>
          <w:kern w:val="0"/>
          <w:lang w:val="es-CO" w:eastAsia="es-MX"/>
          <w14:ligatures w14:val="none"/>
        </w:rPr>
      </w:pPr>
      <w:r w:rsidRPr="00270128">
        <w:rPr>
          <w:rFonts w:ascii="Verdana" w:eastAsia="Times New Roman" w:hAnsi="Verdana" w:cs="Times New Roman"/>
          <w:color w:val="000000"/>
          <w:kern w:val="0"/>
          <w:lang w:val="es-CO" w:eastAsia="es-MX"/>
          <w14:ligatures w14:val="none"/>
        </w:rPr>
        <w:t>Ahora, si bien este artículo no prohíbe de manera expresa la autorización de numeración consecutiva para sujetos que tengan calificación vigente de proveedores ficticios, al realizar una interpretación sistemática de los artículos 1.5.1.6.2.1.,1.5.1.6.2.2 y 1.5.1.6.2.5 de la Resolución DIAN 000227 de 2025, resulta lógico concluir que en estos casos no es posible conceder esta autorización.</w:t>
      </w:r>
    </w:p>
    <w:p w14:paraId="2A58A073" w14:textId="77777777" w:rsidR="00270128" w:rsidRPr="00270128" w:rsidRDefault="00270128" w:rsidP="00270128">
      <w:pPr>
        <w:rPr>
          <w:rFonts w:ascii="Times New Roman" w:eastAsia="Times New Roman" w:hAnsi="Times New Roman" w:cs="Times New Roman"/>
          <w:kern w:val="0"/>
          <w:lang w:val="es-CO" w:eastAsia="es-MX"/>
          <w14:ligatures w14:val="none"/>
        </w:rPr>
      </w:pPr>
      <w:r w:rsidRPr="00270128">
        <w:rPr>
          <w:rFonts w:ascii="Times New Roman" w:eastAsia="Times New Roman" w:hAnsi="Times New Roman" w:cs="Times New Roman"/>
          <w:kern w:val="0"/>
          <w:lang w:val="es-CO" w:eastAsia="es-MX"/>
          <w14:ligatures w14:val="none"/>
        </w:rPr>
        <w:br/>
      </w:r>
    </w:p>
    <w:p w14:paraId="25103000" w14:textId="77777777" w:rsidR="00270128" w:rsidRPr="00270128" w:rsidRDefault="00270128" w:rsidP="00270128">
      <w:pPr>
        <w:numPr>
          <w:ilvl w:val="0"/>
          <w:numId w:val="10"/>
        </w:numPr>
        <w:jc w:val="both"/>
        <w:textAlignment w:val="baseline"/>
        <w:rPr>
          <w:rFonts w:ascii="Verdana" w:eastAsia="Times New Roman" w:hAnsi="Verdana" w:cs="Times New Roman"/>
          <w:color w:val="000000"/>
          <w:kern w:val="0"/>
          <w:lang w:val="es-CO" w:eastAsia="es-MX"/>
          <w14:ligatures w14:val="none"/>
        </w:rPr>
      </w:pPr>
      <w:r w:rsidRPr="00270128">
        <w:rPr>
          <w:rFonts w:ascii="Verdana" w:eastAsia="Times New Roman" w:hAnsi="Verdana" w:cs="Times New Roman"/>
          <w:color w:val="000000"/>
          <w:kern w:val="0"/>
          <w:lang w:val="es-CO" w:eastAsia="es-MX"/>
          <w14:ligatures w14:val="none"/>
        </w:rPr>
        <w:lastRenderedPageBreak/>
        <w:t>Conceder la autorización de numeración consecutiva a proveedores ficticios con calificación vigente, no sólo desconocería la finalidad del tipo sancionatorio contemplado en el artículo 671 del Estatuto Tributario, que no es otra diferente a la de evitar que estas personas simulen o creen operaciones inexistentes mediante la expedición de facturas de venta, sino que tornaría inocua la medida de inhabilitación que establece el artículo 1.5.1.6.2.5 de la mencionada resolución.</w:t>
      </w:r>
    </w:p>
    <w:p w14:paraId="790E29C4" w14:textId="77777777" w:rsidR="00270128" w:rsidRPr="00270128" w:rsidRDefault="00270128" w:rsidP="00270128">
      <w:pPr>
        <w:rPr>
          <w:rFonts w:ascii="Times New Roman" w:eastAsia="Times New Roman" w:hAnsi="Times New Roman" w:cs="Times New Roman"/>
          <w:kern w:val="0"/>
          <w:lang w:val="es-CO" w:eastAsia="es-MX"/>
          <w14:ligatures w14:val="none"/>
        </w:rPr>
      </w:pPr>
      <w:r w:rsidRPr="00270128">
        <w:rPr>
          <w:rFonts w:ascii="Times New Roman" w:eastAsia="Times New Roman" w:hAnsi="Times New Roman" w:cs="Times New Roman"/>
          <w:kern w:val="0"/>
          <w:lang w:val="es-CO" w:eastAsia="es-MX"/>
          <w14:ligatures w14:val="none"/>
        </w:rPr>
        <w:br/>
      </w:r>
    </w:p>
    <w:p w14:paraId="2F654621" w14:textId="77777777" w:rsidR="00270128" w:rsidRPr="00270128" w:rsidRDefault="00270128" w:rsidP="00270128">
      <w:pPr>
        <w:numPr>
          <w:ilvl w:val="0"/>
          <w:numId w:val="11"/>
        </w:numPr>
        <w:jc w:val="both"/>
        <w:textAlignment w:val="baseline"/>
        <w:rPr>
          <w:rFonts w:ascii="Verdana" w:eastAsia="Times New Roman" w:hAnsi="Verdana" w:cs="Times New Roman"/>
          <w:color w:val="000000"/>
          <w:kern w:val="0"/>
          <w:lang w:val="es-CO" w:eastAsia="es-MX"/>
          <w14:ligatures w14:val="none"/>
        </w:rPr>
      </w:pPr>
      <w:r w:rsidRPr="00270128">
        <w:rPr>
          <w:rFonts w:ascii="Verdana" w:eastAsia="Times New Roman" w:hAnsi="Verdana" w:cs="Times New Roman"/>
          <w:color w:val="000000"/>
          <w:kern w:val="0"/>
          <w:lang w:val="es-CO" w:eastAsia="es-MX"/>
          <w14:ligatures w14:val="none"/>
        </w:rPr>
        <w:t>En consecuencia, la DIAN no puede conceder autorización de numeración consecutiva solicitada por proveedores ficticios con calificación vigente en los términos que señala el artículo 671 del Estatuto Tributario.</w:t>
      </w:r>
    </w:p>
    <w:p w14:paraId="5B40387A" w14:textId="77777777" w:rsidR="00270128" w:rsidRPr="00270128" w:rsidRDefault="00270128" w:rsidP="00270128">
      <w:pPr>
        <w:rPr>
          <w:rFonts w:ascii="Times New Roman" w:eastAsia="Times New Roman" w:hAnsi="Times New Roman" w:cs="Times New Roman"/>
          <w:kern w:val="0"/>
          <w:lang w:val="es-CO" w:eastAsia="es-MX"/>
          <w14:ligatures w14:val="none"/>
        </w:rPr>
      </w:pPr>
      <w:r w:rsidRPr="00270128">
        <w:rPr>
          <w:rFonts w:ascii="Times New Roman" w:eastAsia="Times New Roman" w:hAnsi="Times New Roman" w:cs="Times New Roman"/>
          <w:kern w:val="0"/>
          <w:lang w:val="es-CO" w:eastAsia="es-MX"/>
          <w14:ligatures w14:val="none"/>
        </w:rPr>
        <w:br/>
      </w:r>
    </w:p>
    <w:p w14:paraId="49C38E04" w14:textId="77777777" w:rsidR="00270128" w:rsidRPr="00270128" w:rsidRDefault="00270128" w:rsidP="00270128">
      <w:pPr>
        <w:numPr>
          <w:ilvl w:val="0"/>
          <w:numId w:val="12"/>
        </w:numPr>
        <w:jc w:val="both"/>
        <w:textAlignment w:val="baseline"/>
        <w:rPr>
          <w:rFonts w:ascii="Verdana" w:eastAsia="Times New Roman" w:hAnsi="Verdana" w:cs="Times New Roman"/>
          <w:color w:val="000000"/>
          <w:kern w:val="0"/>
          <w:lang w:val="es-CO" w:eastAsia="es-MX"/>
          <w14:ligatures w14:val="none"/>
        </w:rPr>
      </w:pPr>
      <w:r w:rsidRPr="00270128">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6E2C064B" w14:textId="77777777" w:rsidR="00270128" w:rsidRPr="00270128" w:rsidRDefault="00270128" w:rsidP="00270128">
      <w:pPr>
        <w:spacing w:after="240"/>
        <w:rPr>
          <w:rFonts w:ascii="Times New Roman" w:eastAsia="Times New Roman" w:hAnsi="Times New Roman" w:cs="Times New Roman"/>
          <w:kern w:val="0"/>
          <w:lang w:val="es-CO" w:eastAsia="es-MX"/>
          <w14:ligatures w14:val="none"/>
        </w:rPr>
      </w:pPr>
    </w:p>
    <w:p w14:paraId="29FA5918"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color w:val="000000"/>
          <w:kern w:val="0"/>
          <w:lang w:val="es-CO" w:eastAsia="es-MX"/>
          <w14:ligatures w14:val="none"/>
        </w:rPr>
        <w:t>Atentamente,</w:t>
      </w:r>
    </w:p>
    <w:p w14:paraId="0438AC23" w14:textId="77777777" w:rsidR="00270128" w:rsidRPr="00270128" w:rsidRDefault="00270128" w:rsidP="00270128">
      <w:pPr>
        <w:spacing w:after="240"/>
        <w:rPr>
          <w:rFonts w:ascii="Times New Roman" w:eastAsia="Times New Roman" w:hAnsi="Times New Roman" w:cs="Times New Roman"/>
          <w:kern w:val="0"/>
          <w:lang w:val="es-CO" w:eastAsia="es-MX"/>
          <w14:ligatures w14:val="none"/>
        </w:rPr>
      </w:pPr>
      <w:r w:rsidRPr="00270128">
        <w:rPr>
          <w:rFonts w:ascii="Times New Roman" w:eastAsia="Times New Roman" w:hAnsi="Times New Roman" w:cs="Times New Roman"/>
          <w:kern w:val="0"/>
          <w:lang w:val="es-CO" w:eastAsia="es-MX"/>
          <w14:ligatures w14:val="none"/>
        </w:rPr>
        <w:br/>
      </w:r>
    </w:p>
    <w:p w14:paraId="0D3079F5"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b/>
          <w:bCs/>
          <w:color w:val="000000"/>
          <w:kern w:val="0"/>
          <w:lang w:val="es-CO" w:eastAsia="es-MX"/>
          <w14:ligatures w14:val="none"/>
        </w:rPr>
        <w:t>INGRID CASTAÑEDA CEPEDA</w:t>
      </w:r>
    </w:p>
    <w:p w14:paraId="17C36B2C"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color w:val="000000"/>
          <w:kern w:val="0"/>
          <w:lang w:val="es-CO" w:eastAsia="es-MX"/>
          <w14:ligatures w14:val="none"/>
        </w:rPr>
        <w:t>Subdirectora de Normativa y Doctrina (A)</w:t>
      </w:r>
    </w:p>
    <w:p w14:paraId="3EF32F2E"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color w:val="000000"/>
          <w:kern w:val="0"/>
          <w:lang w:val="es-CO" w:eastAsia="es-MX"/>
          <w14:ligatures w14:val="none"/>
        </w:rPr>
        <w:t>Subdirección de Normativa y Doctrina</w:t>
      </w:r>
    </w:p>
    <w:p w14:paraId="1265DA65"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color w:val="000000"/>
          <w:kern w:val="0"/>
          <w:lang w:val="es-CO" w:eastAsia="es-MX"/>
          <w14:ligatures w14:val="none"/>
        </w:rPr>
        <w:t>Dirección de Gestión Jurídica</w:t>
      </w:r>
    </w:p>
    <w:p w14:paraId="687810A2" w14:textId="77777777" w:rsidR="00270128" w:rsidRPr="00270128" w:rsidRDefault="00270128" w:rsidP="00270128">
      <w:pPr>
        <w:jc w:val="both"/>
        <w:rPr>
          <w:rFonts w:ascii="Times New Roman" w:eastAsia="Times New Roman" w:hAnsi="Times New Roman" w:cs="Times New Roman"/>
          <w:kern w:val="0"/>
          <w:lang w:val="es-CO" w:eastAsia="es-MX"/>
          <w14:ligatures w14:val="none"/>
        </w:rPr>
      </w:pPr>
      <w:r w:rsidRPr="00270128">
        <w:rPr>
          <w:rFonts w:ascii="Verdana" w:eastAsia="Times New Roman" w:hAnsi="Verdana" w:cs="Times New Roman"/>
          <w:color w:val="000000"/>
          <w:kern w:val="0"/>
          <w:lang w:val="es-CO" w:eastAsia="es-MX"/>
          <w14:ligatures w14:val="none"/>
        </w:rPr>
        <w:t>www.dian.gov.co</w:t>
      </w:r>
    </w:p>
    <w:p w14:paraId="6122FCAD" w14:textId="77777777" w:rsidR="00270128" w:rsidRPr="00270128" w:rsidRDefault="00270128" w:rsidP="00270128">
      <w:pPr>
        <w:rPr>
          <w:rFonts w:ascii="Times New Roman" w:eastAsia="Times New Roman" w:hAnsi="Times New Roman" w:cs="Times New Roman"/>
          <w:kern w:val="0"/>
          <w:lang w:val="es-CO" w:eastAsia="es-MX"/>
          <w14:ligatures w14:val="none"/>
        </w:rPr>
      </w:pPr>
    </w:p>
    <w:p w14:paraId="68A855CB"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C44DE"/>
    <w:multiLevelType w:val="multilevel"/>
    <w:tmpl w:val="6066B32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3A438D"/>
    <w:multiLevelType w:val="multilevel"/>
    <w:tmpl w:val="8A64929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BA0AAC"/>
    <w:multiLevelType w:val="multilevel"/>
    <w:tmpl w:val="302ECAE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F1363E"/>
    <w:multiLevelType w:val="multilevel"/>
    <w:tmpl w:val="63066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9B4594"/>
    <w:multiLevelType w:val="multilevel"/>
    <w:tmpl w:val="09FA1C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11849E6"/>
    <w:multiLevelType w:val="multilevel"/>
    <w:tmpl w:val="6D04D38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08681E"/>
    <w:multiLevelType w:val="multilevel"/>
    <w:tmpl w:val="371817A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6B061A"/>
    <w:multiLevelType w:val="multilevel"/>
    <w:tmpl w:val="9E8A85C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FF302C5"/>
    <w:multiLevelType w:val="multilevel"/>
    <w:tmpl w:val="F9FCDC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A001FCA"/>
    <w:multiLevelType w:val="multilevel"/>
    <w:tmpl w:val="67BCFB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1DE0238"/>
    <w:multiLevelType w:val="multilevel"/>
    <w:tmpl w:val="9A3EDB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5524569"/>
    <w:multiLevelType w:val="multilevel"/>
    <w:tmpl w:val="003C59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70623355">
    <w:abstractNumId w:val="3"/>
  </w:num>
  <w:num w:numId="2" w16cid:durableId="1349287821">
    <w:abstractNumId w:val="11"/>
    <w:lvlOverride w:ilvl="0">
      <w:lvl w:ilvl="0">
        <w:numFmt w:val="decimal"/>
        <w:lvlText w:val="%1."/>
        <w:lvlJc w:val="left"/>
      </w:lvl>
    </w:lvlOverride>
  </w:num>
  <w:num w:numId="3" w16cid:durableId="251553846">
    <w:abstractNumId w:val="10"/>
    <w:lvlOverride w:ilvl="0">
      <w:lvl w:ilvl="0">
        <w:numFmt w:val="decimal"/>
        <w:lvlText w:val="%1."/>
        <w:lvlJc w:val="left"/>
      </w:lvl>
    </w:lvlOverride>
  </w:num>
  <w:num w:numId="4" w16cid:durableId="932280940">
    <w:abstractNumId w:val="9"/>
    <w:lvlOverride w:ilvl="0">
      <w:lvl w:ilvl="0">
        <w:numFmt w:val="decimal"/>
        <w:lvlText w:val="%1."/>
        <w:lvlJc w:val="left"/>
      </w:lvl>
    </w:lvlOverride>
  </w:num>
  <w:num w:numId="5" w16cid:durableId="483006092">
    <w:abstractNumId w:val="4"/>
    <w:lvlOverride w:ilvl="0">
      <w:lvl w:ilvl="0">
        <w:numFmt w:val="decimal"/>
        <w:lvlText w:val="%1."/>
        <w:lvlJc w:val="left"/>
      </w:lvl>
    </w:lvlOverride>
  </w:num>
  <w:num w:numId="6" w16cid:durableId="1224024276">
    <w:abstractNumId w:val="0"/>
    <w:lvlOverride w:ilvl="0">
      <w:lvl w:ilvl="0">
        <w:numFmt w:val="decimal"/>
        <w:lvlText w:val="%1."/>
        <w:lvlJc w:val="left"/>
      </w:lvl>
    </w:lvlOverride>
  </w:num>
  <w:num w:numId="7" w16cid:durableId="1028215656">
    <w:abstractNumId w:val="8"/>
    <w:lvlOverride w:ilvl="0">
      <w:lvl w:ilvl="0">
        <w:numFmt w:val="decimal"/>
        <w:lvlText w:val="%1."/>
        <w:lvlJc w:val="left"/>
      </w:lvl>
    </w:lvlOverride>
  </w:num>
  <w:num w:numId="8" w16cid:durableId="841317535">
    <w:abstractNumId w:val="1"/>
    <w:lvlOverride w:ilvl="0">
      <w:lvl w:ilvl="0">
        <w:numFmt w:val="decimal"/>
        <w:lvlText w:val="%1."/>
        <w:lvlJc w:val="left"/>
      </w:lvl>
    </w:lvlOverride>
  </w:num>
  <w:num w:numId="9" w16cid:durableId="399905504">
    <w:abstractNumId w:val="7"/>
    <w:lvlOverride w:ilvl="0">
      <w:lvl w:ilvl="0">
        <w:numFmt w:val="decimal"/>
        <w:lvlText w:val="%1."/>
        <w:lvlJc w:val="left"/>
      </w:lvl>
    </w:lvlOverride>
  </w:num>
  <w:num w:numId="10" w16cid:durableId="1656447028">
    <w:abstractNumId w:val="6"/>
    <w:lvlOverride w:ilvl="0">
      <w:lvl w:ilvl="0">
        <w:numFmt w:val="decimal"/>
        <w:lvlText w:val="%1."/>
        <w:lvlJc w:val="left"/>
      </w:lvl>
    </w:lvlOverride>
  </w:num>
  <w:num w:numId="11" w16cid:durableId="788009183">
    <w:abstractNumId w:val="5"/>
    <w:lvlOverride w:ilvl="0">
      <w:lvl w:ilvl="0">
        <w:numFmt w:val="decimal"/>
        <w:lvlText w:val="%1."/>
        <w:lvlJc w:val="left"/>
      </w:lvl>
    </w:lvlOverride>
  </w:num>
  <w:num w:numId="12" w16cid:durableId="845903952">
    <w:abstractNumId w:val="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128"/>
    <w:rsid w:val="000B2285"/>
    <w:rsid w:val="001D3E0D"/>
    <w:rsid w:val="00270128"/>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24A7251"/>
  <w14:defaultImageDpi w14:val="32767"/>
  <w15:chartTrackingRefBased/>
  <w15:docId w15:val="{E92E5404-793E-2843-A139-94DD12DAE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701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701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7012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7012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7012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7012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7012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7012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7012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7012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7012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7012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7012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7012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7012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7012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7012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70128"/>
    <w:rPr>
      <w:rFonts w:eastAsiaTheme="majorEastAsia" w:cstheme="majorBidi"/>
      <w:color w:val="272727" w:themeColor="text1" w:themeTint="D8"/>
    </w:rPr>
  </w:style>
  <w:style w:type="paragraph" w:styleId="Ttulo">
    <w:name w:val="Title"/>
    <w:basedOn w:val="Normal"/>
    <w:next w:val="Normal"/>
    <w:link w:val="TtuloCar"/>
    <w:uiPriority w:val="10"/>
    <w:qFormat/>
    <w:rsid w:val="0027012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7012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7012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7012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7012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70128"/>
    <w:rPr>
      <w:i/>
      <w:iCs/>
      <w:color w:val="404040" w:themeColor="text1" w:themeTint="BF"/>
    </w:rPr>
  </w:style>
  <w:style w:type="paragraph" w:styleId="Prrafodelista">
    <w:name w:val="List Paragraph"/>
    <w:basedOn w:val="Normal"/>
    <w:uiPriority w:val="34"/>
    <w:qFormat/>
    <w:rsid w:val="00270128"/>
    <w:pPr>
      <w:ind w:left="720"/>
      <w:contextualSpacing/>
    </w:pPr>
  </w:style>
  <w:style w:type="character" w:styleId="nfasisintenso">
    <w:name w:val="Intense Emphasis"/>
    <w:basedOn w:val="Fuentedeprrafopredeter"/>
    <w:uiPriority w:val="21"/>
    <w:qFormat/>
    <w:rsid w:val="00270128"/>
    <w:rPr>
      <w:i/>
      <w:iCs/>
      <w:color w:val="2F5496" w:themeColor="accent1" w:themeShade="BF"/>
    </w:rPr>
  </w:style>
  <w:style w:type="paragraph" w:styleId="Citadestacada">
    <w:name w:val="Intense Quote"/>
    <w:basedOn w:val="Normal"/>
    <w:next w:val="Normal"/>
    <w:link w:val="CitadestacadaCar"/>
    <w:uiPriority w:val="30"/>
    <w:qFormat/>
    <w:rsid w:val="002701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70128"/>
    <w:rPr>
      <w:i/>
      <w:iCs/>
      <w:color w:val="2F5496" w:themeColor="accent1" w:themeShade="BF"/>
    </w:rPr>
  </w:style>
  <w:style w:type="character" w:styleId="Referenciaintensa">
    <w:name w:val="Intense Reference"/>
    <w:basedOn w:val="Fuentedeprrafopredeter"/>
    <w:uiPriority w:val="32"/>
    <w:qFormat/>
    <w:rsid w:val="00270128"/>
    <w:rPr>
      <w:b/>
      <w:bCs/>
      <w:smallCaps/>
      <w:color w:val="2F5496" w:themeColor="accent1" w:themeShade="BF"/>
      <w:spacing w:val="5"/>
    </w:rPr>
  </w:style>
  <w:style w:type="paragraph" w:styleId="NormalWeb">
    <w:name w:val="Normal (Web)"/>
    <w:basedOn w:val="Normal"/>
    <w:uiPriority w:val="99"/>
    <w:semiHidden/>
    <w:unhideWhenUsed/>
    <w:rsid w:val="00270128"/>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2701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744</Words>
  <Characters>4095</Characters>
  <Application>Microsoft Office Word</Application>
  <DocSecurity>0</DocSecurity>
  <Lines>34</Lines>
  <Paragraphs>9</Paragraphs>
  <ScaleCrop>false</ScaleCrop>
  <Company/>
  <LinksUpToDate>false</LinksUpToDate>
  <CharactersWithSpaces>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2026-04-20T15:56:00Z</dcterms:created>
  <dcterms:modified xsi:type="dcterms:W3CDTF">2026-04-20T15:58:00Z</dcterms:modified>
</cp:coreProperties>
</file>