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3CA84"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CONCEPTO 232 DEL 18 DE FEBRERO DE 2026</w:t>
      </w:r>
    </w:p>
    <w:p w14:paraId="7A2D01FE"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DIRECCIÓN DE IMPUESTOS Y ADUANAS NACIONALES</w:t>
      </w:r>
    </w:p>
    <w:p w14:paraId="2BB25786" w14:textId="77777777" w:rsidR="009B7756" w:rsidRPr="009B7756" w:rsidRDefault="009B7756" w:rsidP="009B7756">
      <w:pPr>
        <w:rPr>
          <w:rFonts w:ascii="Times New Roman" w:eastAsia="Times New Roman" w:hAnsi="Times New Roman" w:cs="Times New Roman"/>
          <w:kern w:val="0"/>
          <w:lang w:val="es-CO" w:eastAsia="es-MX"/>
          <w14:ligatures w14:val="none"/>
        </w:rPr>
      </w:pPr>
    </w:p>
    <w:p w14:paraId="73D478E2"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Bogotá D.C.,</w:t>
      </w:r>
    </w:p>
    <w:p w14:paraId="392E61B3" w14:textId="77777777" w:rsidR="009B7756" w:rsidRPr="009B7756" w:rsidRDefault="009B7756" w:rsidP="009B7756">
      <w:pPr>
        <w:rPr>
          <w:rFonts w:ascii="Times New Roman" w:eastAsia="Times New Roman" w:hAnsi="Times New Roman" w:cs="Times New Roman"/>
          <w:kern w:val="0"/>
          <w:lang w:val="es-CO" w:eastAsia="es-MX"/>
          <w14:ligatures w14:val="none"/>
        </w:rPr>
      </w:pPr>
    </w:p>
    <w:p w14:paraId="4366E393"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Tema:</w:t>
      </w:r>
      <w:r w:rsidRPr="009B7756">
        <w:rPr>
          <w:rFonts w:ascii="Verdana" w:eastAsia="Times New Roman" w:hAnsi="Verdana" w:cs="Times New Roman"/>
          <w:b/>
          <w:bCs/>
          <w:color w:val="000000"/>
          <w:kern w:val="0"/>
          <w:lang w:val="es-CO" w:eastAsia="es-MX"/>
          <w14:ligatures w14:val="none"/>
        </w:rPr>
        <w:tab/>
      </w:r>
      <w:r w:rsidRPr="009B7756">
        <w:rPr>
          <w:rFonts w:ascii="Verdana" w:eastAsia="Times New Roman" w:hAnsi="Verdana" w:cs="Times New Roman"/>
          <w:b/>
          <w:bCs/>
          <w:color w:val="000000"/>
          <w:kern w:val="0"/>
          <w:lang w:val="es-CO" w:eastAsia="es-MX"/>
          <w14:ligatures w14:val="none"/>
        </w:rPr>
        <w:tab/>
      </w:r>
      <w:r w:rsidRPr="009B7756">
        <w:rPr>
          <w:rFonts w:ascii="Verdana" w:eastAsia="Times New Roman" w:hAnsi="Verdana" w:cs="Times New Roman"/>
          <w:b/>
          <w:bCs/>
          <w:color w:val="000000"/>
          <w:kern w:val="0"/>
          <w:lang w:val="es-CO" w:eastAsia="es-MX"/>
          <w14:ligatures w14:val="none"/>
        </w:rPr>
        <w:tab/>
      </w:r>
      <w:r w:rsidRPr="009B7756">
        <w:rPr>
          <w:rFonts w:ascii="Verdana" w:eastAsia="Times New Roman" w:hAnsi="Verdana" w:cs="Times New Roman"/>
          <w:color w:val="000000"/>
          <w:kern w:val="0"/>
          <w:lang w:val="es-CO" w:eastAsia="es-MX"/>
          <w14:ligatures w14:val="none"/>
        </w:rPr>
        <w:t>Impuesto sobre las Ventas - IVA</w:t>
      </w:r>
    </w:p>
    <w:p w14:paraId="5D35462F"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Descriptores:</w:t>
      </w:r>
      <w:r w:rsidRPr="009B7756">
        <w:rPr>
          <w:rFonts w:ascii="Verdana" w:eastAsia="Times New Roman" w:hAnsi="Verdana" w:cs="Times New Roman"/>
          <w:b/>
          <w:bCs/>
          <w:color w:val="000000"/>
          <w:kern w:val="0"/>
          <w:lang w:val="es-CO" w:eastAsia="es-MX"/>
          <w14:ligatures w14:val="none"/>
        </w:rPr>
        <w:tab/>
      </w:r>
      <w:r w:rsidRPr="009B7756">
        <w:rPr>
          <w:rFonts w:ascii="Verdana" w:eastAsia="Times New Roman" w:hAnsi="Verdana" w:cs="Times New Roman"/>
          <w:b/>
          <w:bCs/>
          <w:color w:val="000000"/>
          <w:kern w:val="0"/>
          <w:lang w:val="es-CO" w:eastAsia="es-MX"/>
          <w14:ligatures w14:val="none"/>
        </w:rPr>
        <w:tab/>
      </w:r>
      <w:r w:rsidRPr="009B7756">
        <w:rPr>
          <w:rFonts w:ascii="Verdana" w:eastAsia="Times New Roman" w:hAnsi="Verdana" w:cs="Times New Roman"/>
          <w:color w:val="000000"/>
          <w:kern w:val="0"/>
          <w:lang w:val="es-CO" w:eastAsia="es-MX"/>
          <w14:ligatures w14:val="none"/>
        </w:rPr>
        <w:t>Servicios gravados</w:t>
      </w:r>
    </w:p>
    <w:p w14:paraId="5FD2535C" w14:textId="77777777" w:rsidR="009B7756" w:rsidRPr="009B7756" w:rsidRDefault="009B7756" w:rsidP="009B7756">
      <w:pPr>
        <w:ind w:left="2127" w:firstLine="709"/>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Registro de garantías mobiliarias- RGM</w:t>
      </w:r>
    </w:p>
    <w:p w14:paraId="22D4EBE8" w14:textId="77777777" w:rsidR="009B7756" w:rsidRPr="009B7756" w:rsidRDefault="009B7756" w:rsidP="009B7756">
      <w:pPr>
        <w:ind w:left="2127" w:firstLine="709"/>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Exclusiones</w:t>
      </w:r>
    </w:p>
    <w:p w14:paraId="5D6AE3F1"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Fuentes formales:</w:t>
      </w:r>
      <w:r w:rsidRPr="009B7756">
        <w:rPr>
          <w:rFonts w:ascii="Verdana" w:eastAsia="Times New Roman" w:hAnsi="Verdana" w:cs="Times New Roman"/>
          <w:b/>
          <w:bCs/>
          <w:color w:val="000000"/>
          <w:kern w:val="0"/>
          <w:lang w:val="es-CO" w:eastAsia="es-MX"/>
          <w14:ligatures w14:val="none"/>
        </w:rPr>
        <w:tab/>
      </w:r>
      <w:r w:rsidRPr="009B7756">
        <w:rPr>
          <w:rFonts w:ascii="Verdana" w:eastAsia="Times New Roman" w:hAnsi="Verdana" w:cs="Times New Roman"/>
          <w:color w:val="000000"/>
          <w:kern w:val="0"/>
          <w:lang w:val="es-CO" w:eastAsia="es-MX"/>
          <w14:ligatures w14:val="none"/>
        </w:rPr>
        <w:t>Artículos 420 y 476 del Estatuto Tributario</w:t>
      </w:r>
    </w:p>
    <w:p w14:paraId="68B78B63" w14:textId="77777777" w:rsidR="009B7756" w:rsidRPr="009B7756" w:rsidRDefault="009B7756" w:rsidP="009B7756">
      <w:pPr>
        <w:ind w:left="2836"/>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Artículos 1.3.1.2.1 del Decreto 1625 de 2016 (D.U.R.T)</w:t>
      </w:r>
    </w:p>
    <w:p w14:paraId="646B31F3" w14:textId="77777777" w:rsidR="009B7756" w:rsidRPr="009B7756" w:rsidRDefault="009B7756" w:rsidP="009B7756">
      <w:pPr>
        <w:ind w:left="2127" w:firstLine="709"/>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Artículos 39 y 44 de la Ley 1676 de 2013</w:t>
      </w:r>
    </w:p>
    <w:p w14:paraId="7F682113" w14:textId="77777777" w:rsidR="009B7756" w:rsidRPr="009B7756" w:rsidRDefault="009B7756" w:rsidP="009B7756">
      <w:pPr>
        <w:ind w:left="2836"/>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Artículo 2.2.2.4.1.3. del Decreto 1074 de 2015 - Único reglamentario del Sector Comercio, Industria y Turismo</w:t>
      </w:r>
    </w:p>
    <w:p w14:paraId="58C9C206"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4F253E37" w14:textId="77777777" w:rsidR="009B7756" w:rsidRPr="009B7756" w:rsidRDefault="009B7756" w:rsidP="009B7756">
      <w:pPr>
        <w:numPr>
          <w:ilvl w:val="0"/>
          <w:numId w:val="1"/>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62D09C3F" w14:textId="77777777" w:rsidR="009B7756" w:rsidRPr="009B7756" w:rsidRDefault="009B7756" w:rsidP="009B7756">
      <w:pPr>
        <w:rPr>
          <w:rFonts w:ascii="Times New Roman" w:eastAsia="Times New Roman" w:hAnsi="Times New Roman" w:cs="Times New Roman"/>
          <w:kern w:val="0"/>
          <w:lang w:val="es-CO" w:eastAsia="es-MX"/>
          <w14:ligatures w14:val="none"/>
        </w:rPr>
      </w:pPr>
    </w:p>
    <w:p w14:paraId="7806F5AC"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PROBLEMA JURÍDICO</w:t>
      </w:r>
    </w:p>
    <w:p w14:paraId="3E0BD10E"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665FCC71" w14:textId="77777777" w:rsidR="009B7756" w:rsidRPr="009B7756" w:rsidRDefault="009B7756" w:rsidP="009B7756">
      <w:pPr>
        <w:numPr>
          <w:ilvl w:val="0"/>
          <w:numId w:val="2"/>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El servicio de inscripción en el registro de garantías mobiliarias (RGM), previsto en la Ley 1676 de 2013, ¿se encuentra gravado con el impuesto sobre las ventas- IVA?</w:t>
      </w:r>
    </w:p>
    <w:p w14:paraId="0432FA66" w14:textId="77777777" w:rsidR="009B7756" w:rsidRPr="009B7756" w:rsidRDefault="009B7756" w:rsidP="009B7756">
      <w:pPr>
        <w:rPr>
          <w:rFonts w:ascii="Times New Roman" w:eastAsia="Times New Roman" w:hAnsi="Times New Roman" w:cs="Times New Roman"/>
          <w:kern w:val="0"/>
          <w:lang w:val="es-CO" w:eastAsia="es-MX"/>
          <w14:ligatures w14:val="none"/>
        </w:rPr>
      </w:pPr>
    </w:p>
    <w:p w14:paraId="32BCCB62"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TESIS JURIDICA</w:t>
      </w:r>
    </w:p>
    <w:p w14:paraId="0FD34E83"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3877BE3F" w14:textId="77777777" w:rsidR="009B7756" w:rsidRPr="009B7756" w:rsidRDefault="009B7756" w:rsidP="009B7756">
      <w:pPr>
        <w:numPr>
          <w:ilvl w:val="0"/>
          <w:numId w:val="3"/>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Si. El pago de derechos por la prestación del servicio de registro de garantías mobiliarias-RGM, administrado por la Confederación de Cámaras de Comercio – Confecámaras, se encuentra gravado con el impuesto sobre las ventas- IVA en el porcentaje correspondiente a la remuneración por la prestación del servicio.</w:t>
      </w:r>
    </w:p>
    <w:p w14:paraId="64CA5BBD"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422E4E3B" w14:textId="77777777" w:rsidR="009B7756" w:rsidRPr="009B7756" w:rsidRDefault="009B7756" w:rsidP="009B7756">
      <w:pPr>
        <w:numPr>
          <w:ilvl w:val="0"/>
          <w:numId w:val="4"/>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 xml:space="preserve">No así, el porcentaje del costo de los derechos de registro del RGM, por concepto de la tasa fija y razonable que cubre los gastos de </w:t>
      </w:r>
      <w:r w:rsidRPr="009B7756">
        <w:rPr>
          <w:rFonts w:ascii="Verdana" w:eastAsia="Times New Roman" w:hAnsi="Verdana" w:cs="Times New Roman"/>
          <w:color w:val="000000"/>
          <w:kern w:val="0"/>
          <w:lang w:val="es-CO" w:eastAsia="es-MX"/>
          <w14:ligatures w14:val="none"/>
        </w:rPr>
        <w:lastRenderedPageBreak/>
        <w:t>operación del registro, se encuentra excluida del IVA por expresa disposición del artículo 1.3.1.13.6 del Decreto No.1625 de 2016 – D.U.R.T.</w:t>
      </w:r>
    </w:p>
    <w:p w14:paraId="057C0ED8" w14:textId="77777777" w:rsidR="009B7756" w:rsidRPr="009B7756" w:rsidRDefault="009B7756" w:rsidP="009B7756">
      <w:pPr>
        <w:rPr>
          <w:rFonts w:ascii="Times New Roman" w:eastAsia="Times New Roman" w:hAnsi="Times New Roman" w:cs="Times New Roman"/>
          <w:kern w:val="0"/>
          <w:lang w:val="es-CO" w:eastAsia="es-MX"/>
          <w14:ligatures w14:val="none"/>
        </w:rPr>
      </w:pPr>
    </w:p>
    <w:p w14:paraId="03522D0B"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FUNDAMENTACION</w:t>
      </w:r>
    </w:p>
    <w:p w14:paraId="0296B7CC"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6B15B472" w14:textId="77777777" w:rsidR="009B7756" w:rsidRPr="009B7756" w:rsidRDefault="009B7756" w:rsidP="009B7756">
      <w:pPr>
        <w:numPr>
          <w:ilvl w:val="0"/>
          <w:numId w:val="5"/>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La doctrina oficial de la DIAN al analizar la objetividad de la configuración del Impuesto Sobre las Ventas - IVA y sus exclusiones, específicamente en lo relativo a las actividades registrales ejercidas por las cámaras de comercio, ha considerado que dichos servicios no se encuentran gravados con este impuesto al ser considerados como tasas.</w:t>
      </w:r>
    </w:p>
    <w:p w14:paraId="3AB8781D"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51E4C8BA" w14:textId="77777777" w:rsidR="009B7756" w:rsidRPr="009B7756" w:rsidRDefault="009B7756" w:rsidP="009B7756">
      <w:pPr>
        <w:numPr>
          <w:ilvl w:val="0"/>
          <w:numId w:val="6"/>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En el caso específico del servicio prestado por la Confederación de Cámaras de Comercio – Confecámaras para el registro de las garantías mobiliarias – en adelante RGM, comprende, entre otros, las actividades de administración de un sistema de archivo público de la información contenida tanto en los formularios iniciales y como en las anotaciones posteriores al mismo.</w:t>
      </w:r>
    </w:p>
    <w:p w14:paraId="50F55964"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6F7338A7" w14:textId="77777777" w:rsidR="009B7756" w:rsidRPr="009B7756" w:rsidRDefault="009B7756" w:rsidP="009B7756">
      <w:pPr>
        <w:numPr>
          <w:ilvl w:val="0"/>
          <w:numId w:val="7"/>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Las características del RGM, son las enunciadas en el artículo 39 de la Ley 1676 de 2013, así como las actividades y responsabilidades derivadas del mismo para Confecámaras son las consignadas en el artículo 2.2.2.4.1.3. del Decreto 1074 de 2015 - Único reglamentario del Sector Comercio, Industria y Turismo, entre las que se incluye disponer de mecanismos de pago por internet de los derechos de registro.</w:t>
      </w:r>
    </w:p>
    <w:p w14:paraId="32514B04"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73B7A4F4" w14:textId="77777777" w:rsidR="009B7756" w:rsidRPr="009B7756" w:rsidRDefault="009B7756" w:rsidP="009B7756">
      <w:pPr>
        <w:numPr>
          <w:ilvl w:val="0"/>
          <w:numId w:val="8"/>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Teniendo en cuenta que Confecámaras presta un servicio registral de carácter público, en el cual los costos en que se incurre con la prestación de este se recuperan a través de un valor, es pertinente analizar cuál es la naturaleza jurídica que ostentan los pagos por dichos costos.</w:t>
      </w:r>
    </w:p>
    <w:p w14:paraId="67400FF0"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1FB0483A" w14:textId="77777777" w:rsidR="009B7756" w:rsidRPr="009B7756" w:rsidRDefault="009B7756" w:rsidP="009B7756">
      <w:pPr>
        <w:numPr>
          <w:ilvl w:val="0"/>
          <w:numId w:val="9"/>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Para el caso del Registro Único Empresarial y Social – RUES, un servicio similar al RGM, que es administrado por las cámaras de comercio, tal como ha sido advertido por la doctrina oficial de la DIAN y en los términos del artículo 182 de la Ley 1607 de 2012, todo el valor pagado por el mismo ostenta la naturaleza jurídica de una tasa.</w:t>
      </w:r>
    </w:p>
    <w:p w14:paraId="48CF8AF9"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5D134B3F" w14:textId="77777777" w:rsidR="009B7756" w:rsidRPr="009B7756" w:rsidRDefault="009B7756" w:rsidP="009B7756">
      <w:pPr>
        <w:numPr>
          <w:ilvl w:val="0"/>
          <w:numId w:val="10"/>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lastRenderedPageBreak/>
        <w:t xml:space="preserve">Ahora bien, para el caso del RGM, mediante el artículo 44 de la ley 1676 de 2013, se especificó que los derechos de registro, que deben ser prepagados para acceder al servicio, se basan en i) una tasa fija y razonable, con el objeto de cubrir tanto los gastos de operación, como </w:t>
      </w:r>
      <w:proofErr w:type="spellStart"/>
      <w:r w:rsidRPr="009B7756">
        <w:rPr>
          <w:rFonts w:ascii="Verdana" w:eastAsia="Times New Roman" w:hAnsi="Verdana" w:cs="Times New Roman"/>
          <w:color w:val="000000"/>
          <w:kern w:val="0"/>
          <w:lang w:val="es-CO" w:eastAsia="es-MX"/>
          <w14:ligatures w14:val="none"/>
        </w:rPr>
        <w:t>ii</w:t>
      </w:r>
      <w:proofErr w:type="spellEnd"/>
      <w:r w:rsidRPr="009B7756">
        <w:rPr>
          <w:rFonts w:ascii="Verdana" w:eastAsia="Times New Roman" w:hAnsi="Verdana" w:cs="Times New Roman"/>
          <w:color w:val="000000"/>
          <w:kern w:val="0"/>
          <w:lang w:val="es-CO" w:eastAsia="es-MX"/>
          <w14:ligatures w14:val="none"/>
        </w:rPr>
        <w:t>) la inclusión de la remuneración por la prestación de servicio.</w:t>
      </w:r>
    </w:p>
    <w:p w14:paraId="483A9317"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0A29C614" w14:textId="77777777" w:rsidR="009B7756" w:rsidRPr="009B7756" w:rsidRDefault="009B7756" w:rsidP="009B7756">
      <w:pPr>
        <w:numPr>
          <w:ilvl w:val="0"/>
          <w:numId w:val="11"/>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Al ser esta tasa destinada a cubrir la totalidad de los costos y gastos asumidos por Confecámaras en su calidad de administrador del RGM y la tarifa por ella fijada, se establece como recuperación de los costos de los servicios prestados, se entiende que dichos servicios derivados de la función registral, en virtud de la descentralización por colaboración, se encuentran excluidos del pago del IVA.</w:t>
      </w:r>
    </w:p>
    <w:p w14:paraId="7FA0B63E"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537C6594" w14:textId="77777777" w:rsidR="009B7756" w:rsidRPr="009B7756" w:rsidRDefault="009B7756" w:rsidP="009B7756">
      <w:pPr>
        <w:numPr>
          <w:ilvl w:val="0"/>
          <w:numId w:val="12"/>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Con esta precisión, tenemos que la parte del pago de la tarifa de los derechos de registro en el RGM correspondiente a la tasa fija y razonable, destinados cubrir todos los gastos de operación del registro estarán excluidos del IVA de conformidad con el artículo 1.3.1.13.6 del Decreto 1625 de 2016 – D.U.R.T, que consagra la prohibición de someter al impuesto sobre las ventas, entre otros tributos, a las tasas.</w:t>
      </w:r>
    </w:p>
    <w:p w14:paraId="6651BEBF"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690F9960" w14:textId="77777777" w:rsidR="009B7756" w:rsidRPr="009B7756" w:rsidRDefault="009B7756" w:rsidP="009B7756">
      <w:pPr>
        <w:numPr>
          <w:ilvl w:val="0"/>
          <w:numId w:val="13"/>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De otro lado, el porcentaje del pago de derechos de registro en el RGM, que se percibe como “remuneración” del servicio prestado por Confecámaras, no le resultan aplicables los anteriores razonamientos, en tanto dichos pagos están orientados a servir de contraprestación por el servicio prestado por aquella, por lo que estaría incluido dentro de la definición de servicios gravados del artículo 1.3.1.2.1 del Decreto No. 1625 de 2016 – D.U.R.T.</w:t>
      </w:r>
    </w:p>
    <w:p w14:paraId="167BD89C"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28319F42" w14:textId="77777777" w:rsidR="009B7756" w:rsidRPr="009B7756" w:rsidRDefault="009B7756" w:rsidP="009B7756">
      <w:pPr>
        <w:numPr>
          <w:ilvl w:val="0"/>
          <w:numId w:val="14"/>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Teniendo en cuenta que, en materia de beneficios tributarios, exenciones y exclusiones, las interpretaciones son de carácter restrictivo y, por ende, no extensivas, no es posible considerar que, en el caso del porcentaje de los derechos de registro para la tasa fija y razonable del RGM, puedan hacerse extensivas a las previsiones para la remuneración percibida por Confecámaras.</w:t>
      </w:r>
    </w:p>
    <w:p w14:paraId="12B75E80"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1FB11ED5" w14:textId="77777777" w:rsidR="009B7756" w:rsidRPr="009B7756" w:rsidRDefault="009B7756" w:rsidP="009B7756">
      <w:pPr>
        <w:numPr>
          <w:ilvl w:val="0"/>
          <w:numId w:val="15"/>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 xml:space="preserve">Por lo anterior y siguiendo la doctrina oficial de la DIAN sobre servicios gravados con IVA, le corresponderá a Confecámaras determinar qué porcentaje del pago de los derechos de registro del RGM corresponden a una contraprestación de su servicio para determinar tanto </w:t>
      </w:r>
      <w:r w:rsidRPr="009B7756">
        <w:rPr>
          <w:rFonts w:ascii="Verdana" w:eastAsia="Times New Roman" w:hAnsi="Verdana" w:cs="Times New Roman"/>
          <w:color w:val="000000"/>
          <w:kern w:val="0"/>
          <w:lang w:val="es-CO" w:eastAsia="es-MX"/>
          <w14:ligatures w14:val="none"/>
        </w:rPr>
        <w:lastRenderedPageBreak/>
        <w:t>la base gravable como la tarifa correspondiente por el impuesto sobre las ventas – IVA en cada caso concreto.</w:t>
      </w:r>
    </w:p>
    <w:p w14:paraId="68F88C0C" w14:textId="77777777" w:rsidR="009B7756" w:rsidRPr="009B7756" w:rsidRDefault="009B7756" w:rsidP="009B7756">
      <w:pPr>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22218AD1" w14:textId="77777777" w:rsidR="009B7756" w:rsidRPr="009B7756" w:rsidRDefault="009B7756" w:rsidP="009B7756">
      <w:pPr>
        <w:numPr>
          <w:ilvl w:val="0"/>
          <w:numId w:val="16"/>
        </w:numPr>
        <w:jc w:val="both"/>
        <w:textAlignment w:val="baseline"/>
        <w:rPr>
          <w:rFonts w:ascii="Verdana" w:eastAsia="Times New Roman" w:hAnsi="Verdana" w:cs="Times New Roman"/>
          <w:color w:val="000000"/>
          <w:kern w:val="0"/>
          <w:lang w:val="es-CO" w:eastAsia="es-MX"/>
          <w14:ligatures w14:val="none"/>
        </w:rPr>
      </w:pPr>
      <w:r w:rsidRPr="009B7756">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7BD74153" w14:textId="77777777" w:rsidR="009B7756" w:rsidRPr="009B7756" w:rsidRDefault="009B7756" w:rsidP="009B7756">
      <w:pPr>
        <w:spacing w:after="240"/>
        <w:rPr>
          <w:rFonts w:ascii="Times New Roman" w:eastAsia="Times New Roman" w:hAnsi="Times New Roman" w:cs="Times New Roman"/>
          <w:kern w:val="0"/>
          <w:lang w:val="es-CO" w:eastAsia="es-MX"/>
          <w14:ligatures w14:val="none"/>
        </w:rPr>
      </w:pPr>
    </w:p>
    <w:p w14:paraId="0BF1FF59"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Atentamente,</w:t>
      </w:r>
    </w:p>
    <w:p w14:paraId="5DDDA5EA" w14:textId="77777777" w:rsidR="009B7756" w:rsidRPr="009B7756" w:rsidRDefault="009B7756" w:rsidP="009B7756">
      <w:pPr>
        <w:spacing w:after="240"/>
        <w:rPr>
          <w:rFonts w:ascii="Times New Roman" w:eastAsia="Times New Roman" w:hAnsi="Times New Roman" w:cs="Times New Roman"/>
          <w:kern w:val="0"/>
          <w:lang w:val="es-CO" w:eastAsia="es-MX"/>
          <w14:ligatures w14:val="none"/>
        </w:rPr>
      </w:pPr>
      <w:r w:rsidRPr="009B7756">
        <w:rPr>
          <w:rFonts w:ascii="Times New Roman" w:eastAsia="Times New Roman" w:hAnsi="Times New Roman" w:cs="Times New Roman"/>
          <w:kern w:val="0"/>
          <w:lang w:val="es-CO" w:eastAsia="es-MX"/>
          <w14:ligatures w14:val="none"/>
        </w:rPr>
        <w:br/>
      </w:r>
    </w:p>
    <w:p w14:paraId="1B32DEC6"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b/>
          <w:bCs/>
          <w:color w:val="000000"/>
          <w:kern w:val="0"/>
          <w:lang w:val="es-CO" w:eastAsia="es-MX"/>
          <w14:ligatures w14:val="none"/>
        </w:rPr>
        <w:t>INGRID CASTAÑEDA CEPEDA</w:t>
      </w:r>
    </w:p>
    <w:p w14:paraId="09990077"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Subdirectora de Normativa y Doctrina (A)</w:t>
      </w:r>
    </w:p>
    <w:p w14:paraId="4DB380FD"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Dirección de Gestión Jurídica</w:t>
      </w:r>
    </w:p>
    <w:p w14:paraId="7A6846BE"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U.A.E. Dirección de Impuestos y Aduanas Nacionales – DIAN</w:t>
      </w:r>
    </w:p>
    <w:p w14:paraId="0D6EE941" w14:textId="77777777" w:rsidR="009B7756" w:rsidRPr="009B7756" w:rsidRDefault="009B7756" w:rsidP="009B7756">
      <w:pPr>
        <w:jc w:val="both"/>
        <w:rPr>
          <w:rFonts w:ascii="Times New Roman" w:eastAsia="Times New Roman" w:hAnsi="Times New Roman" w:cs="Times New Roman"/>
          <w:kern w:val="0"/>
          <w:lang w:val="es-CO" w:eastAsia="es-MX"/>
          <w14:ligatures w14:val="none"/>
        </w:rPr>
      </w:pPr>
      <w:r w:rsidRPr="009B7756">
        <w:rPr>
          <w:rFonts w:ascii="Verdana" w:eastAsia="Times New Roman" w:hAnsi="Verdana" w:cs="Times New Roman"/>
          <w:color w:val="000000"/>
          <w:kern w:val="0"/>
          <w:lang w:val="es-CO" w:eastAsia="es-MX"/>
          <w14:ligatures w14:val="none"/>
        </w:rPr>
        <w:t>www.dian.gov.co</w:t>
      </w:r>
    </w:p>
    <w:p w14:paraId="72F70A3F" w14:textId="77777777" w:rsidR="009B7756" w:rsidRPr="009B7756" w:rsidRDefault="009B7756" w:rsidP="009B7756">
      <w:pPr>
        <w:rPr>
          <w:rFonts w:ascii="Times New Roman" w:eastAsia="Times New Roman" w:hAnsi="Times New Roman" w:cs="Times New Roman"/>
          <w:kern w:val="0"/>
          <w:lang w:val="es-CO" w:eastAsia="es-MX"/>
          <w14:ligatures w14:val="none"/>
        </w:rPr>
      </w:pPr>
    </w:p>
    <w:p w14:paraId="14CE079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1F8A"/>
    <w:multiLevelType w:val="multilevel"/>
    <w:tmpl w:val="53069E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57383F"/>
    <w:multiLevelType w:val="multilevel"/>
    <w:tmpl w:val="182493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250EC3"/>
    <w:multiLevelType w:val="multilevel"/>
    <w:tmpl w:val="044AD4E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820F37"/>
    <w:multiLevelType w:val="multilevel"/>
    <w:tmpl w:val="D78E1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A41D5C"/>
    <w:multiLevelType w:val="multilevel"/>
    <w:tmpl w:val="F17809C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6E0D9A"/>
    <w:multiLevelType w:val="multilevel"/>
    <w:tmpl w:val="0C6CF46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47232F"/>
    <w:multiLevelType w:val="multilevel"/>
    <w:tmpl w:val="0ED677E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FC45C9"/>
    <w:multiLevelType w:val="multilevel"/>
    <w:tmpl w:val="F99A516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116334"/>
    <w:multiLevelType w:val="multilevel"/>
    <w:tmpl w:val="27D8F4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E912FC"/>
    <w:multiLevelType w:val="multilevel"/>
    <w:tmpl w:val="01F69F7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0421B8"/>
    <w:multiLevelType w:val="multilevel"/>
    <w:tmpl w:val="9ECEF44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F676F93"/>
    <w:multiLevelType w:val="multilevel"/>
    <w:tmpl w:val="4B44C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1F35D8"/>
    <w:multiLevelType w:val="multilevel"/>
    <w:tmpl w:val="D63667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22D2C37"/>
    <w:multiLevelType w:val="multilevel"/>
    <w:tmpl w:val="CEC29FE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538681E"/>
    <w:multiLevelType w:val="multilevel"/>
    <w:tmpl w:val="0600981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68715F3"/>
    <w:multiLevelType w:val="multilevel"/>
    <w:tmpl w:val="91D4DC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3255885">
    <w:abstractNumId w:val="3"/>
  </w:num>
  <w:num w:numId="2" w16cid:durableId="2093773288">
    <w:abstractNumId w:val="0"/>
    <w:lvlOverride w:ilvl="0">
      <w:lvl w:ilvl="0">
        <w:numFmt w:val="decimal"/>
        <w:lvlText w:val="%1."/>
        <w:lvlJc w:val="left"/>
      </w:lvl>
    </w:lvlOverride>
  </w:num>
  <w:num w:numId="3" w16cid:durableId="985356532">
    <w:abstractNumId w:val="15"/>
    <w:lvlOverride w:ilvl="0">
      <w:lvl w:ilvl="0">
        <w:numFmt w:val="decimal"/>
        <w:lvlText w:val="%1."/>
        <w:lvlJc w:val="left"/>
      </w:lvl>
    </w:lvlOverride>
  </w:num>
  <w:num w:numId="4" w16cid:durableId="1576814663">
    <w:abstractNumId w:val="11"/>
  </w:num>
  <w:num w:numId="5" w16cid:durableId="180896948">
    <w:abstractNumId w:val="1"/>
    <w:lvlOverride w:ilvl="0">
      <w:lvl w:ilvl="0">
        <w:numFmt w:val="decimal"/>
        <w:lvlText w:val="%1."/>
        <w:lvlJc w:val="left"/>
      </w:lvl>
    </w:lvlOverride>
  </w:num>
  <w:num w:numId="6" w16cid:durableId="577523971">
    <w:abstractNumId w:val="8"/>
    <w:lvlOverride w:ilvl="0">
      <w:lvl w:ilvl="0">
        <w:numFmt w:val="decimal"/>
        <w:lvlText w:val="%1."/>
        <w:lvlJc w:val="left"/>
      </w:lvl>
    </w:lvlOverride>
  </w:num>
  <w:num w:numId="7" w16cid:durableId="591352886">
    <w:abstractNumId w:val="12"/>
    <w:lvlOverride w:ilvl="0">
      <w:lvl w:ilvl="0">
        <w:numFmt w:val="decimal"/>
        <w:lvlText w:val="%1."/>
        <w:lvlJc w:val="left"/>
      </w:lvl>
    </w:lvlOverride>
  </w:num>
  <w:num w:numId="8" w16cid:durableId="387267834">
    <w:abstractNumId w:val="2"/>
    <w:lvlOverride w:ilvl="0">
      <w:lvl w:ilvl="0">
        <w:numFmt w:val="decimal"/>
        <w:lvlText w:val="%1."/>
        <w:lvlJc w:val="left"/>
      </w:lvl>
    </w:lvlOverride>
  </w:num>
  <w:num w:numId="9" w16cid:durableId="780103580">
    <w:abstractNumId w:val="7"/>
    <w:lvlOverride w:ilvl="0">
      <w:lvl w:ilvl="0">
        <w:numFmt w:val="decimal"/>
        <w:lvlText w:val="%1."/>
        <w:lvlJc w:val="left"/>
      </w:lvl>
    </w:lvlOverride>
  </w:num>
  <w:num w:numId="10" w16cid:durableId="2055765607">
    <w:abstractNumId w:val="9"/>
    <w:lvlOverride w:ilvl="0">
      <w:lvl w:ilvl="0">
        <w:numFmt w:val="decimal"/>
        <w:lvlText w:val="%1."/>
        <w:lvlJc w:val="left"/>
      </w:lvl>
    </w:lvlOverride>
  </w:num>
  <w:num w:numId="11" w16cid:durableId="123041901">
    <w:abstractNumId w:val="10"/>
    <w:lvlOverride w:ilvl="0">
      <w:lvl w:ilvl="0">
        <w:numFmt w:val="decimal"/>
        <w:lvlText w:val="%1."/>
        <w:lvlJc w:val="left"/>
      </w:lvl>
    </w:lvlOverride>
  </w:num>
  <w:num w:numId="12" w16cid:durableId="356272587">
    <w:abstractNumId w:val="13"/>
    <w:lvlOverride w:ilvl="0">
      <w:lvl w:ilvl="0">
        <w:numFmt w:val="decimal"/>
        <w:lvlText w:val="%1."/>
        <w:lvlJc w:val="left"/>
      </w:lvl>
    </w:lvlOverride>
  </w:num>
  <w:num w:numId="13" w16cid:durableId="1179810283">
    <w:abstractNumId w:val="6"/>
    <w:lvlOverride w:ilvl="0">
      <w:lvl w:ilvl="0">
        <w:numFmt w:val="decimal"/>
        <w:lvlText w:val="%1."/>
        <w:lvlJc w:val="left"/>
      </w:lvl>
    </w:lvlOverride>
  </w:num>
  <w:num w:numId="14" w16cid:durableId="793446799">
    <w:abstractNumId w:val="14"/>
    <w:lvlOverride w:ilvl="0">
      <w:lvl w:ilvl="0">
        <w:numFmt w:val="decimal"/>
        <w:lvlText w:val="%1."/>
        <w:lvlJc w:val="left"/>
      </w:lvl>
    </w:lvlOverride>
  </w:num>
  <w:num w:numId="15" w16cid:durableId="1570724515">
    <w:abstractNumId w:val="5"/>
    <w:lvlOverride w:ilvl="0">
      <w:lvl w:ilvl="0">
        <w:numFmt w:val="decimal"/>
        <w:lvlText w:val="%1."/>
        <w:lvlJc w:val="left"/>
      </w:lvl>
    </w:lvlOverride>
  </w:num>
  <w:num w:numId="16" w16cid:durableId="1599021826">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756"/>
    <w:rsid w:val="000B2285"/>
    <w:rsid w:val="00537D8F"/>
    <w:rsid w:val="00734DF2"/>
    <w:rsid w:val="009B7756"/>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0FA25AF"/>
  <w14:defaultImageDpi w14:val="32767"/>
  <w15:chartTrackingRefBased/>
  <w15:docId w15:val="{F195BE10-912D-8748-B7AE-8523ABD03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B775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B775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B775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B775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B775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B775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B775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B775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B775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B775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B775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B775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B775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B775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B775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B775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B775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B7756"/>
    <w:rPr>
      <w:rFonts w:eastAsiaTheme="majorEastAsia" w:cstheme="majorBidi"/>
      <w:color w:val="272727" w:themeColor="text1" w:themeTint="D8"/>
    </w:rPr>
  </w:style>
  <w:style w:type="paragraph" w:styleId="Ttulo">
    <w:name w:val="Title"/>
    <w:basedOn w:val="Normal"/>
    <w:next w:val="Normal"/>
    <w:link w:val="TtuloCar"/>
    <w:uiPriority w:val="10"/>
    <w:qFormat/>
    <w:rsid w:val="009B775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B775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B775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B775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B775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B7756"/>
    <w:rPr>
      <w:i/>
      <w:iCs/>
      <w:color w:val="404040" w:themeColor="text1" w:themeTint="BF"/>
    </w:rPr>
  </w:style>
  <w:style w:type="paragraph" w:styleId="Prrafodelista">
    <w:name w:val="List Paragraph"/>
    <w:basedOn w:val="Normal"/>
    <w:uiPriority w:val="34"/>
    <w:qFormat/>
    <w:rsid w:val="009B7756"/>
    <w:pPr>
      <w:ind w:left="720"/>
      <w:contextualSpacing/>
    </w:pPr>
  </w:style>
  <w:style w:type="character" w:styleId="nfasisintenso">
    <w:name w:val="Intense Emphasis"/>
    <w:basedOn w:val="Fuentedeprrafopredeter"/>
    <w:uiPriority w:val="21"/>
    <w:qFormat/>
    <w:rsid w:val="009B7756"/>
    <w:rPr>
      <w:i/>
      <w:iCs/>
      <w:color w:val="2F5496" w:themeColor="accent1" w:themeShade="BF"/>
    </w:rPr>
  </w:style>
  <w:style w:type="paragraph" w:styleId="Citadestacada">
    <w:name w:val="Intense Quote"/>
    <w:basedOn w:val="Normal"/>
    <w:next w:val="Normal"/>
    <w:link w:val="CitadestacadaCar"/>
    <w:uiPriority w:val="30"/>
    <w:qFormat/>
    <w:rsid w:val="009B77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B7756"/>
    <w:rPr>
      <w:i/>
      <w:iCs/>
      <w:color w:val="2F5496" w:themeColor="accent1" w:themeShade="BF"/>
    </w:rPr>
  </w:style>
  <w:style w:type="character" w:styleId="Referenciaintensa">
    <w:name w:val="Intense Reference"/>
    <w:basedOn w:val="Fuentedeprrafopredeter"/>
    <w:uiPriority w:val="32"/>
    <w:qFormat/>
    <w:rsid w:val="009B7756"/>
    <w:rPr>
      <w:b/>
      <w:bCs/>
      <w:smallCaps/>
      <w:color w:val="2F5496" w:themeColor="accent1" w:themeShade="BF"/>
      <w:spacing w:val="5"/>
    </w:rPr>
  </w:style>
  <w:style w:type="paragraph" w:styleId="NormalWeb">
    <w:name w:val="Normal (Web)"/>
    <w:basedOn w:val="Normal"/>
    <w:uiPriority w:val="99"/>
    <w:semiHidden/>
    <w:unhideWhenUsed/>
    <w:rsid w:val="009B7756"/>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9B77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973</Words>
  <Characters>5354</Characters>
  <Application>Microsoft Office Word</Application>
  <DocSecurity>0</DocSecurity>
  <Lines>44</Lines>
  <Paragraphs>12</Paragraphs>
  <ScaleCrop>false</ScaleCrop>
  <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2026-04-22T14:01:00Z</dcterms:created>
  <dcterms:modified xsi:type="dcterms:W3CDTF">2026-04-22T14:02:00Z</dcterms:modified>
</cp:coreProperties>
</file>