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A8ABB"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CONCEPTO DIAN 239 DEL 18 DE FEBRERO DE 2026</w:t>
      </w:r>
    </w:p>
    <w:p w14:paraId="16F8E06F"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DIRECCIÓN DE IMPUESTOS Y ADUANAS NACIONALES</w:t>
      </w:r>
    </w:p>
    <w:p w14:paraId="64C6B426"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35FA0DFE"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Bogotá D.C.,</w:t>
      </w:r>
    </w:p>
    <w:p w14:paraId="54F78A3C"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377F0C25"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Tema:</w:t>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color w:val="000000"/>
          <w:kern w:val="0"/>
          <w:lang w:val="es-CO" w:eastAsia="es-MX"/>
          <w14:ligatures w14:val="none"/>
        </w:rPr>
        <w:t>Impuesto sobre la renta y complementarios.</w:t>
      </w:r>
    </w:p>
    <w:p w14:paraId="2001B3F2"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Descriptores:</w:t>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color w:val="000000"/>
          <w:kern w:val="0"/>
          <w:lang w:val="es-CO" w:eastAsia="es-MX"/>
          <w14:ligatures w14:val="none"/>
        </w:rPr>
        <w:t>Incentivos tributarios.</w:t>
      </w:r>
    </w:p>
    <w:p w14:paraId="7C610FD8"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Fuentes formales:</w:t>
      </w:r>
      <w:r w:rsidRPr="00C86142">
        <w:rPr>
          <w:rFonts w:ascii="Verdana" w:eastAsia="Times New Roman" w:hAnsi="Verdana" w:cs="Times New Roman"/>
          <w:b/>
          <w:bCs/>
          <w:color w:val="000000"/>
          <w:kern w:val="0"/>
          <w:lang w:val="es-CO" w:eastAsia="es-MX"/>
          <w14:ligatures w14:val="none"/>
        </w:rPr>
        <w:tab/>
      </w:r>
      <w:r w:rsidRPr="00C86142">
        <w:rPr>
          <w:rFonts w:ascii="Verdana" w:eastAsia="Times New Roman" w:hAnsi="Verdana" w:cs="Times New Roman"/>
          <w:color w:val="000000"/>
          <w:kern w:val="0"/>
          <w:lang w:val="es-CO" w:eastAsia="es-MX"/>
          <w14:ligatures w14:val="none"/>
        </w:rPr>
        <w:t>Artículos 11 y 12 de la Ley 1715 de 2014.</w:t>
      </w:r>
    </w:p>
    <w:p w14:paraId="32A9D5DE"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387E7DFD" w14:textId="77777777" w:rsidR="00C86142" w:rsidRPr="00C86142" w:rsidRDefault="00C86142" w:rsidP="00C86142">
      <w:pPr>
        <w:numPr>
          <w:ilvl w:val="0"/>
          <w:numId w:val="1"/>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67B432AB"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0708A935" w14:textId="77777777" w:rsidR="00C86142" w:rsidRPr="00C86142" w:rsidRDefault="00C86142" w:rsidP="00C86142">
      <w:pPr>
        <w:numPr>
          <w:ilvl w:val="0"/>
          <w:numId w:val="2"/>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 xml:space="preserve">En la consulta del radicado, el peticionario formula varias interrogantes relacionadas con los incentivos tributarios de la Ley 1715 de 2014, por la adquisición de vehículos eléctricos e híbridos cuando se cuenta con la certificación expedida por la Unidad de Planeación Minero Energética (UPME), de acuerdo con lo señalado en el concepto No. 013853 </w:t>
      </w:r>
      <w:proofErr w:type="spellStart"/>
      <w:r w:rsidRPr="00C86142">
        <w:rPr>
          <w:rFonts w:ascii="Verdana" w:eastAsia="Times New Roman" w:hAnsi="Verdana" w:cs="Times New Roman"/>
          <w:color w:val="000000"/>
          <w:kern w:val="0"/>
          <w:lang w:val="es-CO" w:eastAsia="es-MX"/>
          <w14:ligatures w14:val="none"/>
        </w:rPr>
        <w:t>Int</w:t>
      </w:r>
      <w:proofErr w:type="spellEnd"/>
      <w:r w:rsidRPr="00C86142">
        <w:rPr>
          <w:rFonts w:ascii="Verdana" w:eastAsia="Times New Roman" w:hAnsi="Verdana" w:cs="Times New Roman"/>
          <w:color w:val="000000"/>
          <w:kern w:val="0"/>
          <w:lang w:val="es-CO" w:eastAsia="es-MX"/>
          <w14:ligatures w14:val="none"/>
        </w:rPr>
        <w:t xml:space="preserve"> 1715 del 05 de septiembre de 2025. Al respecto, pregunta lo siguiente:</w:t>
      </w:r>
    </w:p>
    <w:p w14:paraId="72501CFC"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0674DB5F" w14:textId="77777777" w:rsidR="00C86142" w:rsidRPr="00C86142" w:rsidRDefault="00C86142" w:rsidP="00C86142">
      <w:pPr>
        <w:numPr>
          <w:ilvl w:val="0"/>
          <w:numId w:val="3"/>
        </w:numPr>
        <w:jc w:val="both"/>
        <w:textAlignment w:val="baseline"/>
        <w:rPr>
          <w:rFonts w:ascii="Verdana" w:eastAsia="Times New Roman" w:hAnsi="Verdana" w:cs="Times New Roman"/>
          <w:i/>
          <w:iCs/>
          <w:color w:val="000000"/>
          <w:kern w:val="0"/>
          <w:sz w:val="22"/>
          <w:szCs w:val="22"/>
          <w:lang w:val="es-CO" w:eastAsia="es-MX"/>
          <w14:ligatures w14:val="none"/>
        </w:rPr>
      </w:pPr>
      <w:r w:rsidRPr="00C86142">
        <w:rPr>
          <w:rFonts w:ascii="Verdana" w:eastAsia="Times New Roman" w:hAnsi="Verdana" w:cs="Times New Roman"/>
          <w:i/>
          <w:iCs/>
          <w:color w:val="000000"/>
          <w:kern w:val="0"/>
          <w:sz w:val="22"/>
          <w:szCs w:val="22"/>
          <w:lang w:val="es-CO" w:eastAsia="es-MX"/>
          <w14:ligatures w14:val="none"/>
        </w:rPr>
        <w:t>En los eventos en que los cuales la persona natural compró el automóvil híbrido o eléctrico antes del 05 de septiembre de 2025 ¿aplica esta interpretación?</w:t>
      </w:r>
    </w:p>
    <w:p w14:paraId="4C108DAC"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3217E83C" w14:textId="77777777" w:rsidR="00C86142" w:rsidRPr="00C86142" w:rsidRDefault="00C86142" w:rsidP="00C86142">
      <w:pPr>
        <w:numPr>
          <w:ilvl w:val="0"/>
          <w:numId w:val="4"/>
        </w:numPr>
        <w:jc w:val="both"/>
        <w:textAlignment w:val="baseline"/>
        <w:rPr>
          <w:rFonts w:ascii="Verdana" w:eastAsia="Times New Roman" w:hAnsi="Verdana" w:cs="Times New Roman"/>
          <w:i/>
          <w:iCs/>
          <w:color w:val="000000"/>
          <w:kern w:val="0"/>
          <w:sz w:val="22"/>
          <w:szCs w:val="22"/>
          <w:lang w:val="es-CO" w:eastAsia="es-MX"/>
          <w14:ligatures w14:val="none"/>
        </w:rPr>
      </w:pPr>
      <w:r w:rsidRPr="00C86142">
        <w:rPr>
          <w:rFonts w:ascii="Verdana" w:eastAsia="Times New Roman" w:hAnsi="Verdana" w:cs="Times New Roman"/>
          <w:i/>
          <w:iCs/>
          <w:color w:val="000000"/>
          <w:kern w:val="0"/>
          <w:sz w:val="22"/>
          <w:szCs w:val="22"/>
          <w:lang w:val="es-CO" w:eastAsia="es-MX"/>
          <w14:ligatures w14:val="none"/>
        </w:rPr>
        <w:t>En caso afirmativo, la persona natural responsable o no responsable del IVA que adquiere el vehículo híbrido o eléctrico, ¿ante quien debe solicitar la devolución por pago de lo no debido por concepto del Iva pagado (excluido), ante la DIAN o ante el vendedor?</w:t>
      </w:r>
    </w:p>
    <w:p w14:paraId="5A351D16"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42A9C649" w14:textId="77777777" w:rsidR="00C86142" w:rsidRPr="00C86142" w:rsidRDefault="00C86142" w:rsidP="00C86142">
      <w:pPr>
        <w:numPr>
          <w:ilvl w:val="0"/>
          <w:numId w:val="5"/>
        </w:numPr>
        <w:jc w:val="both"/>
        <w:textAlignment w:val="baseline"/>
        <w:rPr>
          <w:rFonts w:ascii="Verdana" w:eastAsia="Times New Roman" w:hAnsi="Verdana" w:cs="Times New Roman"/>
          <w:i/>
          <w:iCs/>
          <w:color w:val="000000"/>
          <w:kern w:val="0"/>
          <w:sz w:val="22"/>
          <w:szCs w:val="22"/>
          <w:lang w:val="es-CO" w:eastAsia="es-MX"/>
          <w14:ligatures w14:val="none"/>
        </w:rPr>
      </w:pPr>
      <w:r w:rsidRPr="00C86142">
        <w:rPr>
          <w:rFonts w:ascii="Verdana" w:eastAsia="Times New Roman" w:hAnsi="Verdana" w:cs="Times New Roman"/>
          <w:i/>
          <w:iCs/>
          <w:color w:val="000000"/>
          <w:kern w:val="0"/>
          <w:sz w:val="22"/>
          <w:szCs w:val="22"/>
          <w:lang w:val="es-CO" w:eastAsia="es-MX"/>
          <w14:ligatures w14:val="none"/>
        </w:rPr>
        <w:t>La oportunidad de la solicitud de la devolución de este valor pagado se cuenta ¿desde la fecha de la factura de compraventa del vehículo?</w:t>
      </w:r>
    </w:p>
    <w:p w14:paraId="0628AA93"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61248AE3" w14:textId="77777777" w:rsidR="00C86142" w:rsidRPr="00C86142" w:rsidRDefault="00C86142" w:rsidP="00C86142">
      <w:pPr>
        <w:numPr>
          <w:ilvl w:val="0"/>
          <w:numId w:val="6"/>
        </w:numPr>
        <w:jc w:val="both"/>
        <w:textAlignment w:val="baseline"/>
        <w:rPr>
          <w:rFonts w:ascii="Verdana" w:eastAsia="Times New Roman" w:hAnsi="Verdana" w:cs="Times New Roman"/>
          <w:i/>
          <w:iCs/>
          <w:color w:val="000000"/>
          <w:kern w:val="0"/>
          <w:sz w:val="22"/>
          <w:szCs w:val="22"/>
          <w:lang w:val="es-CO" w:eastAsia="es-MX"/>
          <w14:ligatures w14:val="none"/>
        </w:rPr>
      </w:pPr>
      <w:r w:rsidRPr="00C86142">
        <w:rPr>
          <w:rFonts w:ascii="Verdana" w:eastAsia="Times New Roman" w:hAnsi="Verdana" w:cs="Times New Roman"/>
          <w:i/>
          <w:iCs/>
          <w:color w:val="000000"/>
          <w:kern w:val="0"/>
          <w:sz w:val="22"/>
          <w:szCs w:val="22"/>
          <w:lang w:val="es-CO" w:eastAsia="es-MX"/>
          <w14:ligatures w14:val="none"/>
        </w:rPr>
        <w:t>¿Cuáles son los requisitos/documentos para que proceda la solicitud de devolución del IVA pagado?</w:t>
      </w:r>
    </w:p>
    <w:p w14:paraId="51F11D3A"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29FB1017" w14:textId="77777777" w:rsidR="00C86142" w:rsidRPr="00C86142" w:rsidRDefault="00C86142" w:rsidP="00C86142">
      <w:pPr>
        <w:numPr>
          <w:ilvl w:val="0"/>
          <w:numId w:val="7"/>
        </w:numPr>
        <w:jc w:val="both"/>
        <w:textAlignment w:val="baseline"/>
        <w:rPr>
          <w:rFonts w:ascii="Verdana" w:eastAsia="Times New Roman" w:hAnsi="Verdana" w:cs="Times New Roman"/>
          <w:i/>
          <w:iCs/>
          <w:color w:val="000000"/>
          <w:kern w:val="0"/>
          <w:sz w:val="22"/>
          <w:szCs w:val="22"/>
          <w:lang w:val="es-CO" w:eastAsia="es-MX"/>
          <w14:ligatures w14:val="none"/>
        </w:rPr>
      </w:pPr>
      <w:r w:rsidRPr="00C86142">
        <w:rPr>
          <w:rFonts w:ascii="Verdana" w:eastAsia="Times New Roman" w:hAnsi="Verdana" w:cs="Times New Roman"/>
          <w:i/>
          <w:iCs/>
          <w:color w:val="000000"/>
          <w:kern w:val="0"/>
          <w:sz w:val="22"/>
          <w:szCs w:val="22"/>
          <w:lang w:val="es-CO" w:eastAsia="es-MX"/>
          <w14:ligatures w14:val="none"/>
        </w:rPr>
        <w:lastRenderedPageBreak/>
        <w:t>¿Los beneficios tributarios establecidos en los artículos 11 y 12 de la Ley 1715 de 2014, (deducción especial en renta e IVA excluido) son excluyentes?</w:t>
      </w:r>
    </w:p>
    <w:p w14:paraId="1FA509EA"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197A1B65" w14:textId="77777777" w:rsidR="00C86142" w:rsidRPr="00C86142" w:rsidRDefault="00C86142" w:rsidP="00C86142">
      <w:pPr>
        <w:numPr>
          <w:ilvl w:val="0"/>
          <w:numId w:val="8"/>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 xml:space="preserve">Frente a la primera pregunta, en el Concepto 013853 </w:t>
      </w:r>
      <w:proofErr w:type="spellStart"/>
      <w:r w:rsidRPr="00C86142">
        <w:rPr>
          <w:rFonts w:ascii="Verdana" w:eastAsia="Times New Roman" w:hAnsi="Verdana" w:cs="Times New Roman"/>
          <w:color w:val="000000"/>
          <w:kern w:val="0"/>
          <w:lang w:val="es-CO" w:eastAsia="es-MX"/>
          <w14:ligatures w14:val="none"/>
        </w:rPr>
        <w:t>int</w:t>
      </w:r>
      <w:proofErr w:type="spellEnd"/>
      <w:r w:rsidRPr="00C86142">
        <w:rPr>
          <w:rFonts w:ascii="Verdana" w:eastAsia="Times New Roman" w:hAnsi="Verdana" w:cs="Times New Roman"/>
          <w:color w:val="000000"/>
          <w:kern w:val="0"/>
          <w:lang w:val="es-CO" w:eastAsia="es-MX"/>
          <w14:ligatures w14:val="none"/>
        </w:rPr>
        <w:t>. 1715 del 05 de septiembre de 2025 se concluyó que “(…) La adquisición de vehículos híbridos (PHEV (</w:t>
      </w:r>
      <w:proofErr w:type="spellStart"/>
      <w:r w:rsidRPr="00C86142">
        <w:rPr>
          <w:rFonts w:ascii="Verdana" w:eastAsia="Times New Roman" w:hAnsi="Verdana" w:cs="Times New Roman"/>
          <w:color w:val="000000"/>
          <w:kern w:val="0"/>
          <w:lang w:val="es-CO" w:eastAsia="es-MX"/>
          <w14:ligatures w14:val="none"/>
        </w:rPr>
        <w:t>plug</w:t>
      </w:r>
      <w:proofErr w:type="spellEnd"/>
      <w:r w:rsidRPr="00C86142">
        <w:rPr>
          <w:rFonts w:ascii="Verdana" w:eastAsia="Times New Roman" w:hAnsi="Verdana" w:cs="Times New Roman"/>
          <w:color w:val="000000"/>
          <w:kern w:val="0"/>
          <w:lang w:val="es-CO" w:eastAsia="es-MX"/>
          <w14:ligatures w14:val="none"/>
        </w:rPr>
        <w:t xml:space="preserve">-in </w:t>
      </w:r>
      <w:proofErr w:type="spellStart"/>
      <w:r w:rsidRPr="00C86142">
        <w:rPr>
          <w:rFonts w:ascii="Verdana" w:eastAsia="Times New Roman" w:hAnsi="Verdana" w:cs="Times New Roman"/>
          <w:color w:val="000000"/>
          <w:kern w:val="0"/>
          <w:lang w:val="es-CO" w:eastAsia="es-MX"/>
          <w14:ligatures w14:val="none"/>
        </w:rPr>
        <w:t>hybrid</w:t>
      </w:r>
      <w:proofErr w:type="spellEnd"/>
      <w:r w:rsidRPr="00C86142">
        <w:rPr>
          <w:rFonts w:ascii="Verdana" w:eastAsia="Times New Roman" w:hAnsi="Verdana" w:cs="Times New Roman"/>
          <w:color w:val="000000"/>
          <w:kern w:val="0"/>
          <w:lang w:val="es-CO" w:eastAsia="es-MX"/>
          <w14:ligatures w14:val="none"/>
        </w:rPr>
        <w:t xml:space="preserve"> </w:t>
      </w:r>
      <w:proofErr w:type="spellStart"/>
      <w:r w:rsidRPr="00C86142">
        <w:rPr>
          <w:rFonts w:ascii="Verdana" w:eastAsia="Times New Roman" w:hAnsi="Verdana" w:cs="Times New Roman"/>
          <w:color w:val="000000"/>
          <w:kern w:val="0"/>
          <w:lang w:val="es-CO" w:eastAsia="es-MX"/>
          <w14:ligatures w14:val="none"/>
        </w:rPr>
        <w:t>electric</w:t>
      </w:r>
      <w:proofErr w:type="spellEnd"/>
      <w:r w:rsidRPr="00C86142">
        <w:rPr>
          <w:rFonts w:ascii="Verdana" w:eastAsia="Times New Roman" w:hAnsi="Verdana" w:cs="Times New Roman"/>
          <w:color w:val="000000"/>
          <w:kern w:val="0"/>
          <w:lang w:val="es-CO" w:eastAsia="es-MX"/>
          <w14:ligatures w14:val="none"/>
        </w:rPr>
        <w:t xml:space="preserve"> </w:t>
      </w:r>
      <w:proofErr w:type="spellStart"/>
      <w:r w:rsidRPr="00C86142">
        <w:rPr>
          <w:rFonts w:ascii="Verdana" w:eastAsia="Times New Roman" w:hAnsi="Verdana" w:cs="Times New Roman"/>
          <w:color w:val="000000"/>
          <w:kern w:val="0"/>
          <w:lang w:val="es-CO" w:eastAsia="es-MX"/>
          <w14:ligatures w14:val="none"/>
        </w:rPr>
        <w:t>vehicle</w:t>
      </w:r>
      <w:proofErr w:type="spellEnd"/>
      <w:r w:rsidRPr="00C86142">
        <w:rPr>
          <w:rFonts w:ascii="Verdana" w:eastAsia="Times New Roman" w:hAnsi="Verdana" w:cs="Times New Roman"/>
          <w:color w:val="000000"/>
          <w:kern w:val="0"/>
          <w:lang w:val="es-CO" w:eastAsia="es-MX"/>
          <w14:ligatures w14:val="none"/>
        </w:rPr>
        <w:t>) y HEV (</w:t>
      </w:r>
      <w:proofErr w:type="spellStart"/>
      <w:r w:rsidRPr="00C86142">
        <w:rPr>
          <w:rFonts w:ascii="Verdana" w:eastAsia="Times New Roman" w:hAnsi="Verdana" w:cs="Times New Roman"/>
          <w:color w:val="000000"/>
          <w:kern w:val="0"/>
          <w:lang w:val="es-CO" w:eastAsia="es-MX"/>
          <w14:ligatures w14:val="none"/>
        </w:rPr>
        <w:t>hybrid</w:t>
      </w:r>
      <w:proofErr w:type="spellEnd"/>
      <w:r w:rsidRPr="00C86142">
        <w:rPr>
          <w:rFonts w:ascii="Verdana" w:eastAsia="Times New Roman" w:hAnsi="Verdana" w:cs="Times New Roman"/>
          <w:color w:val="000000"/>
          <w:kern w:val="0"/>
          <w:lang w:val="es-CO" w:eastAsia="es-MX"/>
          <w14:ligatures w14:val="none"/>
        </w:rPr>
        <w:t xml:space="preserve"> </w:t>
      </w:r>
      <w:proofErr w:type="spellStart"/>
      <w:r w:rsidRPr="00C86142">
        <w:rPr>
          <w:rFonts w:ascii="Verdana" w:eastAsia="Times New Roman" w:hAnsi="Verdana" w:cs="Times New Roman"/>
          <w:color w:val="000000"/>
          <w:kern w:val="0"/>
          <w:lang w:val="es-CO" w:eastAsia="es-MX"/>
          <w14:ligatures w14:val="none"/>
        </w:rPr>
        <w:t>electric</w:t>
      </w:r>
      <w:proofErr w:type="spellEnd"/>
      <w:r w:rsidRPr="00C86142">
        <w:rPr>
          <w:rFonts w:ascii="Verdana" w:eastAsia="Times New Roman" w:hAnsi="Verdana" w:cs="Times New Roman"/>
          <w:color w:val="000000"/>
          <w:kern w:val="0"/>
          <w:lang w:val="es-CO" w:eastAsia="es-MX"/>
          <w14:ligatures w14:val="none"/>
        </w:rPr>
        <w:t xml:space="preserve"> </w:t>
      </w:r>
      <w:proofErr w:type="spellStart"/>
      <w:r w:rsidRPr="00C86142">
        <w:rPr>
          <w:rFonts w:ascii="Verdana" w:eastAsia="Times New Roman" w:hAnsi="Verdana" w:cs="Times New Roman"/>
          <w:color w:val="000000"/>
          <w:kern w:val="0"/>
          <w:lang w:val="es-CO" w:eastAsia="es-MX"/>
          <w14:ligatures w14:val="none"/>
        </w:rPr>
        <w:t>vehicle</w:t>
      </w:r>
      <w:proofErr w:type="spellEnd"/>
      <w:r w:rsidRPr="00C86142">
        <w:rPr>
          <w:rFonts w:ascii="Verdana" w:eastAsia="Times New Roman" w:hAnsi="Verdana" w:cs="Times New Roman"/>
          <w:color w:val="000000"/>
          <w:kern w:val="0"/>
          <w:lang w:val="es-CO" w:eastAsia="es-MX"/>
          <w14:ligatures w14:val="none"/>
        </w:rPr>
        <w:t xml:space="preserve">)) y los eléctricos por parte de las personas naturales para uso personal permite acceder a los beneficios de la deducción especial en renta y a la exclusión de IVA establecidos en sus artículos 11 y 12 de la Ley 1715 de 2024, </w:t>
      </w:r>
      <w:r w:rsidRPr="00C86142">
        <w:rPr>
          <w:rFonts w:ascii="Verdana" w:eastAsia="Times New Roman" w:hAnsi="Verdana" w:cs="Times New Roman"/>
          <w:color w:val="000000"/>
          <w:kern w:val="0"/>
          <w:u w:val="single"/>
          <w:lang w:val="es-CO" w:eastAsia="es-MX"/>
          <w14:ligatures w14:val="none"/>
        </w:rPr>
        <w:t>al considerarse una medida de gestión eficiente de la energía (GEE)</w:t>
      </w:r>
      <w:r w:rsidRPr="00C86142">
        <w:rPr>
          <w:rFonts w:ascii="Verdana" w:eastAsia="Times New Roman" w:hAnsi="Verdana" w:cs="Times New Roman"/>
          <w:color w:val="000000"/>
          <w:kern w:val="0"/>
          <w:lang w:val="es-CO" w:eastAsia="es-MX"/>
          <w14:ligatures w14:val="none"/>
        </w:rPr>
        <w:t>, siempre y cuando se cuente con la respectiva certificación de la UPME.” (énfasis propio)</w:t>
      </w:r>
    </w:p>
    <w:p w14:paraId="7C79ACCE"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62E7671A" w14:textId="77777777" w:rsidR="00C86142" w:rsidRPr="00C86142" w:rsidRDefault="00C86142" w:rsidP="00C86142">
      <w:pPr>
        <w:numPr>
          <w:ilvl w:val="0"/>
          <w:numId w:val="9"/>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Por lo tanto, para los efectos de los incentivos tributarios de la Ley 1715 de 2014 señalados, en el artículo segundo de la Resolución 135 de 2025 de la UPME se señala que las acciones o medidas de gestión eficiente de la energía (GEE) son aquellas que se realizan a partir de la entrada en vigor de la Ley 2099 de 2021, como se expone:</w:t>
      </w:r>
    </w:p>
    <w:p w14:paraId="626B2B7B"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4470021F" w14:textId="77777777" w:rsidR="00C86142" w:rsidRPr="00C86142" w:rsidRDefault="00C86142" w:rsidP="00C86142">
      <w:pPr>
        <w:ind w:left="1418"/>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sz w:val="22"/>
          <w:szCs w:val="22"/>
          <w:lang w:val="es-CO" w:eastAsia="es-MX"/>
          <w14:ligatures w14:val="none"/>
        </w:rPr>
        <w:t>“Acción o medida de gestión eficiente de la energía (GEE): Es el conjunto de actividades que se desarrollan para mejorar el uso de la energía que cumplen con las siguientes características:</w:t>
      </w:r>
    </w:p>
    <w:p w14:paraId="180E4372"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763E1A44" w14:textId="77777777" w:rsidR="00C86142" w:rsidRPr="00C86142" w:rsidRDefault="00C86142" w:rsidP="00C86142">
      <w:pPr>
        <w:ind w:left="1418"/>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sz w:val="22"/>
          <w:szCs w:val="22"/>
          <w:lang w:val="es-CO" w:eastAsia="es-MX"/>
          <w14:ligatures w14:val="none"/>
        </w:rPr>
        <w:t>(…)</w:t>
      </w:r>
    </w:p>
    <w:p w14:paraId="4782A933"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7AA1E529" w14:textId="77777777" w:rsidR="00C86142" w:rsidRPr="00C86142" w:rsidRDefault="00C86142" w:rsidP="00C86142">
      <w:pPr>
        <w:ind w:left="1418"/>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sz w:val="22"/>
          <w:szCs w:val="22"/>
          <w:lang w:val="es-CO" w:eastAsia="es-MX"/>
          <w14:ligatures w14:val="none"/>
        </w:rPr>
        <w:t>3. Realizan la actividad a partir de la entrada en vigencia de la Ley 2099 de 2021. (…)”</w:t>
      </w:r>
    </w:p>
    <w:p w14:paraId="2FE15BB8"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7388650D" w14:textId="77777777" w:rsidR="00C86142" w:rsidRPr="00C86142" w:rsidRDefault="00C86142" w:rsidP="00C86142">
      <w:pPr>
        <w:numPr>
          <w:ilvl w:val="0"/>
          <w:numId w:val="10"/>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 xml:space="preserve">Las preguntas </w:t>
      </w:r>
      <w:proofErr w:type="spellStart"/>
      <w:r w:rsidRPr="00C86142">
        <w:rPr>
          <w:rFonts w:ascii="Verdana" w:eastAsia="Times New Roman" w:hAnsi="Verdana" w:cs="Times New Roman"/>
          <w:color w:val="000000"/>
          <w:kern w:val="0"/>
          <w:lang w:val="es-CO" w:eastAsia="es-MX"/>
          <w14:ligatures w14:val="none"/>
        </w:rPr>
        <w:t>ii</w:t>
      </w:r>
      <w:proofErr w:type="spellEnd"/>
      <w:r w:rsidRPr="00C86142">
        <w:rPr>
          <w:rFonts w:ascii="Verdana" w:eastAsia="Times New Roman" w:hAnsi="Verdana" w:cs="Times New Roman"/>
          <w:color w:val="000000"/>
          <w:kern w:val="0"/>
          <w:lang w:val="es-CO" w:eastAsia="es-MX"/>
          <w14:ligatures w14:val="none"/>
        </w:rPr>
        <w:t xml:space="preserve">), </w:t>
      </w:r>
      <w:proofErr w:type="spellStart"/>
      <w:r w:rsidRPr="00C86142">
        <w:rPr>
          <w:rFonts w:ascii="Verdana" w:eastAsia="Times New Roman" w:hAnsi="Verdana" w:cs="Times New Roman"/>
          <w:color w:val="000000"/>
          <w:kern w:val="0"/>
          <w:lang w:val="es-CO" w:eastAsia="es-MX"/>
          <w14:ligatures w14:val="none"/>
        </w:rPr>
        <w:t>iii</w:t>
      </w:r>
      <w:proofErr w:type="spellEnd"/>
      <w:r w:rsidRPr="00C86142">
        <w:rPr>
          <w:rFonts w:ascii="Verdana" w:eastAsia="Times New Roman" w:hAnsi="Verdana" w:cs="Times New Roman"/>
          <w:color w:val="000000"/>
          <w:kern w:val="0"/>
          <w:lang w:val="es-CO" w:eastAsia="es-MX"/>
          <w14:ligatures w14:val="none"/>
        </w:rPr>
        <w:t xml:space="preserve">) y </w:t>
      </w:r>
      <w:proofErr w:type="spellStart"/>
      <w:r w:rsidRPr="00C86142">
        <w:rPr>
          <w:rFonts w:ascii="Verdana" w:eastAsia="Times New Roman" w:hAnsi="Verdana" w:cs="Times New Roman"/>
          <w:color w:val="000000"/>
          <w:kern w:val="0"/>
          <w:lang w:val="es-CO" w:eastAsia="es-MX"/>
          <w14:ligatures w14:val="none"/>
        </w:rPr>
        <w:t>iv</w:t>
      </w:r>
      <w:proofErr w:type="spellEnd"/>
      <w:r w:rsidRPr="00C86142">
        <w:rPr>
          <w:rFonts w:ascii="Verdana" w:eastAsia="Times New Roman" w:hAnsi="Verdana" w:cs="Times New Roman"/>
          <w:color w:val="000000"/>
          <w:kern w:val="0"/>
          <w:lang w:val="es-CO" w:eastAsia="es-MX"/>
          <w14:ligatures w14:val="none"/>
        </w:rPr>
        <w:t xml:space="preserve">) fueron abordadas en el Concepto 000673 </w:t>
      </w:r>
      <w:proofErr w:type="spellStart"/>
      <w:r w:rsidRPr="00C86142">
        <w:rPr>
          <w:rFonts w:ascii="Verdana" w:eastAsia="Times New Roman" w:hAnsi="Verdana" w:cs="Times New Roman"/>
          <w:color w:val="000000"/>
          <w:kern w:val="0"/>
          <w:lang w:val="es-CO" w:eastAsia="es-MX"/>
          <w14:ligatures w14:val="none"/>
        </w:rPr>
        <w:t>int</w:t>
      </w:r>
      <w:proofErr w:type="spellEnd"/>
      <w:r w:rsidRPr="00C86142">
        <w:rPr>
          <w:rFonts w:ascii="Verdana" w:eastAsia="Times New Roman" w:hAnsi="Verdana" w:cs="Times New Roman"/>
          <w:color w:val="000000"/>
          <w:kern w:val="0"/>
          <w:lang w:val="es-CO" w:eastAsia="es-MX"/>
          <w14:ligatures w14:val="none"/>
        </w:rPr>
        <w:t>. 0063 del 16 de enero de 2026, en donde se precisó el procedimiento para la devolución del IVA ante la DIAN, el término para presentar la solicitud, y los documentos requeridos para el efecto, acorde con la información remitida por la Subdirección de Recaudo. Para mayor ilustración, se anexa el concepto indicado.</w:t>
      </w:r>
    </w:p>
    <w:p w14:paraId="5299A14D" w14:textId="77777777" w:rsidR="00C86142" w:rsidRPr="00C86142" w:rsidRDefault="00C86142" w:rsidP="00C86142">
      <w:pPr>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6ACDF14B" w14:textId="77777777" w:rsidR="00C86142" w:rsidRPr="00C86142" w:rsidRDefault="00C86142" w:rsidP="00C86142">
      <w:pPr>
        <w:numPr>
          <w:ilvl w:val="0"/>
          <w:numId w:val="11"/>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 xml:space="preserve">Frente a la pregunta v), se reitera el Concepto 013853 </w:t>
      </w:r>
      <w:proofErr w:type="spellStart"/>
      <w:r w:rsidRPr="00C86142">
        <w:rPr>
          <w:rFonts w:ascii="Verdana" w:eastAsia="Times New Roman" w:hAnsi="Verdana" w:cs="Times New Roman"/>
          <w:color w:val="000000"/>
          <w:kern w:val="0"/>
          <w:lang w:val="es-CO" w:eastAsia="es-MX"/>
          <w14:ligatures w14:val="none"/>
        </w:rPr>
        <w:t>int</w:t>
      </w:r>
      <w:proofErr w:type="spellEnd"/>
      <w:r w:rsidRPr="00C86142">
        <w:rPr>
          <w:rFonts w:ascii="Verdana" w:eastAsia="Times New Roman" w:hAnsi="Verdana" w:cs="Times New Roman"/>
          <w:color w:val="000000"/>
          <w:kern w:val="0"/>
          <w:lang w:val="es-CO" w:eastAsia="es-MX"/>
          <w14:ligatures w14:val="none"/>
        </w:rPr>
        <w:t>. 1715 del 05 de septiembre de 2025, en el entendido de que, la adquisición de los vehículos con las características y requisitos allí descritos, dan lugar a la deducción especial en renta y a la exclusión de IVA de que tratan los artículos 11 y 12 de la Ley 1715 de 2014, así:</w:t>
      </w:r>
    </w:p>
    <w:p w14:paraId="79AEC0C8"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4026A022" w14:textId="77777777" w:rsidR="00C86142" w:rsidRPr="00C86142" w:rsidRDefault="00C86142" w:rsidP="00C86142">
      <w:pPr>
        <w:ind w:left="1418"/>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sz w:val="22"/>
          <w:szCs w:val="22"/>
          <w:lang w:val="es-CO" w:eastAsia="es-MX"/>
          <w14:ligatures w14:val="none"/>
        </w:rPr>
        <w:t>“(…) La adquisición de vehículos híbridos (PHEV (</w:t>
      </w:r>
      <w:proofErr w:type="spellStart"/>
      <w:r w:rsidRPr="00C86142">
        <w:rPr>
          <w:rFonts w:ascii="Verdana" w:eastAsia="Times New Roman" w:hAnsi="Verdana" w:cs="Times New Roman"/>
          <w:color w:val="000000"/>
          <w:kern w:val="0"/>
          <w:sz w:val="22"/>
          <w:szCs w:val="22"/>
          <w:lang w:val="es-CO" w:eastAsia="es-MX"/>
          <w14:ligatures w14:val="none"/>
        </w:rPr>
        <w:t>plug</w:t>
      </w:r>
      <w:proofErr w:type="spellEnd"/>
      <w:r w:rsidRPr="00C86142">
        <w:rPr>
          <w:rFonts w:ascii="Verdana" w:eastAsia="Times New Roman" w:hAnsi="Verdana" w:cs="Times New Roman"/>
          <w:color w:val="000000"/>
          <w:kern w:val="0"/>
          <w:sz w:val="22"/>
          <w:szCs w:val="22"/>
          <w:lang w:val="es-CO" w:eastAsia="es-MX"/>
          <w14:ligatures w14:val="none"/>
        </w:rPr>
        <w:t xml:space="preserve">-in </w:t>
      </w:r>
      <w:proofErr w:type="spellStart"/>
      <w:r w:rsidRPr="00C86142">
        <w:rPr>
          <w:rFonts w:ascii="Verdana" w:eastAsia="Times New Roman" w:hAnsi="Verdana" w:cs="Times New Roman"/>
          <w:color w:val="000000"/>
          <w:kern w:val="0"/>
          <w:sz w:val="22"/>
          <w:szCs w:val="22"/>
          <w:lang w:val="es-CO" w:eastAsia="es-MX"/>
          <w14:ligatures w14:val="none"/>
        </w:rPr>
        <w:t>hybrid</w:t>
      </w:r>
      <w:proofErr w:type="spellEnd"/>
      <w:r w:rsidRPr="00C86142">
        <w:rPr>
          <w:rFonts w:ascii="Verdana" w:eastAsia="Times New Roman" w:hAnsi="Verdana" w:cs="Times New Roman"/>
          <w:color w:val="000000"/>
          <w:kern w:val="0"/>
          <w:sz w:val="22"/>
          <w:szCs w:val="22"/>
          <w:lang w:val="es-CO" w:eastAsia="es-MX"/>
          <w14:ligatures w14:val="none"/>
        </w:rPr>
        <w:t xml:space="preserve"> </w:t>
      </w:r>
      <w:proofErr w:type="spellStart"/>
      <w:r w:rsidRPr="00C86142">
        <w:rPr>
          <w:rFonts w:ascii="Verdana" w:eastAsia="Times New Roman" w:hAnsi="Verdana" w:cs="Times New Roman"/>
          <w:color w:val="000000"/>
          <w:kern w:val="0"/>
          <w:sz w:val="22"/>
          <w:szCs w:val="22"/>
          <w:lang w:val="es-CO" w:eastAsia="es-MX"/>
          <w14:ligatures w14:val="none"/>
        </w:rPr>
        <w:t>electric</w:t>
      </w:r>
      <w:proofErr w:type="spellEnd"/>
      <w:r w:rsidRPr="00C86142">
        <w:rPr>
          <w:rFonts w:ascii="Verdana" w:eastAsia="Times New Roman" w:hAnsi="Verdana" w:cs="Times New Roman"/>
          <w:color w:val="000000"/>
          <w:kern w:val="0"/>
          <w:sz w:val="22"/>
          <w:szCs w:val="22"/>
          <w:lang w:val="es-CO" w:eastAsia="es-MX"/>
          <w14:ligatures w14:val="none"/>
        </w:rPr>
        <w:t xml:space="preserve"> </w:t>
      </w:r>
      <w:proofErr w:type="spellStart"/>
      <w:r w:rsidRPr="00C86142">
        <w:rPr>
          <w:rFonts w:ascii="Verdana" w:eastAsia="Times New Roman" w:hAnsi="Verdana" w:cs="Times New Roman"/>
          <w:color w:val="000000"/>
          <w:kern w:val="0"/>
          <w:sz w:val="22"/>
          <w:szCs w:val="22"/>
          <w:lang w:val="es-CO" w:eastAsia="es-MX"/>
          <w14:ligatures w14:val="none"/>
        </w:rPr>
        <w:t>vehicle</w:t>
      </w:r>
      <w:proofErr w:type="spellEnd"/>
      <w:r w:rsidRPr="00C86142">
        <w:rPr>
          <w:rFonts w:ascii="Verdana" w:eastAsia="Times New Roman" w:hAnsi="Verdana" w:cs="Times New Roman"/>
          <w:color w:val="000000"/>
          <w:kern w:val="0"/>
          <w:sz w:val="22"/>
          <w:szCs w:val="22"/>
          <w:lang w:val="es-CO" w:eastAsia="es-MX"/>
          <w14:ligatures w14:val="none"/>
        </w:rPr>
        <w:t>) y HEV (</w:t>
      </w:r>
      <w:proofErr w:type="spellStart"/>
      <w:r w:rsidRPr="00C86142">
        <w:rPr>
          <w:rFonts w:ascii="Verdana" w:eastAsia="Times New Roman" w:hAnsi="Verdana" w:cs="Times New Roman"/>
          <w:color w:val="000000"/>
          <w:kern w:val="0"/>
          <w:sz w:val="22"/>
          <w:szCs w:val="22"/>
          <w:lang w:val="es-CO" w:eastAsia="es-MX"/>
          <w14:ligatures w14:val="none"/>
        </w:rPr>
        <w:t>hybrid</w:t>
      </w:r>
      <w:proofErr w:type="spellEnd"/>
      <w:r w:rsidRPr="00C86142">
        <w:rPr>
          <w:rFonts w:ascii="Verdana" w:eastAsia="Times New Roman" w:hAnsi="Verdana" w:cs="Times New Roman"/>
          <w:color w:val="000000"/>
          <w:kern w:val="0"/>
          <w:sz w:val="22"/>
          <w:szCs w:val="22"/>
          <w:lang w:val="es-CO" w:eastAsia="es-MX"/>
          <w14:ligatures w14:val="none"/>
        </w:rPr>
        <w:t xml:space="preserve"> </w:t>
      </w:r>
      <w:proofErr w:type="spellStart"/>
      <w:r w:rsidRPr="00C86142">
        <w:rPr>
          <w:rFonts w:ascii="Verdana" w:eastAsia="Times New Roman" w:hAnsi="Verdana" w:cs="Times New Roman"/>
          <w:color w:val="000000"/>
          <w:kern w:val="0"/>
          <w:sz w:val="22"/>
          <w:szCs w:val="22"/>
          <w:lang w:val="es-CO" w:eastAsia="es-MX"/>
          <w14:ligatures w14:val="none"/>
        </w:rPr>
        <w:t>electric</w:t>
      </w:r>
      <w:proofErr w:type="spellEnd"/>
      <w:r w:rsidRPr="00C86142">
        <w:rPr>
          <w:rFonts w:ascii="Verdana" w:eastAsia="Times New Roman" w:hAnsi="Verdana" w:cs="Times New Roman"/>
          <w:color w:val="000000"/>
          <w:kern w:val="0"/>
          <w:sz w:val="22"/>
          <w:szCs w:val="22"/>
          <w:lang w:val="es-CO" w:eastAsia="es-MX"/>
          <w14:ligatures w14:val="none"/>
        </w:rPr>
        <w:t xml:space="preserve"> </w:t>
      </w:r>
      <w:proofErr w:type="spellStart"/>
      <w:r w:rsidRPr="00C86142">
        <w:rPr>
          <w:rFonts w:ascii="Verdana" w:eastAsia="Times New Roman" w:hAnsi="Verdana" w:cs="Times New Roman"/>
          <w:color w:val="000000"/>
          <w:kern w:val="0"/>
          <w:sz w:val="22"/>
          <w:szCs w:val="22"/>
          <w:lang w:val="es-CO" w:eastAsia="es-MX"/>
          <w14:ligatures w14:val="none"/>
        </w:rPr>
        <w:t>vehicle</w:t>
      </w:r>
      <w:proofErr w:type="spellEnd"/>
      <w:r w:rsidRPr="00C86142">
        <w:rPr>
          <w:rFonts w:ascii="Verdana" w:eastAsia="Times New Roman" w:hAnsi="Verdana" w:cs="Times New Roman"/>
          <w:color w:val="000000"/>
          <w:kern w:val="0"/>
          <w:sz w:val="22"/>
          <w:szCs w:val="22"/>
          <w:lang w:val="es-CO" w:eastAsia="es-MX"/>
          <w14:ligatures w14:val="none"/>
        </w:rPr>
        <w:t>)) y los eléctricos por parte de las personas naturales para uso personal permite acceder a los beneficios de la deducción especial en renta y a la exclusión de IVA establecidos en sus artículos 11 y 12 de la Ley 1715 de 2014, al considerarse una medida de gestión eficiente de la energía (GEE), siempre y cuando se cuente con la respectiva certificación de la UPME.” (sic)</w:t>
      </w:r>
    </w:p>
    <w:p w14:paraId="24DA0C59"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 </w:t>
      </w:r>
    </w:p>
    <w:p w14:paraId="5C187D8F" w14:textId="77777777" w:rsidR="00C86142" w:rsidRPr="00C86142" w:rsidRDefault="00C86142" w:rsidP="00C86142">
      <w:pPr>
        <w:numPr>
          <w:ilvl w:val="0"/>
          <w:numId w:val="12"/>
        </w:numPr>
        <w:jc w:val="both"/>
        <w:textAlignment w:val="baseline"/>
        <w:rPr>
          <w:rFonts w:ascii="Verdana" w:eastAsia="Times New Roman" w:hAnsi="Verdana" w:cs="Times New Roman"/>
          <w:color w:val="000000"/>
          <w:kern w:val="0"/>
          <w:lang w:val="es-CO" w:eastAsia="es-MX"/>
          <w14:ligatures w14:val="none"/>
        </w:rPr>
      </w:pPr>
      <w:r w:rsidRPr="00C86142">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3295BEE0" w14:textId="77777777" w:rsidR="00C86142" w:rsidRPr="00C86142" w:rsidRDefault="00C86142" w:rsidP="00C86142">
      <w:pPr>
        <w:spacing w:after="240"/>
        <w:rPr>
          <w:rFonts w:ascii="Times New Roman" w:eastAsia="Times New Roman" w:hAnsi="Times New Roman" w:cs="Times New Roman"/>
          <w:kern w:val="0"/>
          <w:lang w:val="es-CO" w:eastAsia="es-MX"/>
          <w14:ligatures w14:val="none"/>
        </w:rPr>
      </w:pPr>
    </w:p>
    <w:p w14:paraId="35C86EBE"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Atentamente,</w:t>
      </w:r>
    </w:p>
    <w:p w14:paraId="654D40EB" w14:textId="77777777" w:rsidR="00C86142" w:rsidRPr="00C86142" w:rsidRDefault="00C86142" w:rsidP="00C86142">
      <w:pPr>
        <w:spacing w:after="240"/>
        <w:rPr>
          <w:rFonts w:ascii="Times New Roman" w:eastAsia="Times New Roman" w:hAnsi="Times New Roman" w:cs="Times New Roman"/>
          <w:kern w:val="0"/>
          <w:lang w:val="es-CO" w:eastAsia="es-MX"/>
          <w14:ligatures w14:val="none"/>
        </w:rPr>
      </w:pPr>
      <w:r w:rsidRPr="00C86142">
        <w:rPr>
          <w:rFonts w:ascii="Times New Roman" w:eastAsia="Times New Roman" w:hAnsi="Times New Roman" w:cs="Times New Roman"/>
          <w:kern w:val="0"/>
          <w:lang w:val="es-CO" w:eastAsia="es-MX"/>
          <w14:ligatures w14:val="none"/>
        </w:rPr>
        <w:br/>
      </w:r>
    </w:p>
    <w:p w14:paraId="5FC065AA"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b/>
          <w:bCs/>
          <w:color w:val="000000"/>
          <w:kern w:val="0"/>
          <w:lang w:val="es-CO" w:eastAsia="es-MX"/>
          <w14:ligatures w14:val="none"/>
        </w:rPr>
        <w:t>INGRID CASTAÑEDA CEPEDA</w:t>
      </w:r>
    </w:p>
    <w:p w14:paraId="730912FB"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Subdirectora de Normativa y Doctrina (A)</w:t>
      </w:r>
    </w:p>
    <w:p w14:paraId="3E2A1A6C"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Subdirección de Normativa y Doctrina</w:t>
      </w:r>
    </w:p>
    <w:p w14:paraId="70448902"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Dirección de Gestión Jurídica</w:t>
      </w:r>
    </w:p>
    <w:p w14:paraId="10490186"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lang w:val="es-CO" w:eastAsia="es-MX"/>
          <w14:ligatures w14:val="none"/>
        </w:rPr>
        <w:t>www.dian.gov.co</w:t>
      </w:r>
    </w:p>
    <w:p w14:paraId="5BCC2574"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41C5C0B0" w14:textId="77777777" w:rsidR="00C86142" w:rsidRPr="00C86142" w:rsidRDefault="00C86142" w:rsidP="00C86142">
      <w:pPr>
        <w:jc w:val="both"/>
        <w:rPr>
          <w:rFonts w:ascii="Times New Roman" w:eastAsia="Times New Roman" w:hAnsi="Times New Roman" w:cs="Times New Roman"/>
          <w:kern w:val="0"/>
          <w:lang w:val="es-CO" w:eastAsia="es-MX"/>
          <w14:ligatures w14:val="none"/>
        </w:rPr>
      </w:pPr>
      <w:r w:rsidRPr="00C86142">
        <w:rPr>
          <w:rFonts w:ascii="Verdana" w:eastAsia="Times New Roman" w:hAnsi="Verdana" w:cs="Times New Roman"/>
          <w:color w:val="000000"/>
          <w:kern w:val="0"/>
          <w:sz w:val="20"/>
          <w:szCs w:val="20"/>
          <w:lang w:val="es-CO" w:eastAsia="es-MX"/>
          <w14:ligatures w14:val="none"/>
        </w:rPr>
        <w:t xml:space="preserve">Anexo: Concepto 000673 </w:t>
      </w:r>
      <w:proofErr w:type="spellStart"/>
      <w:r w:rsidRPr="00C86142">
        <w:rPr>
          <w:rFonts w:ascii="Verdana" w:eastAsia="Times New Roman" w:hAnsi="Verdana" w:cs="Times New Roman"/>
          <w:color w:val="000000"/>
          <w:kern w:val="0"/>
          <w:sz w:val="20"/>
          <w:szCs w:val="20"/>
          <w:lang w:val="es-CO" w:eastAsia="es-MX"/>
          <w14:ligatures w14:val="none"/>
        </w:rPr>
        <w:t>int</w:t>
      </w:r>
      <w:proofErr w:type="spellEnd"/>
      <w:r w:rsidRPr="00C86142">
        <w:rPr>
          <w:rFonts w:ascii="Verdana" w:eastAsia="Times New Roman" w:hAnsi="Verdana" w:cs="Times New Roman"/>
          <w:color w:val="000000"/>
          <w:kern w:val="0"/>
          <w:sz w:val="20"/>
          <w:szCs w:val="20"/>
          <w:lang w:val="es-CO" w:eastAsia="es-MX"/>
          <w14:ligatures w14:val="none"/>
        </w:rPr>
        <w:t>. 0063 del 16 de enero de 2026</w:t>
      </w:r>
    </w:p>
    <w:p w14:paraId="5A7DE8D7" w14:textId="77777777" w:rsidR="00C86142" w:rsidRPr="00C86142" w:rsidRDefault="00C86142" w:rsidP="00C86142">
      <w:pPr>
        <w:rPr>
          <w:rFonts w:ascii="Times New Roman" w:eastAsia="Times New Roman" w:hAnsi="Times New Roman" w:cs="Times New Roman"/>
          <w:kern w:val="0"/>
          <w:lang w:val="es-CO" w:eastAsia="es-MX"/>
          <w14:ligatures w14:val="none"/>
        </w:rPr>
      </w:pPr>
    </w:p>
    <w:p w14:paraId="470CE48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2442A6"/>
    <w:multiLevelType w:val="multilevel"/>
    <w:tmpl w:val="56A689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117004"/>
    <w:multiLevelType w:val="multilevel"/>
    <w:tmpl w:val="48D80A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55E045E"/>
    <w:multiLevelType w:val="hybridMultilevel"/>
    <w:tmpl w:val="8EDAAE6E"/>
    <w:lvl w:ilvl="0" w:tplc="3AA89444">
      <w:start w:val="5"/>
      <w:numFmt w:val="lowerRoman"/>
      <w:lvlText w:val="%1."/>
      <w:lvlJc w:val="right"/>
      <w:pPr>
        <w:tabs>
          <w:tab w:val="num" w:pos="720"/>
        </w:tabs>
        <w:ind w:left="720" w:hanging="360"/>
      </w:pPr>
    </w:lvl>
    <w:lvl w:ilvl="1" w:tplc="8FAE8932" w:tentative="1">
      <w:start w:val="1"/>
      <w:numFmt w:val="decimal"/>
      <w:lvlText w:val="%2."/>
      <w:lvlJc w:val="left"/>
      <w:pPr>
        <w:tabs>
          <w:tab w:val="num" w:pos="1440"/>
        </w:tabs>
        <w:ind w:left="1440" w:hanging="360"/>
      </w:pPr>
    </w:lvl>
    <w:lvl w:ilvl="2" w:tplc="D5D61CB8" w:tentative="1">
      <w:start w:val="1"/>
      <w:numFmt w:val="decimal"/>
      <w:lvlText w:val="%3."/>
      <w:lvlJc w:val="left"/>
      <w:pPr>
        <w:tabs>
          <w:tab w:val="num" w:pos="2160"/>
        </w:tabs>
        <w:ind w:left="2160" w:hanging="360"/>
      </w:pPr>
    </w:lvl>
    <w:lvl w:ilvl="3" w:tplc="334AFA32" w:tentative="1">
      <w:start w:val="1"/>
      <w:numFmt w:val="decimal"/>
      <w:lvlText w:val="%4."/>
      <w:lvlJc w:val="left"/>
      <w:pPr>
        <w:tabs>
          <w:tab w:val="num" w:pos="2880"/>
        </w:tabs>
        <w:ind w:left="2880" w:hanging="360"/>
      </w:pPr>
    </w:lvl>
    <w:lvl w:ilvl="4" w:tplc="D7A0B010" w:tentative="1">
      <w:start w:val="1"/>
      <w:numFmt w:val="decimal"/>
      <w:lvlText w:val="%5."/>
      <w:lvlJc w:val="left"/>
      <w:pPr>
        <w:tabs>
          <w:tab w:val="num" w:pos="3600"/>
        </w:tabs>
        <w:ind w:left="3600" w:hanging="360"/>
      </w:pPr>
    </w:lvl>
    <w:lvl w:ilvl="5" w:tplc="F1E6CC34" w:tentative="1">
      <w:start w:val="1"/>
      <w:numFmt w:val="decimal"/>
      <w:lvlText w:val="%6."/>
      <w:lvlJc w:val="left"/>
      <w:pPr>
        <w:tabs>
          <w:tab w:val="num" w:pos="4320"/>
        </w:tabs>
        <w:ind w:left="4320" w:hanging="360"/>
      </w:pPr>
    </w:lvl>
    <w:lvl w:ilvl="6" w:tplc="9F146CE0" w:tentative="1">
      <w:start w:val="1"/>
      <w:numFmt w:val="decimal"/>
      <w:lvlText w:val="%7."/>
      <w:lvlJc w:val="left"/>
      <w:pPr>
        <w:tabs>
          <w:tab w:val="num" w:pos="5040"/>
        </w:tabs>
        <w:ind w:left="5040" w:hanging="360"/>
      </w:pPr>
    </w:lvl>
    <w:lvl w:ilvl="7" w:tplc="38B6FC44" w:tentative="1">
      <w:start w:val="1"/>
      <w:numFmt w:val="decimal"/>
      <w:lvlText w:val="%8."/>
      <w:lvlJc w:val="left"/>
      <w:pPr>
        <w:tabs>
          <w:tab w:val="num" w:pos="5760"/>
        </w:tabs>
        <w:ind w:left="5760" w:hanging="360"/>
      </w:pPr>
    </w:lvl>
    <w:lvl w:ilvl="8" w:tplc="7B584BDE" w:tentative="1">
      <w:start w:val="1"/>
      <w:numFmt w:val="decimal"/>
      <w:lvlText w:val="%9."/>
      <w:lvlJc w:val="left"/>
      <w:pPr>
        <w:tabs>
          <w:tab w:val="num" w:pos="6480"/>
        </w:tabs>
        <w:ind w:left="6480" w:hanging="360"/>
      </w:pPr>
    </w:lvl>
  </w:abstractNum>
  <w:abstractNum w:abstractNumId="3" w15:restartNumberingAfterBreak="0">
    <w:nsid w:val="38BA7EAD"/>
    <w:multiLevelType w:val="hybridMultilevel"/>
    <w:tmpl w:val="0288837E"/>
    <w:lvl w:ilvl="0" w:tplc="F3EEB8A6">
      <w:start w:val="2"/>
      <w:numFmt w:val="lowerRoman"/>
      <w:lvlText w:val="%1."/>
      <w:lvlJc w:val="right"/>
      <w:pPr>
        <w:tabs>
          <w:tab w:val="num" w:pos="720"/>
        </w:tabs>
        <w:ind w:left="720" w:hanging="360"/>
      </w:pPr>
    </w:lvl>
    <w:lvl w:ilvl="1" w:tplc="708875A8" w:tentative="1">
      <w:start w:val="1"/>
      <w:numFmt w:val="decimal"/>
      <w:lvlText w:val="%2."/>
      <w:lvlJc w:val="left"/>
      <w:pPr>
        <w:tabs>
          <w:tab w:val="num" w:pos="1440"/>
        </w:tabs>
        <w:ind w:left="1440" w:hanging="360"/>
      </w:pPr>
    </w:lvl>
    <w:lvl w:ilvl="2" w:tplc="28EC544C" w:tentative="1">
      <w:start w:val="1"/>
      <w:numFmt w:val="decimal"/>
      <w:lvlText w:val="%3."/>
      <w:lvlJc w:val="left"/>
      <w:pPr>
        <w:tabs>
          <w:tab w:val="num" w:pos="2160"/>
        </w:tabs>
        <w:ind w:left="2160" w:hanging="360"/>
      </w:pPr>
    </w:lvl>
    <w:lvl w:ilvl="3" w:tplc="7A126BE4" w:tentative="1">
      <w:start w:val="1"/>
      <w:numFmt w:val="decimal"/>
      <w:lvlText w:val="%4."/>
      <w:lvlJc w:val="left"/>
      <w:pPr>
        <w:tabs>
          <w:tab w:val="num" w:pos="2880"/>
        </w:tabs>
        <w:ind w:left="2880" w:hanging="360"/>
      </w:pPr>
    </w:lvl>
    <w:lvl w:ilvl="4" w:tplc="7C66E772" w:tentative="1">
      <w:start w:val="1"/>
      <w:numFmt w:val="decimal"/>
      <w:lvlText w:val="%5."/>
      <w:lvlJc w:val="left"/>
      <w:pPr>
        <w:tabs>
          <w:tab w:val="num" w:pos="3600"/>
        </w:tabs>
        <w:ind w:left="3600" w:hanging="360"/>
      </w:pPr>
    </w:lvl>
    <w:lvl w:ilvl="5" w:tplc="89980A26" w:tentative="1">
      <w:start w:val="1"/>
      <w:numFmt w:val="decimal"/>
      <w:lvlText w:val="%6."/>
      <w:lvlJc w:val="left"/>
      <w:pPr>
        <w:tabs>
          <w:tab w:val="num" w:pos="4320"/>
        </w:tabs>
        <w:ind w:left="4320" w:hanging="360"/>
      </w:pPr>
    </w:lvl>
    <w:lvl w:ilvl="6" w:tplc="9E165044" w:tentative="1">
      <w:start w:val="1"/>
      <w:numFmt w:val="decimal"/>
      <w:lvlText w:val="%7."/>
      <w:lvlJc w:val="left"/>
      <w:pPr>
        <w:tabs>
          <w:tab w:val="num" w:pos="5040"/>
        </w:tabs>
        <w:ind w:left="5040" w:hanging="360"/>
      </w:pPr>
    </w:lvl>
    <w:lvl w:ilvl="7" w:tplc="A88EC4C0" w:tentative="1">
      <w:start w:val="1"/>
      <w:numFmt w:val="decimal"/>
      <w:lvlText w:val="%8."/>
      <w:lvlJc w:val="left"/>
      <w:pPr>
        <w:tabs>
          <w:tab w:val="num" w:pos="5760"/>
        </w:tabs>
        <w:ind w:left="5760" w:hanging="360"/>
      </w:pPr>
    </w:lvl>
    <w:lvl w:ilvl="8" w:tplc="9DA0A554" w:tentative="1">
      <w:start w:val="1"/>
      <w:numFmt w:val="decimal"/>
      <w:lvlText w:val="%9."/>
      <w:lvlJc w:val="left"/>
      <w:pPr>
        <w:tabs>
          <w:tab w:val="num" w:pos="6480"/>
        </w:tabs>
        <w:ind w:left="6480" w:hanging="360"/>
      </w:pPr>
    </w:lvl>
  </w:abstractNum>
  <w:abstractNum w:abstractNumId="4" w15:restartNumberingAfterBreak="0">
    <w:nsid w:val="494E6EBC"/>
    <w:multiLevelType w:val="multilevel"/>
    <w:tmpl w:val="D1E6F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11B4A72"/>
    <w:multiLevelType w:val="multilevel"/>
    <w:tmpl w:val="655C054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20270B4"/>
    <w:multiLevelType w:val="multilevel"/>
    <w:tmpl w:val="F1F0490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4B7177E"/>
    <w:multiLevelType w:val="multilevel"/>
    <w:tmpl w:val="EA6A8EA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71845F2"/>
    <w:multiLevelType w:val="hybridMultilevel"/>
    <w:tmpl w:val="2D2679F6"/>
    <w:lvl w:ilvl="0" w:tplc="35DC83F6">
      <w:start w:val="4"/>
      <w:numFmt w:val="lowerRoman"/>
      <w:lvlText w:val="%1."/>
      <w:lvlJc w:val="right"/>
      <w:pPr>
        <w:tabs>
          <w:tab w:val="num" w:pos="720"/>
        </w:tabs>
        <w:ind w:left="720" w:hanging="360"/>
      </w:pPr>
    </w:lvl>
    <w:lvl w:ilvl="1" w:tplc="EC5C4888" w:tentative="1">
      <w:start w:val="1"/>
      <w:numFmt w:val="decimal"/>
      <w:lvlText w:val="%2."/>
      <w:lvlJc w:val="left"/>
      <w:pPr>
        <w:tabs>
          <w:tab w:val="num" w:pos="1440"/>
        </w:tabs>
        <w:ind w:left="1440" w:hanging="360"/>
      </w:pPr>
    </w:lvl>
    <w:lvl w:ilvl="2" w:tplc="044410A2" w:tentative="1">
      <w:start w:val="1"/>
      <w:numFmt w:val="decimal"/>
      <w:lvlText w:val="%3."/>
      <w:lvlJc w:val="left"/>
      <w:pPr>
        <w:tabs>
          <w:tab w:val="num" w:pos="2160"/>
        </w:tabs>
        <w:ind w:left="2160" w:hanging="360"/>
      </w:pPr>
    </w:lvl>
    <w:lvl w:ilvl="3" w:tplc="59C68AC6" w:tentative="1">
      <w:start w:val="1"/>
      <w:numFmt w:val="decimal"/>
      <w:lvlText w:val="%4."/>
      <w:lvlJc w:val="left"/>
      <w:pPr>
        <w:tabs>
          <w:tab w:val="num" w:pos="2880"/>
        </w:tabs>
        <w:ind w:left="2880" w:hanging="360"/>
      </w:pPr>
    </w:lvl>
    <w:lvl w:ilvl="4" w:tplc="74125C5E" w:tentative="1">
      <w:start w:val="1"/>
      <w:numFmt w:val="decimal"/>
      <w:lvlText w:val="%5."/>
      <w:lvlJc w:val="left"/>
      <w:pPr>
        <w:tabs>
          <w:tab w:val="num" w:pos="3600"/>
        </w:tabs>
        <w:ind w:left="3600" w:hanging="360"/>
      </w:pPr>
    </w:lvl>
    <w:lvl w:ilvl="5" w:tplc="0F2EB42C" w:tentative="1">
      <w:start w:val="1"/>
      <w:numFmt w:val="decimal"/>
      <w:lvlText w:val="%6."/>
      <w:lvlJc w:val="left"/>
      <w:pPr>
        <w:tabs>
          <w:tab w:val="num" w:pos="4320"/>
        </w:tabs>
        <w:ind w:left="4320" w:hanging="360"/>
      </w:pPr>
    </w:lvl>
    <w:lvl w:ilvl="6" w:tplc="99A6F9BC" w:tentative="1">
      <w:start w:val="1"/>
      <w:numFmt w:val="decimal"/>
      <w:lvlText w:val="%7."/>
      <w:lvlJc w:val="left"/>
      <w:pPr>
        <w:tabs>
          <w:tab w:val="num" w:pos="5040"/>
        </w:tabs>
        <w:ind w:left="5040" w:hanging="360"/>
      </w:pPr>
    </w:lvl>
    <w:lvl w:ilvl="7" w:tplc="4ED4AEDE" w:tentative="1">
      <w:start w:val="1"/>
      <w:numFmt w:val="decimal"/>
      <w:lvlText w:val="%8."/>
      <w:lvlJc w:val="left"/>
      <w:pPr>
        <w:tabs>
          <w:tab w:val="num" w:pos="5760"/>
        </w:tabs>
        <w:ind w:left="5760" w:hanging="360"/>
      </w:pPr>
    </w:lvl>
    <w:lvl w:ilvl="8" w:tplc="210AF73C" w:tentative="1">
      <w:start w:val="1"/>
      <w:numFmt w:val="decimal"/>
      <w:lvlText w:val="%9."/>
      <w:lvlJc w:val="left"/>
      <w:pPr>
        <w:tabs>
          <w:tab w:val="num" w:pos="6480"/>
        </w:tabs>
        <w:ind w:left="6480" w:hanging="360"/>
      </w:pPr>
    </w:lvl>
  </w:abstractNum>
  <w:abstractNum w:abstractNumId="9" w15:restartNumberingAfterBreak="0">
    <w:nsid w:val="6BCE1155"/>
    <w:multiLevelType w:val="hybridMultilevel"/>
    <w:tmpl w:val="43C4038A"/>
    <w:lvl w:ilvl="0" w:tplc="35C2B4A2">
      <w:start w:val="3"/>
      <w:numFmt w:val="lowerRoman"/>
      <w:lvlText w:val="%1."/>
      <w:lvlJc w:val="right"/>
      <w:pPr>
        <w:tabs>
          <w:tab w:val="num" w:pos="720"/>
        </w:tabs>
        <w:ind w:left="720" w:hanging="360"/>
      </w:pPr>
    </w:lvl>
    <w:lvl w:ilvl="1" w:tplc="17AED520" w:tentative="1">
      <w:start w:val="1"/>
      <w:numFmt w:val="decimal"/>
      <w:lvlText w:val="%2."/>
      <w:lvlJc w:val="left"/>
      <w:pPr>
        <w:tabs>
          <w:tab w:val="num" w:pos="1440"/>
        </w:tabs>
        <w:ind w:left="1440" w:hanging="360"/>
      </w:pPr>
    </w:lvl>
    <w:lvl w:ilvl="2" w:tplc="EC3C6308" w:tentative="1">
      <w:start w:val="1"/>
      <w:numFmt w:val="decimal"/>
      <w:lvlText w:val="%3."/>
      <w:lvlJc w:val="left"/>
      <w:pPr>
        <w:tabs>
          <w:tab w:val="num" w:pos="2160"/>
        </w:tabs>
        <w:ind w:left="2160" w:hanging="360"/>
      </w:pPr>
    </w:lvl>
    <w:lvl w:ilvl="3" w:tplc="7F0672DE" w:tentative="1">
      <w:start w:val="1"/>
      <w:numFmt w:val="decimal"/>
      <w:lvlText w:val="%4."/>
      <w:lvlJc w:val="left"/>
      <w:pPr>
        <w:tabs>
          <w:tab w:val="num" w:pos="2880"/>
        </w:tabs>
        <w:ind w:left="2880" w:hanging="360"/>
      </w:pPr>
    </w:lvl>
    <w:lvl w:ilvl="4" w:tplc="0B2E5D08" w:tentative="1">
      <w:start w:val="1"/>
      <w:numFmt w:val="decimal"/>
      <w:lvlText w:val="%5."/>
      <w:lvlJc w:val="left"/>
      <w:pPr>
        <w:tabs>
          <w:tab w:val="num" w:pos="3600"/>
        </w:tabs>
        <w:ind w:left="3600" w:hanging="360"/>
      </w:pPr>
    </w:lvl>
    <w:lvl w:ilvl="5" w:tplc="79541B5A" w:tentative="1">
      <w:start w:val="1"/>
      <w:numFmt w:val="decimal"/>
      <w:lvlText w:val="%6."/>
      <w:lvlJc w:val="left"/>
      <w:pPr>
        <w:tabs>
          <w:tab w:val="num" w:pos="4320"/>
        </w:tabs>
        <w:ind w:left="4320" w:hanging="360"/>
      </w:pPr>
    </w:lvl>
    <w:lvl w:ilvl="6" w:tplc="BA06F672" w:tentative="1">
      <w:start w:val="1"/>
      <w:numFmt w:val="decimal"/>
      <w:lvlText w:val="%7."/>
      <w:lvlJc w:val="left"/>
      <w:pPr>
        <w:tabs>
          <w:tab w:val="num" w:pos="5040"/>
        </w:tabs>
        <w:ind w:left="5040" w:hanging="360"/>
      </w:pPr>
    </w:lvl>
    <w:lvl w:ilvl="7" w:tplc="1CAE7F2A" w:tentative="1">
      <w:start w:val="1"/>
      <w:numFmt w:val="decimal"/>
      <w:lvlText w:val="%8."/>
      <w:lvlJc w:val="left"/>
      <w:pPr>
        <w:tabs>
          <w:tab w:val="num" w:pos="5760"/>
        </w:tabs>
        <w:ind w:left="5760" w:hanging="360"/>
      </w:pPr>
    </w:lvl>
    <w:lvl w:ilvl="8" w:tplc="DD78F548" w:tentative="1">
      <w:start w:val="1"/>
      <w:numFmt w:val="decimal"/>
      <w:lvlText w:val="%9."/>
      <w:lvlJc w:val="left"/>
      <w:pPr>
        <w:tabs>
          <w:tab w:val="num" w:pos="6480"/>
        </w:tabs>
        <w:ind w:left="6480" w:hanging="360"/>
      </w:pPr>
    </w:lvl>
  </w:abstractNum>
  <w:abstractNum w:abstractNumId="10" w15:restartNumberingAfterBreak="0">
    <w:nsid w:val="75D24FFC"/>
    <w:multiLevelType w:val="multilevel"/>
    <w:tmpl w:val="53C8B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7B0E2E"/>
    <w:multiLevelType w:val="multilevel"/>
    <w:tmpl w:val="693453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4874805">
    <w:abstractNumId w:val="10"/>
  </w:num>
  <w:num w:numId="2" w16cid:durableId="1451508222">
    <w:abstractNumId w:val="6"/>
    <w:lvlOverride w:ilvl="0">
      <w:lvl w:ilvl="0">
        <w:numFmt w:val="decimal"/>
        <w:lvlText w:val="%1."/>
        <w:lvlJc w:val="left"/>
      </w:lvl>
    </w:lvlOverride>
  </w:num>
  <w:num w:numId="3" w16cid:durableId="52583952">
    <w:abstractNumId w:val="4"/>
    <w:lvlOverride w:ilvl="0">
      <w:lvl w:ilvl="0">
        <w:numFmt w:val="lowerRoman"/>
        <w:lvlText w:val="%1."/>
        <w:lvlJc w:val="right"/>
      </w:lvl>
    </w:lvlOverride>
  </w:num>
  <w:num w:numId="4" w16cid:durableId="309216560">
    <w:abstractNumId w:val="3"/>
  </w:num>
  <w:num w:numId="5" w16cid:durableId="785655558">
    <w:abstractNumId w:val="9"/>
  </w:num>
  <w:num w:numId="6" w16cid:durableId="960957386">
    <w:abstractNumId w:val="8"/>
  </w:num>
  <w:num w:numId="7" w16cid:durableId="2143956982">
    <w:abstractNumId w:val="2"/>
  </w:num>
  <w:num w:numId="8" w16cid:durableId="1835687152">
    <w:abstractNumId w:val="1"/>
    <w:lvlOverride w:ilvl="0">
      <w:lvl w:ilvl="0">
        <w:numFmt w:val="decimal"/>
        <w:lvlText w:val="%1."/>
        <w:lvlJc w:val="left"/>
      </w:lvl>
    </w:lvlOverride>
  </w:num>
  <w:num w:numId="9" w16cid:durableId="1369915307">
    <w:abstractNumId w:val="11"/>
    <w:lvlOverride w:ilvl="0">
      <w:lvl w:ilvl="0">
        <w:numFmt w:val="decimal"/>
        <w:lvlText w:val="%1."/>
        <w:lvlJc w:val="left"/>
      </w:lvl>
    </w:lvlOverride>
  </w:num>
  <w:num w:numId="10" w16cid:durableId="1108966266">
    <w:abstractNumId w:val="0"/>
    <w:lvlOverride w:ilvl="0">
      <w:lvl w:ilvl="0">
        <w:numFmt w:val="decimal"/>
        <w:lvlText w:val="%1."/>
        <w:lvlJc w:val="left"/>
      </w:lvl>
    </w:lvlOverride>
  </w:num>
  <w:num w:numId="11" w16cid:durableId="571042365">
    <w:abstractNumId w:val="7"/>
    <w:lvlOverride w:ilvl="0">
      <w:lvl w:ilvl="0">
        <w:numFmt w:val="decimal"/>
        <w:lvlText w:val="%1."/>
        <w:lvlJc w:val="left"/>
      </w:lvl>
    </w:lvlOverride>
  </w:num>
  <w:num w:numId="12" w16cid:durableId="1310090541">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142"/>
    <w:rsid w:val="000B2285"/>
    <w:rsid w:val="00537D8F"/>
    <w:rsid w:val="00734DF2"/>
    <w:rsid w:val="00B83A7B"/>
    <w:rsid w:val="00C86142"/>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EE77EF2"/>
  <w14:defaultImageDpi w14:val="32767"/>
  <w15:chartTrackingRefBased/>
  <w15:docId w15:val="{8A585301-1139-3447-B10D-8221C9E51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8614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C8614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C8614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C8614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C8614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C8614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C8614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C8614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C8614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8614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C8614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C8614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C8614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C8614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C8614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C8614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C8614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C86142"/>
    <w:rPr>
      <w:rFonts w:eastAsiaTheme="majorEastAsia" w:cstheme="majorBidi"/>
      <w:color w:val="272727" w:themeColor="text1" w:themeTint="D8"/>
    </w:rPr>
  </w:style>
  <w:style w:type="paragraph" w:styleId="Ttulo">
    <w:name w:val="Title"/>
    <w:basedOn w:val="Normal"/>
    <w:next w:val="Normal"/>
    <w:link w:val="TtuloCar"/>
    <w:uiPriority w:val="10"/>
    <w:qFormat/>
    <w:rsid w:val="00C8614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8614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C8614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C8614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C8614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C86142"/>
    <w:rPr>
      <w:i/>
      <w:iCs/>
      <w:color w:val="404040" w:themeColor="text1" w:themeTint="BF"/>
    </w:rPr>
  </w:style>
  <w:style w:type="paragraph" w:styleId="Prrafodelista">
    <w:name w:val="List Paragraph"/>
    <w:basedOn w:val="Normal"/>
    <w:uiPriority w:val="34"/>
    <w:qFormat/>
    <w:rsid w:val="00C86142"/>
    <w:pPr>
      <w:ind w:left="720"/>
      <w:contextualSpacing/>
    </w:pPr>
  </w:style>
  <w:style w:type="character" w:styleId="nfasisintenso">
    <w:name w:val="Intense Emphasis"/>
    <w:basedOn w:val="Fuentedeprrafopredeter"/>
    <w:uiPriority w:val="21"/>
    <w:qFormat/>
    <w:rsid w:val="00C86142"/>
    <w:rPr>
      <w:i/>
      <w:iCs/>
      <w:color w:val="2F5496" w:themeColor="accent1" w:themeShade="BF"/>
    </w:rPr>
  </w:style>
  <w:style w:type="paragraph" w:styleId="Citadestacada">
    <w:name w:val="Intense Quote"/>
    <w:basedOn w:val="Normal"/>
    <w:next w:val="Normal"/>
    <w:link w:val="CitadestacadaCar"/>
    <w:uiPriority w:val="30"/>
    <w:qFormat/>
    <w:rsid w:val="00C8614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C86142"/>
    <w:rPr>
      <w:i/>
      <w:iCs/>
      <w:color w:val="2F5496" w:themeColor="accent1" w:themeShade="BF"/>
    </w:rPr>
  </w:style>
  <w:style w:type="character" w:styleId="Referenciaintensa">
    <w:name w:val="Intense Reference"/>
    <w:basedOn w:val="Fuentedeprrafopredeter"/>
    <w:uiPriority w:val="32"/>
    <w:qFormat/>
    <w:rsid w:val="00C86142"/>
    <w:rPr>
      <w:b/>
      <w:bCs/>
      <w:smallCaps/>
      <w:color w:val="2F5496" w:themeColor="accent1" w:themeShade="BF"/>
      <w:spacing w:val="5"/>
    </w:rPr>
  </w:style>
  <w:style w:type="paragraph" w:styleId="NormalWeb">
    <w:name w:val="Normal (Web)"/>
    <w:basedOn w:val="Normal"/>
    <w:uiPriority w:val="99"/>
    <w:semiHidden/>
    <w:unhideWhenUsed/>
    <w:rsid w:val="00C8614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C861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749</Words>
  <Characters>4121</Characters>
  <Application>Microsoft Office Word</Application>
  <DocSecurity>0</DocSecurity>
  <Lines>34</Lines>
  <Paragraphs>9</Paragraphs>
  <ScaleCrop>false</ScaleCrop>
  <Company/>
  <LinksUpToDate>false</LinksUpToDate>
  <CharactersWithSpaces>4861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2026-04-21T20:17:00Z</dcterms:created>
  <dcterms:modified xsi:type="dcterms:W3CDTF">2026-04-21T20:18:00Z</dcterms:modified>
</cp:coreProperties>
</file>