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08D7E" w14:textId="77777777" w:rsidR="00537D8F" w:rsidRDefault="00537D8F"/>
    <w:p w14:paraId="2AECCAC8"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CO" w:eastAsia="es-MX"/>
          <w14:ligatures w14:val="none"/>
        </w:rPr>
        <w:t>ACUERDO 1019 DE 2025</w:t>
      </w:r>
    </w:p>
    <w:p w14:paraId="592C34DE"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CO" w:eastAsia="es-MX"/>
          <w14:ligatures w14:val="none"/>
        </w:rPr>
        <w:t> </w:t>
      </w:r>
    </w:p>
    <w:p w14:paraId="0FF51D2A"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CO" w:eastAsia="es-MX"/>
          <w14:ligatures w14:val="none"/>
        </w:rPr>
        <w:t>(Diciembre 15)</w:t>
      </w:r>
    </w:p>
    <w:p w14:paraId="496C990B"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CO" w:eastAsia="es-MX"/>
          <w14:ligatures w14:val="none"/>
        </w:rPr>
        <w:t> </w:t>
      </w:r>
    </w:p>
    <w:p w14:paraId="66380B18"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bookmarkStart w:id="0" w:name="OLE_LINK1"/>
      <w:bookmarkStart w:id="1" w:name="OLE_LINK2"/>
      <w:bookmarkEnd w:id="0"/>
      <w:bookmarkEnd w:id="1"/>
      <w:r w:rsidRPr="00D42DD0">
        <w:rPr>
          <w:rFonts w:ascii="Arial" w:eastAsia="Times New Roman" w:hAnsi="Arial" w:cs="Arial"/>
          <w:b/>
          <w:bCs/>
          <w:i/>
          <w:iCs/>
          <w:color w:val="333333"/>
          <w:kern w:val="0"/>
          <w:lang w:eastAsia="es-MX"/>
          <w14:ligatures w14:val="none"/>
        </w:rPr>
        <w:t>Por el cual se expide el Presupuesto Anual de Rentas e Ingresos y de Gastos e Inversiones </w:t>
      </w:r>
      <w:bookmarkStart w:id="2" w:name="bkNomEmpresaNegrita"/>
      <w:bookmarkEnd w:id="2"/>
      <w:r w:rsidRPr="00D42DD0">
        <w:rPr>
          <w:rFonts w:ascii="Arial" w:eastAsia="Times New Roman" w:hAnsi="Arial" w:cs="Arial"/>
          <w:b/>
          <w:bCs/>
          <w:i/>
          <w:iCs/>
          <w:color w:val="333333"/>
          <w:kern w:val="0"/>
          <w:lang w:eastAsia="es-MX"/>
          <w14:ligatures w14:val="none"/>
        </w:rPr>
        <w:t>de Bogotá, Distrito Capital para la vigencia fiscal comprendida entre el 1 de enero y el 31 de diciembre de 2026 y se dictan otras disposiciones</w:t>
      </w:r>
    </w:p>
    <w:p w14:paraId="0F0E783B"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ES" w:eastAsia="es-MX"/>
          <w14:ligatures w14:val="none"/>
        </w:rPr>
        <w:t> </w:t>
      </w:r>
    </w:p>
    <w:p w14:paraId="3927211D"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ES" w:eastAsia="es-MX"/>
          <w14:ligatures w14:val="none"/>
        </w:rPr>
        <w:t>EL CONCEJO DE BOGOTÁ, DISTRITO CAPITAL</w:t>
      </w:r>
    </w:p>
    <w:p w14:paraId="2D2E196C"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ES" w:eastAsia="es-MX"/>
          <w14:ligatures w14:val="none"/>
        </w:rPr>
        <w:t> </w:t>
      </w:r>
    </w:p>
    <w:p w14:paraId="5C920D70"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CO" w:eastAsia="es-MX"/>
          <w14:ligatures w14:val="none"/>
        </w:rPr>
        <w:t>En uso de sus facultades constitucionales y legales, y en especial las que le confiere el Artículo 12 del Decreto Ley 1421 de 1993 y el Capítulo IV del Decreto 714 de 1996.</w:t>
      </w:r>
    </w:p>
    <w:p w14:paraId="6A1A6D48"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hyperlink r:id="rId4" w:history="1">
        <w:r w:rsidRPr="00D42DD0">
          <w:rPr>
            <w:rFonts w:ascii="Arial" w:eastAsia="Times New Roman" w:hAnsi="Arial" w:cs="Arial"/>
            <w:color w:val="0000FF"/>
            <w:kern w:val="0"/>
            <w:u w:val="single"/>
            <w:lang w:val="es-CO" w:eastAsia="es-MX"/>
            <w14:ligatures w14:val="none"/>
          </w:rPr>
          <w:br/>
        </w:r>
      </w:hyperlink>
    </w:p>
    <w:p w14:paraId="12DF5D11"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hyperlink r:id="rId5" w:history="1">
        <w:r w:rsidRPr="00D42DD0">
          <w:rPr>
            <w:rFonts w:ascii="Arial" w:eastAsia="Times New Roman" w:hAnsi="Arial" w:cs="Arial"/>
            <w:color w:val="0000FF"/>
            <w:kern w:val="0"/>
            <w:u w:val="single"/>
            <w:lang w:val="es-CO" w:eastAsia="es-MX"/>
            <w14:ligatures w14:val="none"/>
          </w:rPr>
          <w:t>Ver Decreto Distrital 675 de 2025.</w:t>
        </w:r>
      </w:hyperlink>
    </w:p>
    <w:p w14:paraId="1E021CF6"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ES" w:eastAsia="es-MX"/>
          <w14:ligatures w14:val="none"/>
        </w:rPr>
        <w:t> </w:t>
      </w:r>
    </w:p>
    <w:p w14:paraId="521DBD4B" w14:textId="77777777" w:rsidR="00D42DD0" w:rsidRPr="00D42DD0" w:rsidRDefault="00D42DD0" w:rsidP="00D42DD0">
      <w:pPr>
        <w:shd w:val="clear" w:color="auto" w:fill="FFFFFF"/>
        <w:jc w:val="center"/>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ES" w:eastAsia="es-MX"/>
          <w14:ligatures w14:val="none"/>
        </w:rPr>
        <w:t>ACUERDA:</w:t>
      </w:r>
    </w:p>
    <w:p w14:paraId="2D2B6FBE" w14:textId="57122D4D" w:rsidR="00D42DD0" w:rsidRDefault="00D42DD0" w:rsidP="00D42DD0">
      <w:pPr>
        <w:shd w:val="clear" w:color="auto" w:fill="FFFFFF"/>
        <w:jc w:val="both"/>
        <w:rPr>
          <w:rFonts w:ascii="Arial" w:eastAsia="Times New Roman" w:hAnsi="Arial" w:cs="Arial"/>
          <w:b/>
          <w:bCs/>
          <w:color w:val="333333"/>
          <w:kern w:val="0"/>
          <w:lang w:eastAsia="es-MX"/>
          <w14:ligatures w14:val="none"/>
        </w:rPr>
      </w:pPr>
    </w:p>
    <w:p w14:paraId="3099ECC3" w14:textId="46DB87CB" w:rsidR="00D42DD0" w:rsidRDefault="00D42DD0" w:rsidP="00D42DD0">
      <w:pPr>
        <w:shd w:val="clear" w:color="auto" w:fill="FFFFFF"/>
        <w:jc w:val="both"/>
        <w:rPr>
          <w:rFonts w:ascii="Arial" w:eastAsia="Times New Roman" w:hAnsi="Arial" w:cs="Arial"/>
          <w:b/>
          <w:bCs/>
          <w:color w:val="333333"/>
          <w:kern w:val="0"/>
          <w:lang w:eastAsia="es-MX"/>
          <w14:ligatures w14:val="none"/>
        </w:rPr>
      </w:pPr>
      <w:r>
        <w:rPr>
          <w:rFonts w:ascii="Arial" w:eastAsia="Times New Roman" w:hAnsi="Arial" w:cs="Arial"/>
          <w:b/>
          <w:bCs/>
          <w:color w:val="333333"/>
          <w:kern w:val="0"/>
          <w:lang w:eastAsia="es-MX"/>
          <w14:ligatures w14:val="none"/>
        </w:rPr>
        <w:t>(…)</w:t>
      </w:r>
    </w:p>
    <w:p w14:paraId="6F65F024" w14:textId="77777777" w:rsidR="00D42DD0" w:rsidRDefault="00D42DD0" w:rsidP="00D42DD0">
      <w:pPr>
        <w:shd w:val="clear" w:color="auto" w:fill="FFFFFF"/>
        <w:jc w:val="both"/>
        <w:rPr>
          <w:rFonts w:ascii="Arial" w:eastAsia="Times New Roman" w:hAnsi="Arial" w:cs="Arial"/>
          <w:b/>
          <w:bCs/>
          <w:color w:val="333333"/>
          <w:kern w:val="0"/>
          <w:lang w:eastAsia="es-MX"/>
          <w14:ligatures w14:val="none"/>
        </w:rPr>
      </w:pPr>
    </w:p>
    <w:p w14:paraId="75D83312" w14:textId="77777777" w:rsidR="00D42DD0" w:rsidRDefault="00D42DD0" w:rsidP="00D42DD0">
      <w:pPr>
        <w:shd w:val="clear" w:color="auto" w:fill="FFFFFF"/>
        <w:jc w:val="both"/>
        <w:rPr>
          <w:rFonts w:ascii="Arial" w:eastAsia="Times New Roman" w:hAnsi="Arial" w:cs="Arial"/>
          <w:b/>
          <w:bCs/>
          <w:color w:val="333333"/>
          <w:kern w:val="0"/>
          <w:lang w:eastAsia="es-MX"/>
          <w14:ligatures w14:val="none"/>
        </w:rPr>
      </w:pPr>
    </w:p>
    <w:p w14:paraId="392BC54E" w14:textId="54286805"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eastAsia="es-MX"/>
          <w14:ligatures w14:val="none"/>
        </w:rPr>
        <w:t>Artículo</w:t>
      </w:r>
      <w:r w:rsidRPr="00D42DD0">
        <w:rPr>
          <w:rFonts w:ascii="Arial" w:eastAsia="Times New Roman" w:hAnsi="Arial" w:cs="Arial"/>
          <w:color w:val="333333"/>
          <w:kern w:val="0"/>
          <w:lang w:val="es-CO" w:eastAsia="es-MX"/>
          <w14:ligatures w14:val="none"/>
        </w:rPr>
        <w:t> </w:t>
      </w:r>
      <w:r w:rsidRPr="00D42DD0">
        <w:rPr>
          <w:rFonts w:ascii="Arial" w:eastAsia="Times New Roman" w:hAnsi="Arial" w:cs="Arial"/>
          <w:b/>
          <w:bCs/>
          <w:color w:val="333333"/>
          <w:kern w:val="0"/>
          <w:lang w:eastAsia="es-MX"/>
          <w14:ligatures w14:val="none"/>
        </w:rPr>
        <w:t>44. RÉGIMEN SIMPLE DE TRIBUTACIÓN.</w:t>
      </w:r>
      <w:r w:rsidRPr="00D42DD0">
        <w:rPr>
          <w:rFonts w:ascii="Arial" w:eastAsia="Times New Roman" w:hAnsi="Arial" w:cs="Arial"/>
          <w:color w:val="333333"/>
          <w:kern w:val="0"/>
          <w:lang w:eastAsia="es-MX"/>
          <w14:ligatures w14:val="none"/>
        </w:rPr>
        <w:t>  Para contribuir a la financiación del presupuesto de la vigencia 2026, en el Distrito Capital las tarifas del Impuesto de Industria y Comercio Consolidado aplicable bajo el Régimen Simple de Tributación – SIMPLE serán las siguientes:</w:t>
      </w:r>
    </w:p>
    <w:p w14:paraId="5F3D01D9"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color w:val="333333"/>
          <w:kern w:val="0"/>
          <w:lang w:eastAsia="es-MX"/>
          <w14:ligatures w14:val="none"/>
        </w:rPr>
        <w:t> </w:t>
      </w:r>
    </w:p>
    <w:tbl>
      <w:tblPr>
        <w:tblW w:w="0" w:type="auto"/>
        <w:jc w:val="center"/>
        <w:tblCellMar>
          <w:left w:w="0" w:type="dxa"/>
          <w:right w:w="0" w:type="dxa"/>
        </w:tblCellMar>
        <w:tblLook w:val="04A0" w:firstRow="1" w:lastRow="0" w:firstColumn="1" w:lastColumn="0" w:noHBand="0" w:noVBand="1"/>
      </w:tblPr>
      <w:tblGrid>
        <w:gridCol w:w="3256"/>
        <w:gridCol w:w="1842"/>
      </w:tblGrid>
      <w:tr w:rsidR="00D42DD0" w:rsidRPr="00D42DD0" w14:paraId="16EF06F2" w14:textId="77777777">
        <w:trPr>
          <w:jc w:val="center"/>
        </w:trPr>
        <w:tc>
          <w:tcPr>
            <w:tcW w:w="325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7CCABB"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Numerales actividades del artículo 908 del Estatuto Tributario Nacional</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7A4D29"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Tarifa por mil</w:t>
            </w:r>
          </w:p>
        </w:tc>
      </w:tr>
      <w:tr w:rsidR="00D42DD0" w:rsidRPr="00D42DD0" w14:paraId="17DA8B70" w14:textId="77777777">
        <w:trPr>
          <w:jc w:val="center"/>
        </w:trPr>
        <w:tc>
          <w:tcPr>
            <w:tcW w:w="325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EA3EB7"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1</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4D34A"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12</w:t>
            </w:r>
          </w:p>
        </w:tc>
      </w:tr>
      <w:tr w:rsidR="00D42DD0" w:rsidRPr="00D42DD0" w14:paraId="309258F6" w14:textId="77777777">
        <w:trPr>
          <w:jc w:val="center"/>
        </w:trPr>
        <w:tc>
          <w:tcPr>
            <w:tcW w:w="325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23FB17"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2</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646C10"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16</w:t>
            </w:r>
          </w:p>
        </w:tc>
      </w:tr>
      <w:tr w:rsidR="00D42DD0" w:rsidRPr="00D42DD0" w14:paraId="01440FFC" w14:textId="77777777">
        <w:trPr>
          <w:jc w:val="center"/>
        </w:trPr>
        <w:tc>
          <w:tcPr>
            <w:tcW w:w="325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6BA337"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3</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616A9E"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30</w:t>
            </w:r>
          </w:p>
        </w:tc>
      </w:tr>
      <w:tr w:rsidR="00D42DD0" w:rsidRPr="00D42DD0" w14:paraId="25D44F8B" w14:textId="77777777">
        <w:trPr>
          <w:jc w:val="center"/>
        </w:trPr>
        <w:tc>
          <w:tcPr>
            <w:tcW w:w="325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25EF32"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3(sic)</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5610ED"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30</w:t>
            </w:r>
          </w:p>
        </w:tc>
      </w:tr>
      <w:tr w:rsidR="00D42DD0" w:rsidRPr="00D42DD0" w14:paraId="325B592D" w14:textId="77777777">
        <w:trPr>
          <w:jc w:val="center"/>
        </w:trPr>
        <w:tc>
          <w:tcPr>
            <w:tcW w:w="325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FC57E5"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6</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C4C235" w14:textId="77777777" w:rsidR="00D42DD0" w:rsidRPr="00D42DD0" w:rsidRDefault="00D42DD0" w:rsidP="00D42DD0">
            <w:pPr>
              <w:jc w:val="both"/>
              <w:rPr>
                <w:rFonts w:ascii="Arial" w:eastAsia="Times New Roman" w:hAnsi="Arial" w:cs="Arial"/>
                <w:kern w:val="0"/>
                <w:lang w:val="es-CO" w:eastAsia="es-MX"/>
                <w14:ligatures w14:val="none"/>
              </w:rPr>
            </w:pPr>
            <w:r w:rsidRPr="00D42DD0">
              <w:rPr>
                <w:rFonts w:ascii="Arial" w:eastAsia="Times New Roman" w:hAnsi="Arial" w:cs="Arial"/>
                <w:kern w:val="0"/>
                <w:sz w:val="20"/>
                <w:szCs w:val="20"/>
                <w:lang w:eastAsia="es-MX"/>
                <w14:ligatures w14:val="none"/>
              </w:rPr>
              <w:t>16</w:t>
            </w:r>
          </w:p>
        </w:tc>
      </w:tr>
    </w:tbl>
    <w:p w14:paraId="7578D8BA"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color w:val="333333"/>
          <w:kern w:val="0"/>
          <w:lang w:eastAsia="es-MX"/>
          <w14:ligatures w14:val="none"/>
        </w:rPr>
        <w:t> </w:t>
      </w:r>
    </w:p>
    <w:p w14:paraId="381F5F6B"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eastAsia="es-MX"/>
          <w14:ligatures w14:val="none"/>
        </w:rPr>
        <w:t>Parágrafo.</w:t>
      </w:r>
      <w:r w:rsidRPr="00D42DD0">
        <w:rPr>
          <w:rFonts w:ascii="Arial" w:eastAsia="Times New Roman" w:hAnsi="Arial" w:cs="Arial"/>
          <w:color w:val="333333"/>
          <w:kern w:val="0"/>
          <w:lang w:eastAsia="es-MX"/>
          <w14:ligatures w14:val="none"/>
        </w:rPr>
        <w:t> Para efectos del cálculo del Régimen Simple de Tributación (SIMPLE), los contribuyentes que se acojan deberán remitirse a las tarifas dispuestas en el artículo </w:t>
      </w:r>
      <w:hyperlink r:id="rId6" w:anchor="908" w:history="1">
        <w:r w:rsidRPr="00D42DD0">
          <w:rPr>
            <w:rFonts w:ascii="Arial" w:eastAsia="Times New Roman" w:hAnsi="Arial" w:cs="Arial"/>
            <w:color w:val="0000FF"/>
            <w:kern w:val="0"/>
            <w:u w:val="single"/>
            <w:lang w:eastAsia="es-MX"/>
            <w14:ligatures w14:val="none"/>
          </w:rPr>
          <w:t>908</w:t>
        </w:r>
      </w:hyperlink>
      <w:r w:rsidRPr="00D42DD0">
        <w:rPr>
          <w:rFonts w:ascii="Arial" w:eastAsia="Times New Roman" w:hAnsi="Arial" w:cs="Arial"/>
          <w:color w:val="333333"/>
          <w:kern w:val="0"/>
          <w:lang w:eastAsia="es-MX"/>
          <w14:ligatures w14:val="none"/>
        </w:rPr>
        <w:t> del Estatuto Tributario Nacional.</w:t>
      </w:r>
    </w:p>
    <w:p w14:paraId="269C4B7D"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color w:val="333333"/>
          <w:kern w:val="0"/>
          <w:lang w:eastAsia="es-MX"/>
          <w14:ligatures w14:val="none"/>
        </w:rPr>
        <w:t> </w:t>
      </w:r>
    </w:p>
    <w:p w14:paraId="5508B60D"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eastAsia="es-MX"/>
          <w14:ligatures w14:val="none"/>
        </w:rPr>
        <w:t>Artículo</w:t>
      </w:r>
      <w:r w:rsidRPr="00D42DD0">
        <w:rPr>
          <w:rFonts w:ascii="Arial" w:eastAsia="Times New Roman" w:hAnsi="Arial" w:cs="Arial"/>
          <w:color w:val="333333"/>
          <w:kern w:val="0"/>
          <w:lang w:val="es-CO" w:eastAsia="es-MX"/>
          <w14:ligatures w14:val="none"/>
        </w:rPr>
        <w:t> </w:t>
      </w:r>
      <w:r w:rsidRPr="00D42DD0">
        <w:rPr>
          <w:rFonts w:ascii="Arial" w:eastAsia="Times New Roman" w:hAnsi="Arial" w:cs="Arial"/>
          <w:b/>
          <w:bCs/>
          <w:color w:val="333333"/>
          <w:kern w:val="0"/>
          <w:lang w:eastAsia="es-MX"/>
          <w14:ligatures w14:val="none"/>
        </w:rPr>
        <w:t>45. </w:t>
      </w:r>
      <w:r w:rsidRPr="00D42DD0">
        <w:rPr>
          <w:rFonts w:ascii="Arial" w:eastAsia="Times New Roman" w:hAnsi="Arial" w:cs="Arial"/>
          <w:b/>
          <w:bCs/>
          <w:color w:val="333333"/>
          <w:kern w:val="0"/>
          <w:lang w:val="es-CO" w:eastAsia="es-MX"/>
          <w14:ligatures w14:val="none"/>
        </w:rPr>
        <w:t>ESTATUTO TRIBUTARIO DE BOGOTÁ. </w:t>
      </w:r>
      <w:r w:rsidRPr="00D42DD0">
        <w:rPr>
          <w:rFonts w:ascii="Arial" w:eastAsia="Times New Roman" w:hAnsi="Arial" w:cs="Arial"/>
          <w:color w:val="333333"/>
          <w:kern w:val="0"/>
          <w:lang w:val="es-CO" w:eastAsia="es-MX"/>
          <w14:ligatures w14:val="none"/>
        </w:rPr>
        <w:t xml:space="preserve">Facúltese al Alcalde Mayor de Bogotá para que, durante la vigencia 2026, expida un Decreto Distrital de Compilación Normativa que reúna, sin alterar su redacción ni contenido, las disposiciones vigentes en materia tributaria del Distrito, contenidas en este y otros acuerdos vigentes, así como en los decretos dictados en ejercicio de facultades </w:t>
      </w:r>
      <w:r w:rsidRPr="00D42DD0">
        <w:rPr>
          <w:rFonts w:ascii="Arial" w:eastAsia="Times New Roman" w:hAnsi="Arial" w:cs="Arial"/>
          <w:color w:val="333333"/>
          <w:kern w:val="0"/>
          <w:lang w:val="es-CO" w:eastAsia="es-MX"/>
          <w14:ligatures w14:val="none"/>
        </w:rPr>
        <w:lastRenderedPageBreak/>
        <w:t>extraordinarias. La compilación resultante se denominará Estatuto Tributario de Bogotá.</w:t>
      </w:r>
    </w:p>
    <w:p w14:paraId="4A3D010A"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b/>
          <w:bCs/>
          <w:color w:val="333333"/>
          <w:kern w:val="0"/>
          <w:lang w:val="es-CO" w:eastAsia="es-MX"/>
          <w14:ligatures w14:val="none"/>
        </w:rPr>
        <w:t> </w:t>
      </w:r>
    </w:p>
    <w:p w14:paraId="215DC130" w14:textId="77777777" w:rsidR="00D42DD0" w:rsidRPr="00D42DD0" w:rsidRDefault="00D42DD0" w:rsidP="00D42DD0">
      <w:pPr>
        <w:shd w:val="clear" w:color="auto" w:fill="FFFFFF"/>
        <w:jc w:val="both"/>
        <w:rPr>
          <w:rFonts w:ascii="Arial" w:eastAsia="Times New Roman" w:hAnsi="Arial" w:cs="Arial"/>
          <w:color w:val="333333"/>
          <w:kern w:val="0"/>
          <w:lang w:val="es-CO" w:eastAsia="es-MX"/>
          <w14:ligatures w14:val="none"/>
        </w:rPr>
      </w:pPr>
      <w:r w:rsidRPr="00D42DD0">
        <w:rPr>
          <w:rFonts w:ascii="Arial" w:eastAsia="Times New Roman" w:hAnsi="Arial" w:cs="Arial"/>
          <w:color w:val="333333"/>
          <w:kern w:val="0"/>
          <w:lang w:val="es-CO" w:eastAsia="es-MX"/>
          <w14:ligatures w14:val="none"/>
        </w:rPr>
        <w:t>Una vez sea expedido dicho Estatuto, todas las normas de carácter tributario que expida el Concejo Distrital deberán incorporarse directamente en dicho Estatuto, bien mediante adición, modificación o derogatoria.</w:t>
      </w:r>
    </w:p>
    <w:p w14:paraId="4596852D" w14:textId="77777777" w:rsidR="00D42DD0" w:rsidRDefault="00D42DD0"/>
    <w:p w14:paraId="52C2ABF1" w14:textId="44317F6D" w:rsidR="00D42DD0" w:rsidRDefault="00D42DD0">
      <w:r>
        <w:t>(…)</w:t>
      </w:r>
    </w:p>
    <w:sectPr w:rsidR="00D42DD0"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DD0"/>
    <w:rsid w:val="000B2285"/>
    <w:rsid w:val="00537D8F"/>
    <w:rsid w:val="00B83A7B"/>
    <w:rsid w:val="00C4114A"/>
    <w:rsid w:val="00D42DD0"/>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9EDE910"/>
  <w14:defaultImageDpi w14:val="32767"/>
  <w15:chartTrackingRefBased/>
  <w15:docId w15:val="{3350C3AC-8491-E349-8848-CA792B409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42D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42D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42DD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42DD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42DD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42DD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2DD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2DD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2DD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2DD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42DD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42DD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42DD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42DD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42DD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2DD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2DD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2DD0"/>
    <w:rPr>
      <w:rFonts w:eastAsiaTheme="majorEastAsia" w:cstheme="majorBidi"/>
      <w:color w:val="272727" w:themeColor="text1" w:themeTint="D8"/>
    </w:rPr>
  </w:style>
  <w:style w:type="paragraph" w:styleId="Ttulo">
    <w:name w:val="Title"/>
    <w:basedOn w:val="Normal"/>
    <w:next w:val="Normal"/>
    <w:link w:val="TtuloCar"/>
    <w:uiPriority w:val="10"/>
    <w:qFormat/>
    <w:rsid w:val="00D42DD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2DD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2DD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2DD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2DD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42DD0"/>
    <w:rPr>
      <w:i/>
      <w:iCs/>
      <w:color w:val="404040" w:themeColor="text1" w:themeTint="BF"/>
    </w:rPr>
  </w:style>
  <w:style w:type="paragraph" w:styleId="Prrafodelista">
    <w:name w:val="List Paragraph"/>
    <w:basedOn w:val="Normal"/>
    <w:uiPriority w:val="34"/>
    <w:qFormat/>
    <w:rsid w:val="00D42DD0"/>
    <w:pPr>
      <w:ind w:left="720"/>
      <w:contextualSpacing/>
    </w:pPr>
  </w:style>
  <w:style w:type="character" w:styleId="nfasisintenso">
    <w:name w:val="Intense Emphasis"/>
    <w:basedOn w:val="Fuentedeprrafopredeter"/>
    <w:uiPriority w:val="21"/>
    <w:qFormat/>
    <w:rsid w:val="00D42DD0"/>
    <w:rPr>
      <w:i/>
      <w:iCs/>
      <w:color w:val="2F5496" w:themeColor="accent1" w:themeShade="BF"/>
    </w:rPr>
  </w:style>
  <w:style w:type="paragraph" w:styleId="Citadestacada">
    <w:name w:val="Intense Quote"/>
    <w:basedOn w:val="Normal"/>
    <w:next w:val="Normal"/>
    <w:link w:val="CitadestacadaCar"/>
    <w:uiPriority w:val="30"/>
    <w:qFormat/>
    <w:rsid w:val="00D42D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42DD0"/>
    <w:rPr>
      <w:i/>
      <w:iCs/>
      <w:color w:val="2F5496" w:themeColor="accent1" w:themeShade="BF"/>
    </w:rPr>
  </w:style>
  <w:style w:type="character" w:styleId="Referenciaintensa">
    <w:name w:val="Intense Reference"/>
    <w:basedOn w:val="Fuentedeprrafopredeter"/>
    <w:uiPriority w:val="32"/>
    <w:qFormat/>
    <w:rsid w:val="00D42DD0"/>
    <w:rPr>
      <w:b/>
      <w:bCs/>
      <w:smallCaps/>
      <w:color w:val="2F5496" w:themeColor="accent1" w:themeShade="BF"/>
      <w:spacing w:val="5"/>
    </w:rPr>
  </w:style>
  <w:style w:type="character" w:styleId="Hipervnculo">
    <w:name w:val="Hyperlink"/>
    <w:basedOn w:val="Fuentedeprrafopredeter"/>
    <w:uiPriority w:val="99"/>
    <w:semiHidden/>
    <w:unhideWhenUsed/>
    <w:rsid w:val="00D42D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lcaldiabogota.gov.co/sisjur/normas/Norma1.jsp?i=6533" TargetMode="External"/><Relationship Id="rId5" Type="http://schemas.openxmlformats.org/officeDocument/2006/relationships/hyperlink" Target="https://www.alcaldiabogota.gov.co/sisjur/normas/Norma1.jsp?i=192033" TargetMode="External"/><Relationship Id="rId4" Type="http://schemas.openxmlformats.org/officeDocument/2006/relationships/hyperlink" Target="https://www.alcaldiabogota.gov.co/sisjur/normas/Norma1.jsp?i=19203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325</Words>
  <Characters>1793</Characters>
  <Application>Microsoft Office Word</Application>
  <DocSecurity>0</DocSecurity>
  <Lines>14</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2026-06-09T16:15:00Z</dcterms:created>
  <dcterms:modified xsi:type="dcterms:W3CDTF">2026-06-09T16:17:00Z</dcterms:modified>
</cp:coreProperties>
</file>