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6E801" w14:textId="77777777" w:rsidR="00AD7626" w:rsidRPr="00AD7626" w:rsidRDefault="00AD7626" w:rsidP="00AD7626">
      <w:pPr>
        <w:jc w:val="both"/>
        <w:rPr>
          <w:rFonts w:ascii="Times New Roman" w:eastAsia="Times New Roman" w:hAnsi="Times New Roman" w:cs="Times New Roman"/>
          <w:kern w:val="0"/>
          <w:lang w:val="es-CO" w:eastAsia="es-MX"/>
          <w14:ligatures w14:val="none"/>
        </w:rPr>
      </w:pPr>
      <w:r w:rsidRPr="00AD7626">
        <w:rPr>
          <w:rFonts w:ascii="Verdana" w:eastAsia="Times New Roman" w:hAnsi="Verdana" w:cs="Times New Roman"/>
          <w:b/>
          <w:bCs/>
          <w:color w:val="000000"/>
          <w:kern w:val="0"/>
          <w:lang w:val="es-CO" w:eastAsia="es-MX"/>
          <w14:ligatures w14:val="none"/>
        </w:rPr>
        <w:t>COMUNICADO DE PRENSA 69 DEL 7 DE MAYO DE 2026</w:t>
      </w:r>
    </w:p>
    <w:p w14:paraId="5FAF3851" w14:textId="77777777" w:rsidR="00AD7626" w:rsidRPr="00AD7626" w:rsidRDefault="00AD7626" w:rsidP="00AD7626">
      <w:pPr>
        <w:jc w:val="both"/>
        <w:rPr>
          <w:rFonts w:ascii="Times New Roman" w:eastAsia="Times New Roman" w:hAnsi="Times New Roman" w:cs="Times New Roman"/>
          <w:kern w:val="0"/>
          <w:lang w:val="es-CO" w:eastAsia="es-MX"/>
          <w14:ligatures w14:val="none"/>
        </w:rPr>
      </w:pPr>
      <w:r w:rsidRPr="00AD7626">
        <w:rPr>
          <w:rFonts w:ascii="Verdana" w:eastAsia="Times New Roman" w:hAnsi="Verdana" w:cs="Times New Roman"/>
          <w:b/>
          <w:bCs/>
          <w:color w:val="000000"/>
          <w:kern w:val="0"/>
          <w:lang w:val="es-CO" w:eastAsia="es-MX"/>
          <w14:ligatures w14:val="none"/>
        </w:rPr>
        <w:t>DIRECCIÓN DE IMPUESTOS Y ADUANAS NACIONALES</w:t>
      </w:r>
    </w:p>
    <w:p w14:paraId="60105FFA" w14:textId="77777777" w:rsidR="00AD7626" w:rsidRPr="00AD7626" w:rsidRDefault="00AD7626" w:rsidP="00AD7626">
      <w:pPr>
        <w:rPr>
          <w:rFonts w:ascii="Times New Roman" w:eastAsia="Times New Roman" w:hAnsi="Times New Roman" w:cs="Times New Roman"/>
          <w:kern w:val="0"/>
          <w:lang w:val="es-CO" w:eastAsia="es-MX"/>
          <w14:ligatures w14:val="none"/>
        </w:rPr>
      </w:pPr>
    </w:p>
    <w:p w14:paraId="6F3EF0E1" w14:textId="77777777" w:rsidR="00AD7626" w:rsidRPr="00AD7626" w:rsidRDefault="00AD7626" w:rsidP="00AD7626">
      <w:pPr>
        <w:jc w:val="both"/>
        <w:rPr>
          <w:rFonts w:ascii="Times New Roman" w:eastAsia="Times New Roman" w:hAnsi="Times New Roman" w:cs="Times New Roman"/>
          <w:kern w:val="0"/>
          <w:lang w:val="es-CO" w:eastAsia="es-MX"/>
          <w14:ligatures w14:val="none"/>
        </w:rPr>
      </w:pPr>
      <w:r w:rsidRPr="00AD7626">
        <w:rPr>
          <w:rFonts w:ascii="Verdana" w:eastAsia="Times New Roman" w:hAnsi="Verdana" w:cs="Times New Roman"/>
          <w:color w:val="000000"/>
          <w:kern w:val="0"/>
          <w:lang w:val="es-CO" w:eastAsia="es-MX"/>
          <w14:ligatures w14:val="none"/>
        </w:rPr>
        <w:t>07/05/2026</w:t>
      </w:r>
    </w:p>
    <w:p w14:paraId="5CABD9A1" w14:textId="77777777" w:rsidR="00AD7626" w:rsidRPr="00AD7626" w:rsidRDefault="00AD7626" w:rsidP="00AD7626">
      <w:pPr>
        <w:rPr>
          <w:rFonts w:ascii="Times New Roman" w:eastAsia="Times New Roman" w:hAnsi="Times New Roman" w:cs="Times New Roman"/>
          <w:kern w:val="0"/>
          <w:lang w:val="es-CO" w:eastAsia="es-MX"/>
          <w14:ligatures w14:val="none"/>
        </w:rPr>
      </w:pPr>
    </w:p>
    <w:p w14:paraId="47C8D2EC" w14:textId="1668B7B8" w:rsidR="00AD7626" w:rsidRPr="00AD7626" w:rsidRDefault="00AD7626" w:rsidP="00AD7626">
      <w:pPr>
        <w:jc w:val="both"/>
        <w:rPr>
          <w:rFonts w:ascii="Times New Roman" w:eastAsia="Times New Roman" w:hAnsi="Times New Roman" w:cs="Times New Roman"/>
          <w:kern w:val="0"/>
          <w:lang w:val="es-CO" w:eastAsia="es-MX"/>
          <w14:ligatures w14:val="none"/>
        </w:rPr>
      </w:pPr>
      <w:r w:rsidRPr="00AD7626">
        <w:rPr>
          <w:rFonts w:ascii="Verdana" w:eastAsia="Times New Roman" w:hAnsi="Verdana" w:cs="Times New Roman"/>
          <w:noProof/>
          <w:color w:val="000000"/>
          <w:kern w:val="0"/>
          <w:bdr w:val="none" w:sz="0" w:space="0" w:color="auto" w:frame="1"/>
          <w:lang w:val="es-CO" w:eastAsia="es-MX"/>
          <w14:ligatures w14:val="none"/>
        </w:rPr>
        <w:drawing>
          <wp:inline distT="0" distB="0" distL="0" distR="0" wp14:anchorId="62C3E00B" wp14:editId="4C41E12F">
            <wp:extent cx="5607050" cy="1949450"/>
            <wp:effectExtent l="0" t="0" r="6350" b="6350"/>
            <wp:docPr id="1163800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07050" cy="1949450"/>
                    </a:xfrm>
                    <a:prstGeom prst="rect">
                      <a:avLst/>
                    </a:prstGeom>
                    <a:noFill/>
                    <a:ln>
                      <a:noFill/>
                    </a:ln>
                  </pic:spPr>
                </pic:pic>
              </a:graphicData>
            </a:graphic>
          </wp:inline>
        </w:drawing>
      </w:r>
    </w:p>
    <w:p w14:paraId="7E5094FA" w14:textId="77777777" w:rsidR="00AD7626" w:rsidRPr="00AD7626" w:rsidRDefault="00AD7626" w:rsidP="00AD7626">
      <w:pPr>
        <w:rPr>
          <w:rFonts w:ascii="Times New Roman" w:eastAsia="Times New Roman" w:hAnsi="Times New Roman" w:cs="Times New Roman"/>
          <w:kern w:val="0"/>
          <w:lang w:val="es-CO" w:eastAsia="es-MX"/>
          <w14:ligatures w14:val="none"/>
        </w:rPr>
      </w:pPr>
    </w:p>
    <w:p w14:paraId="74703493" w14:textId="77777777" w:rsidR="00AD7626" w:rsidRPr="00AD7626" w:rsidRDefault="00AD7626" w:rsidP="00AD7626">
      <w:pPr>
        <w:jc w:val="both"/>
        <w:rPr>
          <w:rFonts w:ascii="Times New Roman" w:eastAsia="Times New Roman" w:hAnsi="Times New Roman" w:cs="Times New Roman"/>
          <w:kern w:val="0"/>
          <w:lang w:val="es-CO" w:eastAsia="es-MX"/>
          <w14:ligatures w14:val="none"/>
        </w:rPr>
      </w:pPr>
      <w:r w:rsidRPr="00AD7626">
        <w:rPr>
          <w:rFonts w:ascii="Verdana" w:eastAsia="Times New Roman" w:hAnsi="Verdana" w:cs="Times New Roman"/>
          <w:b/>
          <w:bCs/>
          <w:color w:val="000000"/>
          <w:kern w:val="0"/>
          <w:lang w:val="es-CO" w:eastAsia="es-MX"/>
          <w14:ligatures w14:val="none"/>
        </w:rPr>
        <w:t>Tarjetas de crédito no son objeto de embargo en procesos de cobro tributario.</w:t>
      </w:r>
    </w:p>
    <w:p w14:paraId="0F9DF20D" w14:textId="77777777" w:rsidR="00AD7626" w:rsidRPr="00AD7626" w:rsidRDefault="00AD7626" w:rsidP="00AD7626">
      <w:pPr>
        <w:rPr>
          <w:rFonts w:ascii="Times New Roman" w:eastAsia="Times New Roman" w:hAnsi="Times New Roman" w:cs="Times New Roman"/>
          <w:kern w:val="0"/>
          <w:lang w:val="es-CO" w:eastAsia="es-MX"/>
          <w14:ligatures w14:val="none"/>
        </w:rPr>
      </w:pPr>
      <w:r w:rsidRPr="00AD7626">
        <w:rPr>
          <w:rFonts w:ascii="Times New Roman" w:eastAsia="Times New Roman" w:hAnsi="Times New Roman" w:cs="Times New Roman"/>
          <w:kern w:val="0"/>
          <w:lang w:val="es-CO" w:eastAsia="es-MX"/>
          <w14:ligatures w14:val="none"/>
        </w:rPr>
        <w:br/>
      </w:r>
    </w:p>
    <w:p w14:paraId="395B9FEF" w14:textId="77777777" w:rsidR="00AD7626" w:rsidRPr="00AD7626" w:rsidRDefault="00AD7626" w:rsidP="00AD7626">
      <w:pPr>
        <w:numPr>
          <w:ilvl w:val="0"/>
          <w:numId w:val="1"/>
        </w:numPr>
        <w:jc w:val="both"/>
        <w:textAlignment w:val="baseline"/>
        <w:rPr>
          <w:rFonts w:ascii="Verdana" w:eastAsia="Times New Roman" w:hAnsi="Verdana" w:cs="Times New Roman"/>
          <w:b/>
          <w:bCs/>
          <w:i/>
          <w:iCs/>
          <w:color w:val="000000"/>
          <w:kern w:val="0"/>
          <w:lang w:val="es-CO" w:eastAsia="es-MX"/>
          <w14:ligatures w14:val="none"/>
        </w:rPr>
      </w:pPr>
      <w:r w:rsidRPr="00AD7626">
        <w:rPr>
          <w:rFonts w:ascii="Verdana" w:eastAsia="Times New Roman" w:hAnsi="Verdana" w:cs="Times New Roman"/>
          <w:b/>
          <w:bCs/>
          <w:i/>
          <w:iCs/>
          <w:color w:val="000000"/>
          <w:kern w:val="0"/>
          <w:lang w:val="es-CO" w:eastAsia="es-MX"/>
          <w14:ligatures w14:val="none"/>
        </w:rPr>
        <w:t xml:space="preserve">La entidad puede decretar medidas cautelares sobre activos embargables del deudor, entre ellos cuentas bancarias, </w:t>
      </w:r>
      <w:proofErr w:type="spellStart"/>
      <w:r w:rsidRPr="00AD7626">
        <w:rPr>
          <w:rFonts w:ascii="Verdana" w:eastAsia="Times New Roman" w:hAnsi="Verdana" w:cs="Times New Roman"/>
          <w:b/>
          <w:bCs/>
          <w:i/>
          <w:iCs/>
          <w:color w:val="000000"/>
          <w:kern w:val="0"/>
          <w:lang w:val="es-CO" w:eastAsia="es-MX"/>
          <w14:ligatures w14:val="none"/>
        </w:rPr>
        <w:t>CDTs</w:t>
      </w:r>
      <w:proofErr w:type="spellEnd"/>
      <w:r w:rsidRPr="00AD7626">
        <w:rPr>
          <w:rFonts w:ascii="Verdana" w:eastAsia="Times New Roman" w:hAnsi="Verdana" w:cs="Times New Roman"/>
          <w:b/>
          <w:bCs/>
          <w:i/>
          <w:iCs/>
          <w:color w:val="000000"/>
          <w:kern w:val="0"/>
          <w:lang w:val="es-CO" w:eastAsia="es-MX"/>
          <w14:ligatures w14:val="none"/>
        </w:rPr>
        <w:t>, depósitos, cuentas por cobrar y bienes muebles e inmuebles.</w:t>
      </w:r>
    </w:p>
    <w:p w14:paraId="0B136B0B" w14:textId="77777777" w:rsidR="00AD7626" w:rsidRPr="00AD7626" w:rsidRDefault="00AD7626" w:rsidP="00AD7626">
      <w:pPr>
        <w:numPr>
          <w:ilvl w:val="0"/>
          <w:numId w:val="1"/>
        </w:numPr>
        <w:jc w:val="both"/>
        <w:textAlignment w:val="baseline"/>
        <w:rPr>
          <w:rFonts w:ascii="Verdana" w:eastAsia="Times New Roman" w:hAnsi="Verdana" w:cs="Times New Roman"/>
          <w:b/>
          <w:bCs/>
          <w:i/>
          <w:iCs/>
          <w:color w:val="000000"/>
          <w:kern w:val="0"/>
          <w:lang w:val="es-CO" w:eastAsia="es-MX"/>
          <w14:ligatures w14:val="none"/>
        </w:rPr>
      </w:pPr>
      <w:r w:rsidRPr="00AD7626">
        <w:rPr>
          <w:rFonts w:ascii="Verdana" w:eastAsia="Times New Roman" w:hAnsi="Verdana" w:cs="Times New Roman"/>
          <w:b/>
          <w:bCs/>
          <w:i/>
          <w:iCs/>
          <w:color w:val="000000"/>
          <w:kern w:val="0"/>
          <w:lang w:val="es-CO" w:eastAsia="es-MX"/>
          <w14:ligatures w14:val="none"/>
        </w:rPr>
        <w:t>Las tarjetas de crédito son inembargables porque no constituyen depósitos de dinero del contribuyente, sino cupos de crédito pertenecientes al banco.</w:t>
      </w:r>
    </w:p>
    <w:p w14:paraId="02FE48F6" w14:textId="77777777" w:rsidR="00AD7626" w:rsidRPr="00AD7626" w:rsidRDefault="00AD7626" w:rsidP="00AD7626">
      <w:pPr>
        <w:rPr>
          <w:rFonts w:ascii="Times New Roman" w:eastAsia="Times New Roman" w:hAnsi="Times New Roman" w:cs="Times New Roman"/>
          <w:kern w:val="0"/>
          <w:lang w:val="es-CO" w:eastAsia="es-MX"/>
          <w14:ligatures w14:val="none"/>
        </w:rPr>
      </w:pPr>
    </w:p>
    <w:p w14:paraId="7041AF2D" w14:textId="77777777" w:rsidR="00AD7626" w:rsidRPr="00AD7626" w:rsidRDefault="00AD7626" w:rsidP="00AD7626">
      <w:pPr>
        <w:jc w:val="both"/>
        <w:rPr>
          <w:rFonts w:ascii="Times New Roman" w:eastAsia="Times New Roman" w:hAnsi="Times New Roman" w:cs="Times New Roman"/>
          <w:kern w:val="0"/>
          <w:lang w:val="es-CO" w:eastAsia="es-MX"/>
          <w14:ligatures w14:val="none"/>
        </w:rPr>
      </w:pPr>
      <w:r w:rsidRPr="00AD7626">
        <w:rPr>
          <w:rFonts w:ascii="Verdana" w:eastAsia="Times New Roman" w:hAnsi="Verdana" w:cs="Times New Roman"/>
          <w:b/>
          <w:bCs/>
          <w:color w:val="000000"/>
          <w:kern w:val="0"/>
          <w:lang w:val="es-CO" w:eastAsia="es-MX"/>
          <w14:ligatures w14:val="none"/>
        </w:rPr>
        <w:t>Bogotá, D.C., 7 de mayo de 2026.</w:t>
      </w:r>
    </w:p>
    <w:p w14:paraId="22EA38D4" w14:textId="77777777" w:rsidR="00AD7626" w:rsidRPr="00AD7626" w:rsidRDefault="00AD7626" w:rsidP="00AD7626">
      <w:pPr>
        <w:rPr>
          <w:rFonts w:ascii="Times New Roman" w:eastAsia="Times New Roman" w:hAnsi="Times New Roman" w:cs="Times New Roman"/>
          <w:kern w:val="0"/>
          <w:lang w:val="es-CO" w:eastAsia="es-MX"/>
          <w14:ligatures w14:val="none"/>
        </w:rPr>
      </w:pPr>
    </w:p>
    <w:p w14:paraId="0E92E194" w14:textId="77777777" w:rsidR="00AD7626" w:rsidRPr="00AD7626" w:rsidRDefault="00AD7626" w:rsidP="00AD7626">
      <w:pPr>
        <w:jc w:val="both"/>
        <w:rPr>
          <w:rFonts w:ascii="Times New Roman" w:eastAsia="Times New Roman" w:hAnsi="Times New Roman" w:cs="Times New Roman"/>
          <w:kern w:val="0"/>
          <w:lang w:val="es-CO" w:eastAsia="es-MX"/>
          <w14:ligatures w14:val="none"/>
        </w:rPr>
      </w:pPr>
      <w:r w:rsidRPr="00AD7626">
        <w:rPr>
          <w:rFonts w:ascii="Verdana" w:eastAsia="Times New Roman" w:hAnsi="Verdana" w:cs="Times New Roman"/>
          <w:color w:val="000000"/>
          <w:kern w:val="0"/>
          <w:lang w:val="es-CO" w:eastAsia="es-MX"/>
          <w14:ligatures w14:val="none"/>
        </w:rPr>
        <w:t>Ante las recientes publicaciones y contenidos difundidos en algunos medios de comunicación sobre supuestos embargos a tarjetas de crédito de contribuyentes, la Dirección de Impuestos y Aduanas Nacionales (DIAN) aclara que los procesos de cobro coactivo adelantados por la entidad únicamente proceden frente a obligaciones tributarias en mora, exigibles y previamente determinadas, conforme a lo establecido en el Estatuto Tributario y con pleno cumplimiento del debido proceso.</w:t>
      </w:r>
    </w:p>
    <w:p w14:paraId="33E4A5F6" w14:textId="77777777" w:rsidR="00AD7626" w:rsidRPr="00AD7626" w:rsidRDefault="00AD7626" w:rsidP="00AD7626">
      <w:pPr>
        <w:rPr>
          <w:rFonts w:ascii="Times New Roman" w:eastAsia="Times New Roman" w:hAnsi="Times New Roman" w:cs="Times New Roman"/>
          <w:kern w:val="0"/>
          <w:lang w:val="es-CO" w:eastAsia="es-MX"/>
          <w14:ligatures w14:val="none"/>
        </w:rPr>
      </w:pPr>
    </w:p>
    <w:p w14:paraId="65BF94DF" w14:textId="77777777" w:rsidR="00AD7626" w:rsidRPr="00AD7626" w:rsidRDefault="00AD7626" w:rsidP="00AD7626">
      <w:pPr>
        <w:jc w:val="both"/>
        <w:rPr>
          <w:rFonts w:ascii="Times New Roman" w:eastAsia="Times New Roman" w:hAnsi="Times New Roman" w:cs="Times New Roman"/>
          <w:kern w:val="0"/>
          <w:lang w:val="es-CO" w:eastAsia="es-MX"/>
          <w14:ligatures w14:val="none"/>
        </w:rPr>
      </w:pPr>
      <w:r w:rsidRPr="00AD7626">
        <w:rPr>
          <w:rFonts w:ascii="Verdana" w:eastAsia="Times New Roman" w:hAnsi="Verdana" w:cs="Times New Roman"/>
          <w:color w:val="000000"/>
          <w:kern w:val="0"/>
          <w:lang w:val="es-CO" w:eastAsia="es-MX"/>
          <w14:ligatures w14:val="none"/>
        </w:rPr>
        <w:t xml:space="preserve">En desarrollo de estos procedimientos, la DIAN puede decretar medidas cautelares sobre activos embargables del deudor, entre ellos, cuentas bancarias, </w:t>
      </w:r>
      <w:proofErr w:type="spellStart"/>
      <w:r w:rsidRPr="00AD7626">
        <w:rPr>
          <w:rFonts w:ascii="Verdana" w:eastAsia="Times New Roman" w:hAnsi="Verdana" w:cs="Times New Roman"/>
          <w:color w:val="000000"/>
          <w:kern w:val="0"/>
          <w:lang w:val="es-CO" w:eastAsia="es-MX"/>
          <w14:ligatures w14:val="none"/>
        </w:rPr>
        <w:t>CDTs</w:t>
      </w:r>
      <w:proofErr w:type="spellEnd"/>
      <w:r w:rsidRPr="00AD7626">
        <w:rPr>
          <w:rFonts w:ascii="Verdana" w:eastAsia="Times New Roman" w:hAnsi="Verdana" w:cs="Times New Roman"/>
          <w:color w:val="000000"/>
          <w:kern w:val="0"/>
          <w:lang w:val="es-CO" w:eastAsia="es-MX"/>
          <w14:ligatures w14:val="none"/>
        </w:rPr>
        <w:t xml:space="preserve">, depósitos, cuentas por cobrar y bienes muebles e inmuebles, siempre bajo procedimiento administrativo formal y con sustento legal. Estas actuaciones no son automáticas, indiscriminadas ni </w:t>
      </w:r>
      <w:r w:rsidRPr="00AD7626">
        <w:rPr>
          <w:rFonts w:ascii="Verdana" w:eastAsia="Times New Roman" w:hAnsi="Verdana" w:cs="Times New Roman"/>
          <w:color w:val="000000"/>
          <w:kern w:val="0"/>
          <w:lang w:val="es-CO" w:eastAsia="es-MX"/>
          <w14:ligatures w14:val="none"/>
        </w:rPr>
        <w:lastRenderedPageBreak/>
        <w:t>de aplicación masiva a la ciudadanía y requieren el cumplimiento de las etapas legales correspondientes dentro del proceso de cobro.</w:t>
      </w:r>
    </w:p>
    <w:p w14:paraId="01BF2C4C" w14:textId="77777777" w:rsidR="00AD7626" w:rsidRPr="00AD7626" w:rsidRDefault="00AD7626" w:rsidP="00AD7626">
      <w:pPr>
        <w:rPr>
          <w:rFonts w:ascii="Times New Roman" w:eastAsia="Times New Roman" w:hAnsi="Times New Roman" w:cs="Times New Roman"/>
          <w:kern w:val="0"/>
          <w:lang w:val="es-CO" w:eastAsia="es-MX"/>
          <w14:ligatures w14:val="none"/>
        </w:rPr>
      </w:pPr>
    </w:p>
    <w:p w14:paraId="1E1307B3" w14:textId="77777777" w:rsidR="00AD7626" w:rsidRPr="00AD7626" w:rsidRDefault="00AD7626" w:rsidP="00AD7626">
      <w:pPr>
        <w:jc w:val="both"/>
        <w:rPr>
          <w:rFonts w:ascii="Times New Roman" w:eastAsia="Times New Roman" w:hAnsi="Times New Roman" w:cs="Times New Roman"/>
          <w:kern w:val="0"/>
          <w:lang w:val="es-CO" w:eastAsia="es-MX"/>
          <w14:ligatures w14:val="none"/>
        </w:rPr>
      </w:pPr>
      <w:r w:rsidRPr="00AD7626">
        <w:rPr>
          <w:rFonts w:ascii="Verdana" w:eastAsia="Times New Roman" w:hAnsi="Verdana" w:cs="Times New Roman"/>
          <w:color w:val="000000"/>
          <w:kern w:val="0"/>
          <w:lang w:val="es-CO" w:eastAsia="es-MX"/>
          <w14:ligatures w14:val="none"/>
        </w:rPr>
        <w:t>Respecto a las tarjetas de crédito, estas no constituyen en sí mismas depósitos de dinero del contribuyente ni representan recursos de su propiedad, son mecanismos de financiación otorgados por las entidades financieras mediante cupos de crédito que pertenecen al banco. Por lo tanto, no son objeto de embargo.</w:t>
      </w:r>
    </w:p>
    <w:p w14:paraId="5B1B1853" w14:textId="77777777" w:rsidR="00AD7626" w:rsidRPr="00AD7626" w:rsidRDefault="00AD7626" w:rsidP="00AD7626">
      <w:pPr>
        <w:rPr>
          <w:rFonts w:ascii="Times New Roman" w:eastAsia="Times New Roman" w:hAnsi="Times New Roman" w:cs="Times New Roman"/>
          <w:kern w:val="0"/>
          <w:lang w:val="es-CO" w:eastAsia="es-MX"/>
          <w14:ligatures w14:val="none"/>
        </w:rPr>
      </w:pPr>
    </w:p>
    <w:p w14:paraId="3980FEC5" w14:textId="77777777" w:rsidR="00AD7626" w:rsidRPr="00AD7626" w:rsidRDefault="00AD7626" w:rsidP="00AD7626">
      <w:pPr>
        <w:jc w:val="both"/>
        <w:rPr>
          <w:rFonts w:ascii="Times New Roman" w:eastAsia="Times New Roman" w:hAnsi="Times New Roman" w:cs="Times New Roman"/>
          <w:kern w:val="0"/>
          <w:lang w:val="es-CO" w:eastAsia="es-MX"/>
          <w14:ligatures w14:val="none"/>
        </w:rPr>
      </w:pPr>
      <w:r w:rsidRPr="00AD7626">
        <w:rPr>
          <w:rFonts w:ascii="Verdana" w:eastAsia="Times New Roman" w:hAnsi="Verdana" w:cs="Times New Roman"/>
          <w:color w:val="000000"/>
          <w:kern w:val="0"/>
          <w:lang w:val="es-CO" w:eastAsia="es-MX"/>
          <w14:ligatures w14:val="none"/>
        </w:rPr>
        <w:t>La DIAN reitera el llamado a consultar siempre la información a través de canales oficiales y verificar el contexto completo de los contenidos que circulan en medios y entornos digitales, especialmente cuando se trate de temas tributarios que puedan generar interpretaciones erróneas o preocupación innecesaria.</w:t>
      </w:r>
    </w:p>
    <w:p w14:paraId="24BAA482" w14:textId="77777777" w:rsidR="00AD7626" w:rsidRPr="00AD7626" w:rsidRDefault="00AD7626" w:rsidP="00AD7626">
      <w:pPr>
        <w:rPr>
          <w:rFonts w:ascii="Times New Roman" w:eastAsia="Times New Roman" w:hAnsi="Times New Roman" w:cs="Times New Roman"/>
          <w:kern w:val="0"/>
          <w:lang w:val="es-CO" w:eastAsia="es-MX"/>
          <w14:ligatures w14:val="none"/>
        </w:rPr>
      </w:pPr>
    </w:p>
    <w:p w14:paraId="2745DA02" w14:textId="77777777" w:rsidR="00AD7626" w:rsidRPr="00AD7626" w:rsidRDefault="00AD7626" w:rsidP="00AD7626">
      <w:pPr>
        <w:jc w:val="both"/>
        <w:rPr>
          <w:rFonts w:ascii="Times New Roman" w:eastAsia="Times New Roman" w:hAnsi="Times New Roman" w:cs="Times New Roman"/>
          <w:kern w:val="0"/>
          <w:lang w:val="es-CO" w:eastAsia="es-MX"/>
          <w14:ligatures w14:val="none"/>
        </w:rPr>
      </w:pPr>
      <w:r w:rsidRPr="00AD7626">
        <w:rPr>
          <w:rFonts w:ascii="Verdana" w:eastAsia="Times New Roman" w:hAnsi="Verdana" w:cs="Times New Roman"/>
          <w:color w:val="000000"/>
          <w:kern w:val="0"/>
          <w:lang w:val="es-CO" w:eastAsia="es-MX"/>
          <w14:ligatures w14:val="none"/>
        </w:rPr>
        <w:t>Fin del comunicado.</w:t>
      </w:r>
    </w:p>
    <w:p w14:paraId="3DC93CD8" w14:textId="77777777" w:rsidR="00AD7626" w:rsidRPr="00AD7626" w:rsidRDefault="00AD7626" w:rsidP="00AD7626">
      <w:pPr>
        <w:rPr>
          <w:rFonts w:ascii="Times New Roman" w:eastAsia="Times New Roman" w:hAnsi="Times New Roman" w:cs="Times New Roman"/>
          <w:kern w:val="0"/>
          <w:lang w:val="es-CO" w:eastAsia="es-MX"/>
          <w14:ligatures w14:val="none"/>
        </w:rPr>
      </w:pPr>
    </w:p>
    <w:p w14:paraId="55AC6499"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E978D1"/>
    <w:multiLevelType w:val="multilevel"/>
    <w:tmpl w:val="6298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53585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626"/>
    <w:rsid w:val="000B2285"/>
    <w:rsid w:val="002D5847"/>
    <w:rsid w:val="00537D8F"/>
    <w:rsid w:val="00AD7626"/>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7342B45"/>
  <w14:defaultImageDpi w14:val="32767"/>
  <w15:chartTrackingRefBased/>
  <w15:docId w15:val="{7ACC8E97-5379-A74E-B7B1-D9831B188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D762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AD762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AD762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AD762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AD762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AD762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D762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D762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D762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D7626"/>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AD7626"/>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AD7626"/>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AD7626"/>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AD7626"/>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AD762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D762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D762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D7626"/>
    <w:rPr>
      <w:rFonts w:eastAsiaTheme="majorEastAsia" w:cstheme="majorBidi"/>
      <w:color w:val="272727" w:themeColor="text1" w:themeTint="D8"/>
    </w:rPr>
  </w:style>
  <w:style w:type="paragraph" w:styleId="Ttulo">
    <w:name w:val="Title"/>
    <w:basedOn w:val="Normal"/>
    <w:next w:val="Normal"/>
    <w:link w:val="TtuloCar"/>
    <w:uiPriority w:val="10"/>
    <w:qFormat/>
    <w:rsid w:val="00AD762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D762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D7626"/>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D762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D7626"/>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AD7626"/>
    <w:rPr>
      <w:i/>
      <w:iCs/>
      <w:color w:val="404040" w:themeColor="text1" w:themeTint="BF"/>
    </w:rPr>
  </w:style>
  <w:style w:type="paragraph" w:styleId="Prrafodelista">
    <w:name w:val="List Paragraph"/>
    <w:basedOn w:val="Normal"/>
    <w:uiPriority w:val="34"/>
    <w:qFormat/>
    <w:rsid w:val="00AD7626"/>
    <w:pPr>
      <w:ind w:left="720"/>
      <w:contextualSpacing/>
    </w:pPr>
  </w:style>
  <w:style w:type="character" w:styleId="nfasisintenso">
    <w:name w:val="Intense Emphasis"/>
    <w:basedOn w:val="Fuentedeprrafopredeter"/>
    <w:uiPriority w:val="21"/>
    <w:qFormat/>
    <w:rsid w:val="00AD7626"/>
    <w:rPr>
      <w:i/>
      <w:iCs/>
      <w:color w:val="2F5496" w:themeColor="accent1" w:themeShade="BF"/>
    </w:rPr>
  </w:style>
  <w:style w:type="paragraph" w:styleId="Citadestacada">
    <w:name w:val="Intense Quote"/>
    <w:basedOn w:val="Normal"/>
    <w:next w:val="Normal"/>
    <w:link w:val="CitadestacadaCar"/>
    <w:uiPriority w:val="30"/>
    <w:qFormat/>
    <w:rsid w:val="00AD762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AD7626"/>
    <w:rPr>
      <w:i/>
      <w:iCs/>
      <w:color w:val="2F5496" w:themeColor="accent1" w:themeShade="BF"/>
    </w:rPr>
  </w:style>
  <w:style w:type="character" w:styleId="Referenciaintensa">
    <w:name w:val="Intense Reference"/>
    <w:basedOn w:val="Fuentedeprrafopredeter"/>
    <w:uiPriority w:val="32"/>
    <w:qFormat/>
    <w:rsid w:val="00AD7626"/>
    <w:rPr>
      <w:b/>
      <w:bCs/>
      <w:smallCaps/>
      <w:color w:val="2F5496" w:themeColor="accent1" w:themeShade="BF"/>
      <w:spacing w:val="5"/>
    </w:rPr>
  </w:style>
  <w:style w:type="paragraph" w:styleId="NormalWeb">
    <w:name w:val="Normal (Web)"/>
    <w:basedOn w:val="Normal"/>
    <w:uiPriority w:val="99"/>
    <w:semiHidden/>
    <w:unhideWhenUsed/>
    <w:rsid w:val="00AD7626"/>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331</Words>
  <Characters>1825</Characters>
  <Application>Microsoft Office Word</Application>
  <DocSecurity>0</DocSecurity>
  <Lines>15</Lines>
  <Paragraphs>4</Paragraphs>
  <ScaleCrop>false</ScaleCrop>
  <Company/>
  <LinksUpToDate>false</LinksUpToDate>
  <CharactersWithSpaces>2152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2026-05-12T21:48:00Z</dcterms:created>
  <dcterms:modified xsi:type="dcterms:W3CDTF">2026-05-12T21:49:00Z</dcterms:modified>
</cp:coreProperties>
</file>