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D711D" w14:textId="77777777" w:rsidR="00F20FBE" w:rsidRPr="00F20FBE" w:rsidRDefault="00F20FBE" w:rsidP="00F20FBE">
      <w:pPr>
        <w:jc w:val="both"/>
        <w:rPr>
          <w:rFonts w:ascii="Times New Roman" w:eastAsia="Times New Roman" w:hAnsi="Times New Roman" w:cs="Times New Roman"/>
          <w:kern w:val="0"/>
          <w:lang w:val="es-CO" w:eastAsia="es-MX"/>
          <w14:ligatures w14:val="none"/>
        </w:rPr>
      </w:pPr>
      <w:r w:rsidRPr="00F20FBE">
        <w:rPr>
          <w:rFonts w:ascii="Verdana" w:eastAsia="Times New Roman" w:hAnsi="Verdana" w:cs="Times New Roman"/>
          <w:b/>
          <w:bCs/>
          <w:color w:val="000000"/>
          <w:kern w:val="0"/>
          <w:lang w:val="es-CO" w:eastAsia="es-MX"/>
          <w14:ligatures w14:val="none"/>
        </w:rPr>
        <w:t>COMUNICADO DE PRENSA 71 DEL 11 DE MAYO DE 2026</w:t>
      </w:r>
    </w:p>
    <w:p w14:paraId="76F93508" w14:textId="77777777" w:rsidR="00F20FBE" w:rsidRPr="00F20FBE" w:rsidRDefault="00F20FBE" w:rsidP="00F20FBE">
      <w:pPr>
        <w:jc w:val="both"/>
        <w:rPr>
          <w:rFonts w:ascii="Times New Roman" w:eastAsia="Times New Roman" w:hAnsi="Times New Roman" w:cs="Times New Roman"/>
          <w:kern w:val="0"/>
          <w:lang w:val="es-CO" w:eastAsia="es-MX"/>
          <w14:ligatures w14:val="none"/>
        </w:rPr>
      </w:pPr>
      <w:r w:rsidRPr="00F20FBE">
        <w:rPr>
          <w:rFonts w:ascii="Verdana" w:eastAsia="Times New Roman" w:hAnsi="Verdana" w:cs="Times New Roman"/>
          <w:b/>
          <w:bCs/>
          <w:color w:val="000000"/>
          <w:kern w:val="0"/>
          <w:lang w:val="es-CO" w:eastAsia="es-MX"/>
          <w14:ligatures w14:val="none"/>
        </w:rPr>
        <w:t>DIRECCIÓN DE IMPUESTOS Y ADUANAS NACIONALES</w:t>
      </w:r>
    </w:p>
    <w:p w14:paraId="51746965" w14:textId="77777777" w:rsidR="00F20FBE" w:rsidRPr="00F20FBE" w:rsidRDefault="00F20FBE" w:rsidP="00F20FBE">
      <w:pPr>
        <w:rPr>
          <w:rFonts w:ascii="Times New Roman" w:eastAsia="Times New Roman" w:hAnsi="Times New Roman" w:cs="Times New Roman"/>
          <w:kern w:val="0"/>
          <w:lang w:val="es-CO" w:eastAsia="es-MX"/>
          <w14:ligatures w14:val="none"/>
        </w:rPr>
      </w:pPr>
    </w:p>
    <w:p w14:paraId="79FC1A56" w14:textId="77777777" w:rsidR="00F20FBE" w:rsidRPr="00F20FBE" w:rsidRDefault="00F20FBE" w:rsidP="00F20FBE">
      <w:pPr>
        <w:jc w:val="both"/>
        <w:rPr>
          <w:rFonts w:ascii="Times New Roman" w:eastAsia="Times New Roman" w:hAnsi="Times New Roman" w:cs="Times New Roman"/>
          <w:kern w:val="0"/>
          <w:lang w:val="es-CO" w:eastAsia="es-MX"/>
          <w14:ligatures w14:val="none"/>
        </w:rPr>
      </w:pPr>
      <w:r w:rsidRPr="00F20FBE">
        <w:rPr>
          <w:rFonts w:ascii="Verdana" w:eastAsia="Times New Roman" w:hAnsi="Verdana" w:cs="Times New Roman"/>
          <w:color w:val="000000"/>
          <w:kern w:val="0"/>
          <w:lang w:val="es-CO" w:eastAsia="es-MX"/>
          <w14:ligatures w14:val="none"/>
        </w:rPr>
        <w:t>11/05/2026</w:t>
      </w:r>
    </w:p>
    <w:p w14:paraId="578B3C7E" w14:textId="77777777" w:rsidR="00F20FBE" w:rsidRPr="00F20FBE" w:rsidRDefault="00F20FBE" w:rsidP="00F20FBE">
      <w:pPr>
        <w:rPr>
          <w:rFonts w:ascii="Times New Roman" w:eastAsia="Times New Roman" w:hAnsi="Times New Roman" w:cs="Times New Roman"/>
          <w:kern w:val="0"/>
          <w:lang w:val="es-CO" w:eastAsia="es-MX"/>
          <w14:ligatures w14:val="none"/>
        </w:rPr>
      </w:pPr>
    </w:p>
    <w:p w14:paraId="139C9328" w14:textId="41D045A3" w:rsidR="00F20FBE" w:rsidRPr="00F20FBE" w:rsidRDefault="00F20FBE" w:rsidP="00F20FBE">
      <w:pPr>
        <w:jc w:val="both"/>
        <w:rPr>
          <w:rFonts w:ascii="Times New Roman" w:eastAsia="Times New Roman" w:hAnsi="Times New Roman" w:cs="Times New Roman"/>
          <w:kern w:val="0"/>
          <w:lang w:val="es-CO" w:eastAsia="es-MX"/>
          <w14:ligatures w14:val="none"/>
        </w:rPr>
      </w:pPr>
      <w:r w:rsidRPr="00F20FBE">
        <w:rPr>
          <w:rFonts w:ascii="Verdana" w:eastAsia="Times New Roman" w:hAnsi="Verdana" w:cs="Times New Roman"/>
          <w:noProof/>
          <w:color w:val="000000"/>
          <w:kern w:val="0"/>
          <w:bdr w:val="none" w:sz="0" w:space="0" w:color="auto" w:frame="1"/>
          <w:lang w:val="es-CO" w:eastAsia="es-MX"/>
          <w14:ligatures w14:val="none"/>
        </w:rPr>
        <w:drawing>
          <wp:inline distT="0" distB="0" distL="0" distR="0" wp14:anchorId="755EA12F" wp14:editId="1A22BD99">
            <wp:extent cx="5607050" cy="1949450"/>
            <wp:effectExtent l="0" t="0" r="6350" b="6350"/>
            <wp:docPr id="55372883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07050" cy="1949450"/>
                    </a:xfrm>
                    <a:prstGeom prst="rect">
                      <a:avLst/>
                    </a:prstGeom>
                    <a:noFill/>
                    <a:ln>
                      <a:noFill/>
                    </a:ln>
                  </pic:spPr>
                </pic:pic>
              </a:graphicData>
            </a:graphic>
          </wp:inline>
        </w:drawing>
      </w:r>
    </w:p>
    <w:p w14:paraId="78C60FCA" w14:textId="77777777" w:rsidR="00F20FBE" w:rsidRPr="00F20FBE" w:rsidRDefault="00F20FBE" w:rsidP="00F20FBE">
      <w:pPr>
        <w:rPr>
          <w:rFonts w:ascii="Times New Roman" w:eastAsia="Times New Roman" w:hAnsi="Times New Roman" w:cs="Times New Roman"/>
          <w:kern w:val="0"/>
          <w:lang w:val="es-CO" w:eastAsia="es-MX"/>
          <w14:ligatures w14:val="none"/>
        </w:rPr>
      </w:pPr>
    </w:p>
    <w:p w14:paraId="6158A34E" w14:textId="77777777" w:rsidR="00F20FBE" w:rsidRPr="00F20FBE" w:rsidRDefault="00F20FBE" w:rsidP="00F20FBE">
      <w:pPr>
        <w:jc w:val="both"/>
        <w:rPr>
          <w:rFonts w:ascii="Times New Roman" w:eastAsia="Times New Roman" w:hAnsi="Times New Roman" w:cs="Times New Roman"/>
          <w:kern w:val="0"/>
          <w:lang w:val="es-CO" w:eastAsia="es-MX"/>
          <w14:ligatures w14:val="none"/>
        </w:rPr>
      </w:pPr>
      <w:r w:rsidRPr="00F20FBE">
        <w:rPr>
          <w:rFonts w:ascii="Verdana" w:eastAsia="Times New Roman" w:hAnsi="Verdana" w:cs="Times New Roman"/>
          <w:b/>
          <w:bCs/>
          <w:color w:val="000000"/>
          <w:kern w:val="0"/>
          <w:lang w:val="es-CO" w:eastAsia="es-MX"/>
          <w14:ligatures w14:val="none"/>
        </w:rPr>
        <w:t>Más de 1 millón 270 mil contribuyentes deben presentar la declaración de renta para personas jurídicas.</w:t>
      </w:r>
    </w:p>
    <w:p w14:paraId="207DC8F8" w14:textId="77777777" w:rsidR="00F20FBE" w:rsidRPr="00F20FBE" w:rsidRDefault="00F20FBE" w:rsidP="00F20FBE">
      <w:pPr>
        <w:rPr>
          <w:rFonts w:ascii="Times New Roman" w:eastAsia="Times New Roman" w:hAnsi="Times New Roman" w:cs="Times New Roman"/>
          <w:kern w:val="0"/>
          <w:lang w:val="es-CO" w:eastAsia="es-MX"/>
          <w14:ligatures w14:val="none"/>
        </w:rPr>
      </w:pPr>
      <w:r w:rsidRPr="00F20FBE">
        <w:rPr>
          <w:rFonts w:ascii="Times New Roman" w:eastAsia="Times New Roman" w:hAnsi="Times New Roman" w:cs="Times New Roman"/>
          <w:kern w:val="0"/>
          <w:lang w:val="es-CO" w:eastAsia="es-MX"/>
          <w14:ligatures w14:val="none"/>
        </w:rPr>
        <w:br/>
      </w:r>
    </w:p>
    <w:p w14:paraId="14939F93" w14:textId="77777777" w:rsidR="00F20FBE" w:rsidRPr="00F20FBE" w:rsidRDefault="00F20FBE" w:rsidP="00F20FBE">
      <w:pPr>
        <w:numPr>
          <w:ilvl w:val="0"/>
          <w:numId w:val="1"/>
        </w:numPr>
        <w:jc w:val="both"/>
        <w:textAlignment w:val="baseline"/>
        <w:rPr>
          <w:rFonts w:ascii="Verdana" w:eastAsia="Times New Roman" w:hAnsi="Verdana" w:cs="Times New Roman"/>
          <w:b/>
          <w:bCs/>
          <w:i/>
          <w:iCs/>
          <w:color w:val="000000"/>
          <w:kern w:val="0"/>
          <w:lang w:val="es-CO" w:eastAsia="es-MX"/>
          <w14:ligatures w14:val="none"/>
        </w:rPr>
      </w:pPr>
      <w:r w:rsidRPr="00F20FBE">
        <w:rPr>
          <w:rFonts w:ascii="Verdana" w:eastAsia="Times New Roman" w:hAnsi="Verdana" w:cs="Times New Roman"/>
          <w:b/>
          <w:bCs/>
          <w:i/>
          <w:iCs/>
          <w:color w:val="000000"/>
          <w:kern w:val="0"/>
          <w:lang w:val="es-CO" w:eastAsia="es-MX"/>
          <w14:ligatures w14:val="none"/>
        </w:rPr>
        <w:t>Los vencimientos para cumplir con esta obligación inician el 12 de mayo y terminan el 26 del mismo mes.</w:t>
      </w:r>
    </w:p>
    <w:p w14:paraId="7E5D76D5" w14:textId="77777777" w:rsidR="00F20FBE" w:rsidRPr="00F20FBE" w:rsidRDefault="00F20FBE" w:rsidP="00F20FBE">
      <w:pPr>
        <w:numPr>
          <w:ilvl w:val="0"/>
          <w:numId w:val="1"/>
        </w:numPr>
        <w:jc w:val="both"/>
        <w:textAlignment w:val="baseline"/>
        <w:rPr>
          <w:rFonts w:ascii="Verdana" w:eastAsia="Times New Roman" w:hAnsi="Verdana" w:cs="Times New Roman"/>
          <w:b/>
          <w:bCs/>
          <w:i/>
          <w:iCs/>
          <w:color w:val="000000"/>
          <w:kern w:val="0"/>
          <w:lang w:val="es-CO" w:eastAsia="es-MX"/>
          <w14:ligatures w14:val="none"/>
        </w:rPr>
      </w:pPr>
      <w:r w:rsidRPr="00F20FBE">
        <w:rPr>
          <w:rFonts w:ascii="Verdana" w:eastAsia="Times New Roman" w:hAnsi="Verdana" w:cs="Times New Roman"/>
          <w:b/>
          <w:bCs/>
          <w:i/>
          <w:iCs/>
          <w:color w:val="000000"/>
          <w:kern w:val="0"/>
          <w:lang w:val="es-CO" w:eastAsia="es-MX"/>
          <w14:ligatures w14:val="none"/>
        </w:rPr>
        <w:t>La presentación se debe hacer de acuerdo con el último dígito del Número de Identificación Tributaria (NIT).</w:t>
      </w:r>
    </w:p>
    <w:p w14:paraId="62A4BE91" w14:textId="77777777" w:rsidR="00F20FBE" w:rsidRPr="00F20FBE" w:rsidRDefault="00F20FBE" w:rsidP="00F20FBE">
      <w:pPr>
        <w:rPr>
          <w:rFonts w:ascii="Times New Roman" w:eastAsia="Times New Roman" w:hAnsi="Times New Roman" w:cs="Times New Roman"/>
          <w:kern w:val="0"/>
          <w:lang w:val="es-CO" w:eastAsia="es-MX"/>
          <w14:ligatures w14:val="none"/>
        </w:rPr>
      </w:pPr>
    </w:p>
    <w:p w14:paraId="652F9DCF" w14:textId="77777777" w:rsidR="00F20FBE" w:rsidRPr="00F20FBE" w:rsidRDefault="00F20FBE" w:rsidP="00F20FBE">
      <w:pPr>
        <w:jc w:val="both"/>
        <w:rPr>
          <w:rFonts w:ascii="Times New Roman" w:eastAsia="Times New Roman" w:hAnsi="Times New Roman" w:cs="Times New Roman"/>
          <w:kern w:val="0"/>
          <w:lang w:val="es-CO" w:eastAsia="es-MX"/>
          <w14:ligatures w14:val="none"/>
        </w:rPr>
      </w:pPr>
      <w:r w:rsidRPr="00F20FBE">
        <w:rPr>
          <w:rFonts w:ascii="Verdana" w:eastAsia="Times New Roman" w:hAnsi="Verdana" w:cs="Times New Roman"/>
          <w:b/>
          <w:bCs/>
          <w:color w:val="000000"/>
          <w:kern w:val="0"/>
          <w:lang w:val="es-CO" w:eastAsia="es-MX"/>
          <w14:ligatures w14:val="none"/>
        </w:rPr>
        <w:t>Bogotá, D.C., 11 de mayo de 2026.</w:t>
      </w:r>
    </w:p>
    <w:p w14:paraId="6EC605EF" w14:textId="77777777" w:rsidR="00F20FBE" w:rsidRPr="00F20FBE" w:rsidRDefault="00F20FBE" w:rsidP="00F20FBE">
      <w:pPr>
        <w:rPr>
          <w:rFonts w:ascii="Times New Roman" w:eastAsia="Times New Roman" w:hAnsi="Times New Roman" w:cs="Times New Roman"/>
          <w:kern w:val="0"/>
          <w:lang w:val="es-CO" w:eastAsia="es-MX"/>
          <w14:ligatures w14:val="none"/>
        </w:rPr>
      </w:pPr>
    </w:p>
    <w:p w14:paraId="3DDE85B4" w14:textId="77777777" w:rsidR="00F20FBE" w:rsidRPr="00F20FBE" w:rsidRDefault="00F20FBE" w:rsidP="00F20FBE">
      <w:pPr>
        <w:jc w:val="both"/>
        <w:rPr>
          <w:rFonts w:ascii="Times New Roman" w:eastAsia="Times New Roman" w:hAnsi="Times New Roman" w:cs="Times New Roman"/>
          <w:kern w:val="0"/>
          <w:lang w:val="es-CO" w:eastAsia="es-MX"/>
          <w14:ligatures w14:val="none"/>
        </w:rPr>
      </w:pPr>
      <w:r w:rsidRPr="00F20FBE">
        <w:rPr>
          <w:rFonts w:ascii="Verdana" w:eastAsia="Times New Roman" w:hAnsi="Verdana" w:cs="Times New Roman"/>
          <w:color w:val="000000"/>
          <w:kern w:val="0"/>
          <w:lang w:val="es-CO" w:eastAsia="es-MX"/>
          <w14:ligatures w14:val="none"/>
        </w:rPr>
        <w:t xml:space="preserve">La Dirección de Impuestos y Aduanas Nacionales (DIAN) espera recaudar </w:t>
      </w:r>
      <w:r w:rsidRPr="00F20FBE">
        <w:rPr>
          <w:rFonts w:ascii="Verdana" w:eastAsia="Times New Roman" w:hAnsi="Verdana" w:cs="Times New Roman"/>
          <w:b/>
          <w:bCs/>
          <w:color w:val="000000"/>
          <w:kern w:val="0"/>
          <w:lang w:val="es-CO" w:eastAsia="es-MX"/>
          <w14:ligatures w14:val="none"/>
        </w:rPr>
        <w:t>$27,8 billones</w:t>
      </w:r>
      <w:r w:rsidRPr="00F20FBE">
        <w:rPr>
          <w:rFonts w:ascii="Verdana" w:eastAsia="Times New Roman" w:hAnsi="Verdana" w:cs="Times New Roman"/>
          <w:color w:val="000000"/>
          <w:kern w:val="0"/>
          <w:lang w:val="es-CO" w:eastAsia="es-MX"/>
          <w14:ligatures w14:val="none"/>
        </w:rPr>
        <w:t xml:space="preserve"> con el impuesto de renta para personas jurídicas, provenientes de </w:t>
      </w:r>
      <w:r w:rsidRPr="00F20FBE">
        <w:rPr>
          <w:rFonts w:ascii="Verdana" w:eastAsia="Times New Roman" w:hAnsi="Verdana" w:cs="Times New Roman"/>
          <w:b/>
          <w:bCs/>
          <w:color w:val="000000"/>
          <w:kern w:val="0"/>
          <w:lang w:val="es-CO" w:eastAsia="es-MX"/>
          <w14:ligatures w14:val="none"/>
        </w:rPr>
        <w:t>1.273.214 contribuyentes</w:t>
      </w:r>
      <w:r w:rsidRPr="00F20FBE">
        <w:rPr>
          <w:rFonts w:ascii="Verdana" w:eastAsia="Times New Roman" w:hAnsi="Verdana" w:cs="Times New Roman"/>
          <w:color w:val="000000"/>
          <w:kern w:val="0"/>
          <w:lang w:val="es-CO" w:eastAsia="es-MX"/>
          <w14:ligatures w14:val="none"/>
        </w:rPr>
        <w:t xml:space="preserve"> localizados en todo el país. En cuanto a su distribución, Bogotá concentra el mayor número de ellos, con 470.504 (36.9 %); seguida de Medellín, con 176.390 (13.8 %); Cali, con 84.396 (6.6 %); Barranquilla, con 78.326 (6.1 %); y Cartagena, con 49.236 (3.8 %).</w:t>
      </w:r>
    </w:p>
    <w:p w14:paraId="1CBC292D" w14:textId="77777777" w:rsidR="00F20FBE" w:rsidRPr="00F20FBE" w:rsidRDefault="00F20FBE" w:rsidP="00F20FBE">
      <w:pPr>
        <w:rPr>
          <w:rFonts w:ascii="Times New Roman" w:eastAsia="Times New Roman" w:hAnsi="Times New Roman" w:cs="Times New Roman"/>
          <w:kern w:val="0"/>
          <w:lang w:val="es-CO" w:eastAsia="es-MX"/>
          <w14:ligatures w14:val="none"/>
        </w:rPr>
      </w:pPr>
    </w:p>
    <w:p w14:paraId="79847491" w14:textId="77777777" w:rsidR="00F20FBE" w:rsidRPr="00F20FBE" w:rsidRDefault="00F20FBE" w:rsidP="00F20FBE">
      <w:pPr>
        <w:jc w:val="both"/>
        <w:rPr>
          <w:rFonts w:ascii="Times New Roman" w:eastAsia="Times New Roman" w:hAnsi="Times New Roman" w:cs="Times New Roman"/>
          <w:kern w:val="0"/>
          <w:lang w:val="es-CO" w:eastAsia="es-MX"/>
          <w14:ligatures w14:val="none"/>
        </w:rPr>
      </w:pPr>
      <w:r w:rsidRPr="00F20FBE">
        <w:rPr>
          <w:rFonts w:ascii="Verdana" w:eastAsia="Times New Roman" w:hAnsi="Verdana" w:cs="Times New Roman"/>
          <w:color w:val="000000"/>
          <w:kern w:val="0"/>
          <w:lang w:val="es-CO" w:eastAsia="es-MX"/>
          <w14:ligatures w14:val="none"/>
        </w:rPr>
        <w:t>Es importante tener en cuenta que si el valor de la declaración de renta es inferior a 41 UVT ($2.147.334), el pago se debe hacer en una sola cuota; si excede esta cifra, el pago se puede hacer en dos momentos. Los plazos en los cuales se debe presentar esta obligación tributaria, según el último dígito del Número de Identificación Tributaria (NIT), son los siguientes:</w:t>
      </w:r>
    </w:p>
    <w:p w14:paraId="6978DAFB" w14:textId="77777777" w:rsidR="00F20FBE" w:rsidRPr="00F20FBE" w:rsidRDefault="00F20FBE" w:rsidP="00F20FBE">
      <w:pPr>
        <w:rPr>
          <w:rFonts w:ascii="Times New Roman" w:eastAsia="Times New Roman" w:hAnsi="Times New Roman" w:cs="Times New Roman"/>
          <w:kern w:val="0"/>
          <w:lang w:val="es-CO" w:eastAsia="es-MX"/>
          <w14:ligatures w14:val="none"/>
        </w:rPr>
      </w:pPr>
    </w:p>
    <w:p w14:paraId="5C75B635" w14:textId="77777777" w:rsidR="00F20FBE" w:rsidRPr="00F20FBE" w:rsidRDefault="00F20FBE" w:rsidP="00F20FBE">
      <w:pPr>
        <w:jc w:val="both"/>
        <w:rPr>
          <w:rFonts w:ascii="Times New Roman" w:eastAsia="Times New Roman" w:hAnsi="Times New Roman" w:cs="Times New Roman"/>
          <w:kern w:val="0"/>
          <w:lang w:val="es-CO" w:eastAsia="es-MX"/>
          <w14:ligatures w14:val="none"/>
        </w:rPr>
      </w:pPr>
      <w:r w:rsidRPr="00F20FBE">
        <w:rPr>
          <w:rFonts w:ascii="Verdana" w:eastAsia="Times New Roman" w:hAnsi="Verdana" w:cs="Times New Roman"/>
          <w:b/>
          <w:bCs/>
          <w:color w:val="000000"/>
          <w:kern w:val="0"/>
          <w:lang w:val="es-CO" w:eastAsia="es-MX"/>
          <w14:ligatures w14:val="none"/>
        </w:rPr>
        <w:t>Declaración y pago primera cuota: del 12 al 26 de mayo de 2026</w:t>
      </w:r>
    </w:p>
    <w:p w14:paraId="2ADC0617" w14:textId="77777777" w:rsidR="00F20FBE" w:rsidRPr="00F20FBE" w:rsidRDefault="00F20FBE" w:rsidP="00F20FBE">
      <w:pPr>
        <w:rPr>
          <w:rFonts w:ascii="Times New Roman" w:eastAsia="Times New Roman" w:hAnsi="Times New Roman" w:cs="Times New Roman"/>
          <w:kern w:val="0"/>
          <w:lang w:val="es-CO" w:eastAsia="es-MX"/>
          <w14:ligatures w14:val="none"/>
        </w:rPr>
      </w:pPr>
    </w:p>
    <w:p w14:paraId="55E27D57" w14:textId="3A887FD0" w:rsidR="00F20FBE" w:rsidRPr="00F20FBE" w:rsidRDefault="00F20FBE" w:rsidP="00F20FBE">
      <w:pPr>
        <w:jc w:val="both"/>
        <w:rPr>
          <w:rFonts w:ascii="Times New Roman" w:eastAsia="Times New Roman" w:hAnsi="Times New Roman" w:cs="Times New Roman"/>
          <w:kern w:val="0"/>
          <w:lang w:val="es-CO" w:eastAsia="es-MX"/>
          <w14:ligatures w14:val="none"/>
        </w:rPr>
      </w:pPr>
      <w:r w:rsidRPr="00F20FBE">
        <w:rPr>
          <w:rFonts w:ascii="Verdana" w:eastAsia="Times New Roman" w:hAnsi="Verdana" w:cs="Times New Roman"/>
          <w:b/>
          <w:bCs/>
          <w:noProof/>
          <w:color w:val="000000"/>
          <w:kern w:val="0"/>
          <w:bdr w:val="none" w:sz="0" w:space="0" w:color="auto" w:frame="1"/>
          <w:lang w:val="es-CO" w:eastAsia="es-MX"/>
          <w14:ligatures w14:val="none"/>
        </w:rPr>
        <w:lastRenderedPageBreak/>
        <w:drawing>
          <wp:inline distT="0" distB="0" distL="0" distR="0" wp14:anchorId="4A5A81AF" wp14:editId="1961084F">
            <wp:extent cx="5607050" cy="590550"/>
            <wp:effectExtent l="0" t="0" r="6350" b="6350"/>
            <wp:docPr id="124672893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07050" cy="590550"/>
                    </a:xfrm>
                    <a:prstGeom prst="rect">
                      <a:avLst/>
                    </a:prstGeom>
                    <a:noFill/>
                    <a:ln>
                      <a:noFill/>
                    </a:ln>
                  </pic:spPr>
                </pic:pic>
              </a:graphicData>
            </a:graphic>
          </wp:inline>
        </w:drawing>
      </w:r>
    </w:p>
    <w:p w14:paraId="6CEF5C67" w14:textId="0634725E" w:rsidR="00F20FBE" w:rsidRPr="00F20FBE" w:rsidRDefault="00F20FBE" w:rsidP="00F20FBE">
      <w:pPr>
        <w:jc w:val="both"/>
        <w:rPr>
          <w:rFonts w:ascii="Times New Roman" w:eastAsia="Times New Roman" w:hAnsi="Times New Roman" w:cs="Times New Roman"/>
          <w:kern w:val="0"/>
          <w:lang w:val="es-CO" w:eastAsia="es-MX"/>
          <w14:ligatures w14:val="none"/>
        </w:rPr>
      </w:pPr>
      <w:r w:rsidRPr="00F20FBE">
        <w:rPr>
          <w:rFonts w:ascii="Verdana" w:eastAsia="Times New Roman" w:hAnsi="Verdana" w:cs="Times New Roman"/>
          <w:b/>
          <w:bCs/>
          <w:noProof/>
          <w:color w:val="000000"/>
          <w:kern w:val="0"/>
          <w:bdr w:val="none" w:sz="0" w:space="0" w:color="auto" w:frame="1"/>
          <w:lang w:val="es-CO" w:eastAsia="es-MX"/>
          <w14:ligatures w14:val="none"/>
        </w:rPr>
        <w:drawing>
          <wp:inline distT="0" distB="0" distL="0" distR="0" wp14:anchorId="0D2DE8ED" wp14:editId="0C99E009">
            <wp:extent cx="5612130" cy="1612265"/>
            <wp:effectExtent l="0" t="0" r="1270" b="635"/>
            <wp:docPr id="78251100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exto&#10;&#10;El contenido generado por IA puede ser incorrec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1612265"/>
                    </a:xfrm>
                    <a:prstGeom prst="rect">
                      <a:avLst/>
                    </a:prstGeom>
                    <a:noFill/>
                    <a:ln>
                      <a:noFill/>
                    </a:ln>
                  </pic:spPr>
                </pic:pic>
              </a:graphicData>
            </a:graphic>
          </wp:inline>
        </w:drawing>
      </w:r>
    </w:p>
    <w:p w14:paraId="35B8C78A" w14:textId="77777777" w:rsidR="00F20FBE" w:rsidRPr="00F20FBE" w:rsidRDefault="00F20FBE" w:rsidP="00F20FBE">
      <w:pPr>
        <w:rPr>
          <w:rFonts w:ascii="Times New Roman" w:eastAsia="Times New Roman" w:hAnsi="Times New Roman" w:cs="Times New Roman"/>
          <w:kern w:val="0"/>
          <w:lang w:val="es-CO" w:eastAsia="es-MX"/>
          <w14:ligatures w14:val="none"/>
        </w:rPr>
      </w:pPr>
    </w:p>
    <w:p w14:paraId="0CCBD72C" w14:textId="77777777" w:rsidR="00F20FBE" w:rsidRPr="00F20FBE" w:rsidRDefault="00F20FBE" w:rsidP="00F20FBE">
      <w:pPr>
        <w:jc w:val="both"/>
        <w:rPr>
          <w:rFonts w:ascii="Times New Roman" w:eastAsia="Times New Roman" w:hAnsi="Times New Roman" w:cs="Times New Roman"/>
          <w:kern w:val="0"/>
          <w:lang w:val="es-CO" w:eastAsia="es-MX"/>
          <w14:ligatures w14:val="none"/>
        </w:rPr>
      </w:pPr>
      <w:r w:rsidRPr="00F20FBE">
        <w:rPr>
          <w:rFonts w:ascii="Verdana" w:eastAsia="Times New Roman" w:hAnsi="Verdana" w:cs="Times New Roman"/>
          <w:color w:val="000000"/>
          <w:kern w:val="0"/>
          <w:lang w:val="es-CO" w:eastAsia="es-MX"/>
          <w14:ligatures w14:val="none"/>
        </w:rPr>
        <w:t>En caso de tener inquietudes sobre la declaración de renta para personas jurídicas, los contribuyentes pueden comunicarse a la línea telefónica 601 489 9000, de lunes a viernes, de 8:00 a. m. a 7:00 p. m.; y los sábados, de 8:00 a. m. a 12:00 m. También, pueden acercarse a cualquiera de los puntos de contacto de la entidad en todo el país; para conocer la ubicación y horarios de atención, pueden ingresar a www.dian.gov.co/atencionciudadano/contactenos/Paginas/puntosdecontacto.aspx.</w:t>
      </w:r>
    </w:p>
    <w:p w14:paraId="030A64E4" w14:textId="77777777" w:rsidR="00F20FBE" w:rsidRPr="00F20FBE" w:rsidRDefault="00F20FBE" w:rsidP="00F20FBE">
      <w:pPr>
        <w:rPr>
          <w:rFonts w:ascii="Times New Roman" w:eastAsia="Times New Roman" w:hAnsi="Times New Roman" w:cs="Times New Roman"/>
          <w:kern w:val="0"/>
          <w:lang w:val="es-CO" w:eastAsia="es-MX"/>
          <w14:ligatures w14:val="none"/>
        </w:rPr>
      </w:pPr>
    </w:p>
    <w:p w14:paraId="40CD3141" w14:textId="77777777" w:rsidR="00F20FBE" w:rsidRPr="00F20FBE" w:rsidRDefault="00F20FBE" w:rsidP="00F20FBE">
      <w:pPr>
        <w:jc w:val="both"/>
        <w:rPr>
          <w:rFonts w:ascii="Times New Roman" w:eastAsia="Times New Roman" w:hAnsi="Times New Roman" w:cs="Times New Roman"/>
          <w:kern w:val="0"/>
          <w:lang w:val="es-CO" w:eastAsia="es-MX"/>
          <w14:ligatures w14:val="none"/>
        </w:rPr>
      </w:pPr>
      <w:r w:rsidRPr="00F20FBE">
        <w:rPr>
          <w:rFonts w:ascii="Verdana" w:eastAsia="Times New Roman" w:hAnsi="Verdana" w:cs="Times New Roman"/>
          <w:b/>
          <w:bCs/>
          <w:color w:val="000000"/>
          <w:kern w:val="0"/>
          <w:lang w:val="es-CO" w:eastAsia="es-MX"/>
          <w14:ligatures w14:val="none"/>
        </w:rPr>
        <w:t>Fin del comunicado.</w:t>
      </w:r>
    </w:p>
    <w:p w14:paraId="1AE76DD3" w14:textId="77777777" w:rsidR="00F20FBE" w:rsidRPr="00F20FBE" w:rsidRDefault="00F20FBE" w:rsidP="00F20FBE">
      <w:pPr>
        <w:rPr>
          <w:rFonts w:ascii="Times New Roman" w:eastAsia="Times New Roman" w:hAnsi="Times New Roman" w:cs="Times New Roman"/>
          <w:kern w:val="0"/>
          <w:lang w:val="es-CO" w:eastAsia="es-MX"/>
          <w14:ligatures w14:val="none"/>
        </w:rPr>
      </w:pPr>
    </w:p>
    <w:p w14:paraId="6FBE93D4"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A83A8C"/>
    <w:multiLevelType w:val="multilevel"/>
    <w:tmpl w:val="87868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51969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FBE"/>
    <w:rsid w:val="000B2285"/>
    <w:rsid w:val="002D5847"/>
    <w:rsid w:val="00537D8F"/>
    <w:rsid w:val="00B83A7B"/>
    <w:rsid w:val="00F20FBE"/>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7F3C7B2"/>
  <w14:defaultImageDpi w14:val="32767"/>
  <w15:chartTrackingRefBased/>
  <w15:docId w15:val="{7AF73A37-9E46-A749-AAB7-9FA571C93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20FB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20FB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20FB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20FB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20FB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20FB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20FB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20FB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20FB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20FB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20FB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20FB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20FB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20FB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20FB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20FB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20FB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20FBE"/>
    <w:rPr>
      <w:rFonts w:eastAsiaTheme="majorEastAsia" w:cstheme="majorBidi"/>
      <w:color w:val="272727" w:themeColor="text1" w:themeTint="D8"/>
    </w:rPr>
  </w:style>
  <w:style w:type="paragraph" w:styleId="Ttulo">
    <w:name w:val="Title"/>
    <w:basedOn w:val="Normal"/>
    <w:next w:val="Normal"/>
    <w:link w:val="TtuloCar"/>
    <w:uiPriority w:val="10"/>
    <w:qFormat/>
    <w:rsid w:val="00F20FB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20FB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20FB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20FB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20FB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20FBE"/>
    <w:rPr>
      <w:i/>
      <w:iCs/>
      <w:color w:val="404040" w:themeColor="text1" w:themeTint="BF"/>
    </w:rPr>
  </w:style>
  <w:style w:type="paragraph" w:styleId="Prrafodelista">
    <w:name w:val="List Paragraph"/>
    <w:basedOn w:val="Normal"/>
    <w:uiPriority w:val="34"/>
    <w:qFormat/>
    <w:rsid w:val="00F20FBE"/>
    <w:pPr>
      <w:ind w:left="720"/>
      <w:contextualSpacing/>
    </w:pPr>
  </w:style>
  <w:style w:type="character" w:styleId="nfasisintenso">
    <w:name w:val="Intense Emphasis"/>
    <w:basedOn w:val="Fuentedeprrafopredeter"/>
    <w:uiPriority w:val="21"/>
    <w:qFormat/>
    <w:rsid w:val="00F20FBE"/>
    <w:rPr>
      <w:i/>
      <w:iCs/>
      <w:color w:val="2F5496" w:themeColor="accent1" w:themeShade="BF"/>
    </w:rPr>
  </w:style>
  <w:style w:type="paragraph" w:styleId="Citadestacada">
    <w:name w:val="Intense Quote"/>
    <w:basedOn w:val="Normal"/>
    <w:next w:val="Normal"/>
    <w:link w:val="CitadestacadaCar"/>
    <w:uiPriority w:val="30"/>
    <w:qFormat/>
    <w:rsid w:val="00F20F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20FBE"/>
    <w:rPr>
      <w:i/>
      <w:iCs/>
      <w:color w:val="2F5496" w:themeColor="accent1" w:themeShade="BF"/>
    </w:rPr>
  </w:style>
  <w:style w:type="character" w:styleId="Referenciaintensa">
    <w:name w:val="Intense Reference"/>
    <w:basedOn w:val="Fuentedeprrafopredeter"/>
    <w:uiPriority w:val="32"/>
    <w:qFormat/>
    <w:rsid w:val="00F20FBE"/>
    <w:rPr>
      <w:b/>
      <w:bCs/>
      <w:smallCaps/>
      <w:color w:val="2F5496" w:themeColor="accent1" w:themeShade="BF"/>
      <w:spacing w:val="5"/>
    </w:rPr>
  </w:style>
  <w:style w:type="paragraph" w:styleId="NormalWeb">
    <w:name w:val="Normal (Web)"/>
    <w:basedOn w:val="Normal"/>
    <w:uiPriority w:val="99"/>
    <w:semiHidden/>
    <w:unhideWhenUsed/>
    <w:rsid w:val="00F20FBE"/>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284</Words>
  <Characters>1566</Characters>
  <Application>Microsoft Office Word</Application>
  <DocSecurity>0</DocSecurity>
  <Lines>13</Lines>
  <Paragraphs>3</Paragraphs>
  <ScaleCrop>false</ScaleCrop>
  <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2026-05-12T22:09:00Z</dcterms:created>
  <dcterms:modified xsi:type="dcterms:W3CDTF">2026-05-12T22:10:00Z</dcterms:modified>
</cp:coreProperties>
</file>