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5E7C41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DEL 14 DE MAYO DE 2026</w:t>
      </w:r>
    </w:p>
    <w:p w14:paraId="36D17380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SUPERINTENDENCIA DE SOCIEDADES</w:t>
      </w:r>
    </w:p>
    <w:p w14:paraId="1C48BD95" w14:textId="77777777" w:rsidR="002578F0" w:rsidRPr="002578F0" w:rsidRDefault="002578F0" w:rsidP="002578F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D9DCCEE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SUPERSOCIEDADES PRESENTA INFORME SOBRE GRUPOS EMPRESARIALES Y SOCIEDADES COLOMBIANAS CONTROLADOS POR MATRICES EXTRANJERAS</w:t>
      </w:r>
    </w:p>
    <w:p w14:paraId="19CB8B19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Publicado 14/05/26</w:t>
      </w:r>
    </w:p>
    <w:p w14:paraId="30A4003F" w14:textId="77777777" w:rsidR="002578F0" w:rsidRPr="002578F0" w:rsidRDefault="002578F0" w:rsidP="002578F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EAA3347" w14:textId="79889ABE" w:rsidR="002578F0" w:rsidRPr="002578F0" w:rsidRDefault="002578F0" w:rsidP="002578F0">
      <w:pPr>
        <w:jc w:val="center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noProof/>
          <w:color w:val="000000"/>
          <w:kern w:val="0"/>
          <w:bdr w:val="none" w:sz="0" w:space="0" w:color="auto" w:frame="1"/>
          <w:lang w:val="es-CO" w:eastAsia="es-MX"/>
          <w14:ligatures w14:val="none"/>
        </w:rPr>
        <w:drawing>
          <wp:inline distT="0" distB="0" distL="0" distR="0" wp14:anchorId="788131C0" wp14:editId="16C75EB2">
            <wp:extent cx="3975100" cy="2247900"/>
            <wp:effectExtent l="0" t="0" r="0" b="0"/>
            <wp:docPr id="950899980" name="Imagen 1" descr="Interfaz de usuario gráfica, Text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erfaz de usuario gráfica, Text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DDBBA" w14:textId="77777777" w:rsidR="002578F0" w:rsidRPr="002578F0" w:rsidRDefault="002578F0" w:rsidP="002578F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1631323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Bogotá D.C., 14 de mayo de 2026. </w:t>
      </w: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La Superintendencia de Sociedades requirió información a las 58 cámaras de comercio del país sobre inscripciones de grupos empresariales y situaciones de control con matrices extranjeras. Una vez analizados los datos recopilados se evidenció una importante presencia de capital extranjero dentro de la estructura societaria colombiana.</w:t>
      </w:r>
    </w:p>
    <w:p w14:paraId="40E1F1C5" w14:textId="77777777" w:rsidR="002578F0" w:rsidRPr="002578F0" w:rsidRDefault="002578F0" w:rsidP="002578F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704EB0F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Se identificó que 737 grupos empresariales se encuentran controlados por matrices extranjeras y que 1.691 sociedades colombianas hacen parte de dichos grupos. Adicionalmente, se estableció que 10.410 sociedades colombianas se encuentran bajo situación de control por parte de matrices extranjeras, sin pertenecer formalmente a un grupo empresarial, para un total de 12.101 sociedades subordinadas a controlantes extranjeros.</w:t>
      </w:r>
    </w:p>
    <w:p w14:paraId="52BA65C8" w14:textId="77777777" w:rsidR="002578F0" w:rsidRPr="002578F0" w:rsidRDefault="002578F0" w:rsidP="002578F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3DF807F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El análisis también evidencia una participación equilibrada entre personas naturales y jurídicas extranjeras como controlantes de sociedades colombianas, encontrándose registradas 5.203 personas naturales extranjeras y 5.075 personas jurídicas extranjeras ejerciendo control societario en el país. Lo anterior demuestra la diversidad de estructuras de inversión y control empresarial utilizadas por inversionistas internacionales en Colombia.</w:t>
      </w:r>
    </w:p>
    <w:p w14:paraId="405175FB" w14:textId="77777777" w:rsidR="002578F0" w:rsidRPr="002578F0" w:rsidRDefault="002578F0" w:rsidP="002578F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02802F7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En cuanto al origen de los controlantes extranjeros, se destaca una concentración proveniente principalmente de Estados Unidos, Venezuela, España, Panamá, México, Inglaterra, Chile, China, Perú y Francia, lo cual confirma el carácter internacional y estratégico del mercado colombiano para la inversión extranjera y la consolidación de estructuras empresariales transnacionales.</w:t>
      </w:r>
    </w:p>
    <w:p w14:paraId="6A067CF8" w14:textId="77777777" w:rsidR="002578F0" w:rsidRPr="002578F0" w:rsidRDefault="002578F0" w:rsidP="002578F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5F51BA0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Asimismo, las cámaras de comercio con mayor número de inscripciones relacionadas con matrices extranjeras corresponden a Bogotá, Medellín, Aburrá Sur, Santa Marta, Cali, Pereira, Oriente Antioqueño, Cartagena y Cúcuta, evidenciando una mayor concentración de inversión y actividad empresarial extranjera en los principales centros económicos y comerciales del país.</w:t>
      </w:r>
    </w:p>
    <w:p w14:paraId="77318151" w14:textId="77777777" w:rsidR="002578F0" w:rsidRPr="002578F0" w:rsidRDefault="002578F0" w:rsidP="002578F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13B0978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Desde la perspectiva del gobierno corporativo, la revelación de las estructuras de control y de los grupos empresariales constituye un elemento esencial para la transparencia, la rendición de cuentas y la adecuada toma de decisiones por parte de inversionistas, administradores y demás grupos</w:t>
      </w: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br/>
        <w:t xml:space="preserve">de interés. La identificación clara de quién ejerce el control permite mitigar riesgos asociados a conflictos de interés, operaciones con vinculados, prevención de riesgos de lavado de activos, financiación de terrorismo y proliferación de armas de destrucción masiva y prácticas que puedan </w:t>
      </w:r>
      <w:proofErr w:type="spellStart"/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afecta</w:t>
      </w:r>
      <w:proofErr w:type="spellEnd"/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la equidad entre accionistas, especialmente los minoritarios.</w:t>
      </w:r>
    </w:p>
    <w:p w14:paraId="10E722FA" w14:textId="77777777" w:rsidR="002578F0" w:rsidRPr="002578F0" w:rsidRDefault="002578F0" w:rsidP="002578F0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E359742" w14:textId="77777777" w:rsidR="002578F0" w:rsidRPr="002578F0" w:rsidRDefault="002578F0" w:rsidP="002578F0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este sentido, los resultados del estudio están acordes con los lineamientos de la Organización para la Cooperación y el Desarrollo Económicos, particularmente con los Principios de Gobierno Corporativo de la OCDE, los cuales destacan la importancia de la divulgación oportuna y precisa de la información sobre la estructura de propiedad y control de las</w:t>
      </w: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br/>
        <w:t>sociedades. Estos principios establecen que los mercados requieren transparencia sobre quién controla las empresas para fortalecer la confianza, facilitar la supervisión y promover la integridad del sistema corporativo.</w:t>
      </w:r>
    </w:p>
    <w:p w14:paraId="2C02BDBF" w14:textId="38F86890" w:rsidR="00537D8F" w:rsidRDefault="002578F0" w:rsidP="002578F0">
      <w:r w:rsidRPr="002578F0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  <w:r w:rsidRPr="002578F0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Al respecto la Superintendente de Sociedades, doctora Nini Johanna Castañeda, señaló: </w:t>
      </w:r>
      <w:r w:rsidRPr="002578F0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“Los resultados de este estudio reflejan un fortalecimiento progresivo de la cultura de revelación y cumplimiento corporativo en el país. Este avance ha sido impulsado por las actuaciones pedagógicas, preventivas y de supervisión adelantadas por la Superintendencia de Sociedades, así como por las investigaciones orientadas a verificar el cumplimiento del régimen de matrices y </w:t>
      </w:r>
      <w:r w:rsidRPr="002578F0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lastRenderedPageBreak/>
        <w:t>subordinadas. Fortalecer la transparencia sobre las estructuras de control empresarial no solo mejora los estándares de gobierno corporativo, sino que también genera mayor confianza en los mercados, facilita la supervisión y contribuye al alineamiento de Colombia con las mejores prácticas internacionales”.</w:t>
      </w:r>
    </w:p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78F0"/>
    <w:rsid w:val="000B2285"/>
    <w:rsid w:val="002578F0"/>
    <w:rsid w:val="002D5847"/>
    <w:rsid w:val="00537D8F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EC75A4"/>
  <w14:defaultImageDpi w14:val="32767"/>
  <w15:chartTrackingRefBased/>
  <w15:docId w15:val="{B1ECC772-74CB-9B4E-A976-4B91AF449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78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78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78F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78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78F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78F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78F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78F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78F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78F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78F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78F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78F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78F0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78F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78F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78F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78F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78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78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78F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78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78F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78F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78F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78F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78F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78F0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78F0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578F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648</Words>
  <Characters>3565</Characters>
  <Application>Microsoft Office Word</Application>
  <DocSecurity>0</DocSecurity>
  <Lines>29</Lines>
  <Paragraphs>8</Paragraphs>
  <ScaleCrop>false</ScaleCrop>
  <Company/>
  <LinksUpToDate>false</LinksUpToDate>
  <CharactersWithSpaces>4205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2026-05-19T16:37:00Z</dcterms:created>
  <dcterms:modified xsi:type="dcterms:W3CDTF">2026-05-19T16:38:00Z</dcterms:modified>
</cp:coreProperties>
</file>