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BFD9CF"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CONCEPTO 21721 DEL 11 DE MARZO DE 2026</w:t>
      </w:r>
    </w:p>
    <w:p w14:paraId="66139205"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DIRECCIÓN DE APOYO FISCAL -DAF-</w:t>
      </w:r>
    </w:p>
    <w:p w14:paraId="17D5B005"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7BCE805C"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Bogotá, D.C. </w:t>
      </w:r>
    </w:p>
    <w:p w14:paraId="3C1F53BD"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18DC5F57"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Doctora</w:t>
      </w:r>
    </w:p>
    <w:p w14:paraId="594252BD"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Lisseth Yadira Ramírez Vera</w:t>
      </w:r>
    </w:p>
    <w:p w14:paraId="606CF719"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Secretaria de Hacienda</w:t>
      </w:r>
    </w:p>
    <w:p w14:paraId="4F505D23"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Alcaldía Municipal de Chinácota</w:t>
      </w:r>
    </w:p>
    <w:p w14:paraId="5911E67F"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hacienda@chinacota-nortedesantander.gov.co</w:t>
      </w:r>
    </w:p>
    <w:p w14:paraId="1EC48DBA"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757DC826"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Tema:</w:t>
      </w:r>
      <w:r w:rsidRPr="005846B1">
        <w:rPr>
          <w:rFonts w:ascii="Verdana" w:eastAsia="Times New Roman" w:hAnsi="Verdana" w:cs="Times New Roman"/>
          <w:color w:val="000000"/>
          <w:kern w:val="0"/>
          <w:lang w:val="es-CO" w:eastAsia="es-MX"/>
          <w14:ligatures w14:val="none"/>
        </w:rPr>
        <w:tab/>
        <w:t>Impuesto Predial Unificado</w:t>
      </w:r>
    </w:p>
    <w:p w14:paraId="757440C1"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Subtema:</w:t>
      </w:r>
      <w:r w:rsidRPr="005846B1">
        <w:rPr>
          <w:rFonts w:ascii="Verdana" w:eastAsia="Times New Roman" w:hAnsi="Verdana" w:cs="Times New Roman"/>
          <w:color w:val="000000"/>
          <w:kern w:val="0"/>
          <w:lang w:val="es-CO" w:eastAsia="es-MX"/>
          <w14:ligatures w14:val="none"/>
        </w:rPr>
        <w:tab/>
        <w:t>Límites</w:t>
      </w:r>
    </w:p>
    <w:p w14:paraId="07E51BFC"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 </w:t>
      </w:r>
    </w:p>
    <w:p w14:paraId="7B6F4D5D" w14:textId="77777777" w:rsidR="005846B1" w:rsidRPr="005846B1" w:rsidRDefault="005846B1" w:rsidP="005846B1">
      <w:pPr>
        <w:jc w:val="right"/>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Radicado entrada 1-2026-018468</w:t>
      </w:r>
    </w:p>
    <w:p w14:paraId="77F7D92D" w14:textId="77777777" w:rsidR="005846B1" w:rsidRPr="005846B1" w:rsidRDefault="005846B1" w:rsidP="005846B1">
      <w:pPr>
        <w:jc w:val="right"/>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No. Expediente 2787/2026/GEA</w:t>
      </w:r>
    </w:p>
    <w:p w14:paraId="7A537EDE"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 </w:t>
      </w:r>
    </w:p>
    <w:p w14:paraId="7036FDA9"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Cordial saludo Doctora Ramírez:</w:t>
      </w:r>
    </w:p>
    <w:p w14:paraId="08AE35B5"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1E4F173B"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Mediante escrito dirigido a este Despacho y radicado con el número 1-2026-018468 efectúa usted una serie de consultas en relación con los límites al impuesto predial unificado.</w:t>
      </w:r>
    </w:p>
    <w:p w14:paraId="5B3AE7EE"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7DE089D2"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Sea lo primero precisar que los pronunciamientos de esta Dirección se emiten en los términos y con los estrictos alcances de los artículos 14-2 y 28 del Código de Procedimiento Administrativo y de lo Contencioso Administrativo, por lo que la respuesta es general, no tiene efectos obligatorios ni vinculantes, y no compromete la responsabilidad de este Ministerio.</w:t>
      </w:r>
    </w:p>
    <w:p w14:paraId="2A1440DD"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660936A0"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Consulta usted:</w:t>
      </w:r>
    </w:p>
    <w:p w14:paraId="0A8177E3" w14:textId="77777777" w:rsidR="005846B1" w:rsidRPr="005846B1" w:rsidRDefault="005846B1" w:rsidP="005846B1">
      <w:pPr>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23E0F830" w14:textId="77777777" w:rsidR="005846B1" w:rsidRPr="005846B1" w:rsidRDefault="005846B1" w:rsidP="005846B1">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5846B1">
        <w:rPr>
          <w:rFonts w:ascii="Verdana" w:eastAsia="Times New Roman" w:hAnsi="Verdana" w:cs="Times New Roman"/>
          <w:b/>
          <w:bCs/>
          <w:i/>
          <w:iCs/>
          <w:color w:val="000000"/>
          <w:kern w:val="0"/>
          <w:lang w:val="es-CO" w:eastAsia="es-MX"/>
          <w14:ligatures w14:val="none"/>
        </w:rPr>
        <w:t>Si los límites al incremento del impuesto predial previstos en la Ley 44 de 1990 resultan aplicables cuando el aumento del avalúo proviene de actuaciones de conservación catastral y no de un proceso de formación catastral.</w:t>
      </w:r>
    </w:p>
    <w:p w14:paraId="089E102C" w14:textId="77777777" w:rsidR="005846B1" w:rsidRPr="005846B1" w:rsidRDefault="005846B1" w:rsidP="005846B1">
      <w:pPr>
        <w:numPr>
          <w:ilvl w:val="0"/>
          <w:numId w:val="1"/>
        </w:numPr>
        <w:jc w:val="both"/>
        <w:textAlignment w:val="baseline"/>
        <w:rPr>
          <w:rFonts w:ascii="Verdana" w:eastAsia="Times New Roman" w:hAnsi="Verdana" w:cs="Times New Roman"/>
          <w:b/>
          <w:bCs/>
          <w:i/>
          <w:iCs/>
          <w:color w:val="000000"/>
          <w:kern w:val="0"/>
          <w:lang w:val="es-CO" w:eastAsia="es-MX"/>
          <w14:ligatures w14:val="none"/>
        </w:rPr>
      </w:pPr>
      <w:r w:rsidRPr="005846B1">
        <w:rPr>
          <w:rFonts w:ascii="Verdana" w:eastAsia="Times New Roman" w:hAnsi="Verdana" w:cs="Times New Roman"/>
          <w:b/>
          <w:bCs/>
          <w:i/>
          <w:iCs/>
          <w:color w:val="000000"/>
          <w:kern w:val="0"/>
          <w:lang w:val="es-CO" w:eastAsia="es-MX"/>
          <w14:ligatures w14:val="none"/>
        </w:rPr>
        <w:t>En qué eventos específicos procede la aplicación de la Ley 44 de 1990 y cuál es su alcance frente a incrementos derivados de modificaciones individuales del predio.</w:t>
      </w:r>
    </w:p>
    <w:p w14:paraId="32DF2D72"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36DF3080"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Para responder esta inquietud conviene repasar el tenor literal del artículo 6 de la Ley 44 de 1990, que es la norma que establece los límites al incremento del impuesto predial. Veamos:</w:t>
      </w:r>
    </w:p>
    <w:p w14:paraId="2B548048"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63CA2591"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lastRenderedPageBreak/>
        <w:t>ARTÍCULO 6º.- Límites del Impuesto. A partir del año en el cual entre en aplicación la formación catastral de los predios, en los términos de la Ley 14 de 1983, el Impuesto Predial Unificado resultante con base en el nuevo avalúo, no podrá exceder del doble del monto liquidado por el mismo concepto en el año inmediatamente anterior, o del impuesto predial, según el caso.</w:t>
      </w:r>
    </w:p>
    <w:p w14:paraId="5D101C97"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4E25C2CB"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t>La limitación prevista en este artículo no se aplicará para los predios que se incorporen por primera vez al catastro, ni para los terrenos urbanizables no urbanizados o urbanizados no edificados. Tampoco se aplicará para los predios que figuraban como lotes no construidos y cuyo nuevo avalúo se origina por la construcción o edificación en él realizada.</w:t>
      </w:r>
    </w:p>
    <w:p w14:paraId="19AEBBD7"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5F68F5A1"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De conformidad con la norma transcrita, una vez cumplidos los presupuestos de ley, esto es, que se lleve a cabo la formación catastral en los términos de la Ley 14 de 1983, el impuesto a pagar resultante de la aplicación del nuevo avalúo catastral, no podrá exceder del doble del impuesto liquidado en el año inmediatamente anterior.</w:t>
      </w:r>
    </w:p>
    <w:p w14:paraId="58A4091D"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27FE7F65"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Nótese que la disposición mencionada no contiene ninguna restricción en relación con la causa que genera el aumento del impuesto, por lo que en criterio de esta dirección, si el valor resultante de multiplicar avalúo por tarifa excede el doble del monto liquidado por el mismo concepto en el año anterior, la administración municipal deberá respetar el límite en cada una de las vigencias fiscales a que haya lugar.</w:t>
      </w:r>
    </w:p>
    <w:p w14:paraId="696A01B5" w14:textId="77777777" w:rsidR="005846B1" w:rsidRPr="005846B1" w:rsidRDefault="005846B1" w:rsidP="005846B1">
      <w:pPr>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22D0698D" w14:textId="77777777" w:rsidR="005846B1" w:rsidRPr="005846B1" w:rsidRDefault="005846B1" w:rsidP="005846B1">
      <w:pPr>
        <w:numPr>
          <w:ilvl w:val="0"/>
          <w:numId w:val="2"/>
        </w:numPr>
        <w:jc w:val="both"/>
        <w:textAlignment w:val="baseline"/>
        <w:rPr>
          <w:rFonts w:ascii="Verdana" w:eastAsia="Times New Roman" w:hAnsi="Verdana" w:cs="Times New Roman"/>
          <w:b/>
          <w:bCs/>
          <w:i/>
          <w:iCs/>
          <w:color w:val="000000"/>
          <w:kern w:val="0"/>
          <w:lang w:val="es-CO" w:eastAsia="es-MX"/>
          <w14:ligatures w14:val="none"/>
        </w:rPr>
      </w:pPr>
      <w:r w:rsidRPr="005846B1">
        <w:rPr>
          <w:rFonts w:ascii="Verdana" w:eastAsia="Times New Roman" w:hAnsi="Verdana" w:cs="Times New Roman"/>
          <w:b/>
          <w:bCs/>
          <w:i/>
          <w:iCs/>
          <w:color w:val="000000"/>
          <w:kern w:val="0"/>
          <w:lang w:val="es-CO" w:eastAsia="es-MX"/>
          <w14:ligatures w14:val="none"/>
        </w:rPr>
        <w:t>Si los límites establecidos en la Ley 1995 de 2019 aplican cuando el incremento del avalúo se origina en actuaciones de conservación catastral o si su aplicación se restringe a procesos de actualización catastral o a predios no actualizados.</w:t>
      </w:r>
    </w:p>
    <w:p w14:paraId="306E162C"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0A55688F"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La norma que dispone límites al impuesto predial en la Ley 1995 de 2019 es el artículo 2, cuyo tenor literal es el siguiente:</w:t>
      </w:r>
    </w:p>
    <w:p w14:paraId="0998EFDF"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4B370126"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t>“</w:t>
      </w:r>
      <w:r w:rsidRPr="005846B1">
        <w:rPr>
          <w:rFonts w:ascii="Verdana" w:eastAsia="Times New Roman" w:hAnsi="Verdana" w:cs="Times New Roman"/>
          <w:b/>
          <w:bCs/>
          <w:i/>
          <w:iCs/>
          <w:color w:val="000000"/>
          <w:kern w:val="0"/>
          <w:sz w:val="22"/>
          <w:szCs w:val="22"/>
          <w:lang w:val="es-CO" w:eastAsia="es-MX"/>
          <w14:ligatures w14:val="none"/>
        </w:rPr>
        <w:t>Artículo 2°. Límite del Impuesto Predial Unificado.</w:t>
      </w:r>
      <w:r w:rsidRPr="005846B1">
        <w:rPr>
          <w:rFonts w:ascii="Verdana" w:eastAsia="Times New Roman" w:hAnsi="Verdana" w:cs="Times New Roman"/>
          <w:i/>
          <w:iCs/>
          <w:color w:val="000000"/>
          <w:kern w:val="0"/>
          <w:sz w:val="22"/>
          <w:szCs w:val="22"/>
          <w:lang w:val="es-CO" w:eastAsia="es-MX"/>
          <w14:ligatures w14:val="none"/>
        </w:rPr>
        <w:t xml:space="preserve"> Independientemente del valor de catastro obtenido </w:t>
      </w:r>
      <w:r w:rsidRPr="005846B1">
        <w:rPr>
          <w:rFonts w:ascii="Verdana" w:eastAsia="Times New Roman" w:hAnsi="Verdana" w:cs="Times New Roman"/>
          <w:i/>
          <w:iCs/>
          <w:color w:val="000000"/>
          <w:kern w:val="0"/>
          <w:sz w:val="22"/>
          <w:szCs w:val="22"/>
          <w:u w:val="single"/>
          <w:lang w:val="es-CO" w:eastAsia="es-MX"/>
          <w14:ligatures w14:val="none"/>
        </w:rPr>
        <w:t>siguiendo los procedimientos del artículo anterior</w:t>
      </w:r>
      <w:r w:rsidRPr="005846B1">
        <w:rPr>
          <w:rFonts w:ascii="Verdana" w:eastAsia="Times New Roman" w:hAnsi="Verdana" w:cs="Times New Roman"/>
          <w:i/>
          <w:iCs/>
          <w:color w:val="000000"/>
          <w:kern w:val="0"/>
          <w:sz w:val="22"/>
          <w:szCs w:val="22"/>
          <w:lang w:val="es-CO" w:eastAsia="es-MX"/>
          <w14:ligatures w14:val="none"/>
        </w:rPr>
        <w:t>, para los predios que hayan sido objeto de actualización catastral y hayan pagado según esa actualización, será del IPC+8 puntos porcentuales máximo del Impuesto Predial Unificado.</w:t>
      </w:r>
    </w:p>
    <w:p w14:paraId="1833DF0E"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1900E42B"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t>Para el caso de los predios que no se hayan actualizado el límite será de máximo 50% del monto liquidado por el mismo concepto el año inmediatamente anterior.</w:t>
      </w:r>
    </w:p>
    <w:p w14:paraId="523E156B"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lastRenderedPageBreak/>
        <w:t xml:space="preserve">Para las viviendas pertenecientes a los estratos 1 y 2 cuyo avalúo catastral sea hasta, 135 </w:t>
      </w:r>
      <w:proofErr w:type="spellStart"/>
      <w:r w:rsidRPr="005846B1">
        <w:rPr>
          <w:rFonts w:ascii="Verdana" w:eastAsia="Times New Roman" w:hAnsi="Verdana" w:cs="Times New Roman"/>
          <w:i/>
          <w:iCs/>
          <w:color w:val="000000"/>
          <w:kern w:val="0"/>
          <w:sz w:val="22"/>
          <w:szCs w:val="22"/>
          <w:lang w:val="es-CO" w:eastAsia="es-MX"/>
          <w14:ligatures w14:val="none"/>
        </w:rPr>
        <w:t>smmlv</w:t>
      </w:r>
      <w:proofErr w:type="spellEnd"/>
      <w:r w:rsidRPr="005846B1">
        <w:rPr>
          <w:rFonts w:ascii="Verdana" w:eastAsia="Times New Roman" w:hAnsi="Verdana" w:cs="Times New Roman"/>
          <w:i/>
          <w:iCs/>
          <w:color w:val="000000"/>
          <w:kern w:val="0"/>
          <w:sz w:val="22"/>
          <w:szCs w:val="22"/>
          <w:lang w:val="es-CO" w:eastAsia="es-MX"/>
          <w14:ligatures w14:val="none"/>
        </w:rPr>
        <w:t xml:space="preserve">, el incremento anual del Impuesto Predial, no podrá sobrepasar el 100% del IPC. (…)” </w:t>
      </w:r>
      <w:r w:rsidRPr="005846B1">
        <w:rPr>
          <w:rFonts w:ascii="Verdana" w:eastAsia="Times New Roman" w:hAnsi="Verdana" w:cs="Times New Roman"/>
          <w:color w:val="000000"/>
          <w:kern w:val="0"/>
          <w:sz w:val="22"/>
          <w:szCs w:val="22"/>
          <w:lang w:val="es-CO" w:eastAsia="es-MX"/>
          <w14:ligatures w14:val="none"/>
        </w:rPr>
        <w:t>(Subrayado nuestro)</w:t>
      </w:r>
    </w:p>
    <w:p w14:paraId="32C894DF"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5403F12C"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Como se observa, la parte inicial de la norma remite a los procedimientos señalados en el artículo 1 de la ley, y a renglón seguido señala tres límites, que podemos resumir así:</w:t>
      </w:r>
    </w:p>
    <w:p w14:paraId="36480DBC" w14:textId="77777777" w:rsidR="005846B1" w:rsidRPr="005846B1" w:rsidRDefault="005846B1" w:rsidP="005846B1">
      <w:pPr>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0543BC98" w14:textId="77777777" w:rsidR="005846B1" w:rsidRPr="005846B1" w:rsidRDefault="005846B1" w:rsidP="005846B1">
      <w:pPr>
        <w:numPr>
          <w:ilvl w:val="0"/>
          <w:numId w:val="3"/>
        </w:numPr>
        <w:jc w:val="both"/>
        <w:textAlignment w:val="baseline"/>
        <w:rPr>
          <w:rFonts w:ascii="Verdana" w:eastAsia="Times New Roman" w:hAnsi="Verdana" w:cs="Times New Roman"/>
          <w:color w:val="000000"/>
          <w:kern w:val="0"/>
          <w:lang w:val="es-CO" w:eastAsia="es-MX"/>
          <w14:ligatures w14:val="none"/>
        </w:rPr>
      </w:pPr>
      <w:r w:rsidRPr="005846B1">
        <w:rPr>
          <w:rFonts w:ascii="Verdana" w:eastAsia="Times New Roman" w:hAnsi="Verdana" w:cs="Times New Roman"/>
          <w:color w:val="000000"/>
          <w:kern w:val="0"/>
          <w:lang w:val="es-CO" w:eastAsia="es-MX"/>
          <w14:ligatures w14:val="none"/>
        </w:rPr>
        <w:t>IPC + 8 puntos para predios actualizados, que hayan pagado conforme con esa actualización,</w:t>
      </w:r>
    </w:p>
    <w:p w14:paraId="12A6B7C9" w14:textId="77777777" w:rsidR="005846B1" w:rsidRPr="005846B1" w:rsidRDefault="005846B1" w:rsidP="005846B1">
      <w:pPr>
        <w:numPr>
          <w:ilvl w:val="0"/>
          <w:numId w:val="3"/>
        </w:numPr>
        <w:jc w:val="both"/>
        <w:textAlignment w:val="baseline"/>
        <w:rPr>
          <w:rFonts w:ascii="Verdana" w:eastAsia="Times New Roman" w:hAnsi="Verdana" w:cs="Times New Roman"/>
          <w:color w:val="000000"/>
          <w:kern w:val="0"/>
          <w:lang w:val="es-CO" w:eastAsia="es-MX"/>
          <w14:ligatures w14:val="none"/>
        </w:rPr>
      </w:pPr>
      <w:r w:rsidRPr="005846B1">
        <w:rPr>
          <w:rFonts w:ascii="Verdana" w:eastAsia="Times New Roman" w:hAnsi="Verdana" w:cs="Times New Roman"/>
          <w:color w:val="000000"/>
          <w:kern w:val="0"/>
          <w:lang w:val="es-CO" w:eastAsia="es-MX"/>
          <w14:ligatures w14:val="none"/>
        </w:rPr>
        <w:t>50% del monto liquidado por el mismo concepto el año inmediatamente anterior, para predios desactualizados, y</w:t>
      </w:r>
    </w:p>
    <w:p w14:paraId="20E56613" w14:textId="77777777" w:rsidR="005846B1" w:rsidRPr="005846B1" w:rsidRDefault="005846B1" w:rsidP="005846B1">
      <w:pPr>
        <w:numPr>
          <w:ilvl w:val="0"/>
          <w:numId w:val="3"/>
        </w:numPr>
        <w:jc w:val="both"/>
        <w:textAlignment w:val="baseline"/>
        <w:rPr>
          <w:rFonts w:ascii="Verdana" w:eastAsia="Times New Roman" w:hAnsi="Verdana" w:cs="Times New Roman"/>
          <w:color w:val="000000"/>
          <w:kern w:val="0"/>
          <w:lang w:val="es-CO" w:eastAsia="es-MX"/>
          <w14:ligatures w14:val="none"/>
        </w:rPr>
      </w:pPr>
      <w:r w:rsidRPr="005846B1">
        <w:rPr>
          <w:rFonts w:ascii="Verdana" w:eastAsia="Times New Roman" w:hAnsi="Verdana" w:cs="Times New Roman"/>
          <w:color w:val="000000"/>
          <w:kern w:val="0"/>
          <w:lang w:val="es-CO" w:eastAsia="es-MX"/>
          <w14:ligatures w14:val="none"/>
        </w:rPr>
        <w:t xml:space="preserve">IPC para viviendas pertenecientes a los estratos 1 y 2 con avalúo catastral de hasta 135 </w:t>
      </w:r>
      <w:proofErr w:type="spellStart"/>
      <w:r w:rsidRPr="005846B1">
        <w:rPr>
          <w:rFonts w:ascii="Verdana" w:eastAsia="Times New Roman" w:hAnsi="Verdana" w:cs="Times New Roman"/>
          <w:color w:val="000000"/>
          <w:kern w:val="0"/>
          <w:lang w:val="es-CO" w:eastAsia="es-MX"/>
          <w14:ligatures w14:val="none"/>
        </w:rPr>
        <w:t>smmlv</w:t>
      </w:r>
      <w:proofErr w:type="spellEnd"/>
      <w:r w:rsidRPr="005846B1">
        <w:rPr>
          <w:rFonts w:ascii="Verdana" w:eastAsia="Times New Roman" w:hAnsi="Verdana" w:cs="Times New Roman"/>
          <w:color w:val="000000"/>
          <w:kern w:val="0"/>
          <w:lang w:val="es-CO" w:eastAsia="es-MX"/>
          <w14:ligatures w14:val="none"/>
        </w:rPr>
        <w:t>.</w:t>
      </w:r>
    </w:p>
    <w:p w14:paraId="1B89A864"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0B0DD4BB"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Por su parte, el artículo 1 de la ley establece:</w:t>
      </w:r>
    </w:p>
    <w:p w14:paraId="2CA6B997"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132A9D6A"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t xml:space="preserve">“Artículo 1°. Avalúos Catastrales. Los catastros se regirán por lo dispuesto en el modelo de catastro multipropósito, los criterios y las normas para </w:t>
      </w:r>
      <w:r w:rsidRPr="005846B1">
        <w:rPr>
          <w:rFonts w:ascii="Verdana" w:eastAsia="Times New Roman" w:hAnsi="Verdana" w:cs="Times New Roman"/>
          <w:i/>
          <w:iCs/>
          <w:color w:val="000000"/>
          <w:kern w:val="0"/>
          <w:sz w:val="22"/>
          <w:szCs w:val="22"/>
          <w:u w:val="single"/>
          <w:lang w:val="es-CO" w:eastAsia="es-MX"/>
          <w14:ligatures w14:val="none"/>
        </w:rPr>
        <w:t>inscripción</w:t>
      </w:r>
      <w:r w:rsidRPr="005846B1">
        <w:rPr>
          <w:rFonts w:ascii="Verdana" w:eastAsia="Times New Roman" w:hAnsi="Verdana" w:cs="Times New Roman"/>
          <w:i/>
          <w:iCs/>
          <w:color w:val="000000"/>
          <w:kern w:val="0"/>
          <w:sz w:val="22"/>
          <w:szCs w:val="22"/>
          <w:lang w:val="es-CO" w:eastAsia="es-MX"/>
          <w14:ligatures w14:val="none"/>
        </w:rPr>
        <w:t xml:space="preserve"> por primera vez, como los de </w:t>
      </w:r>
      <w:r w:rsidRPr="005846B1">
        <w:rPr>
          <w:rFonts w:ascii="Verdana" w:eastAsia="Times New Roman" w:hAnsi="Verdana" w:cs="Times New Roman"/>
          <w:i/>
          <w:iCs/>
          <w:color w:val="000000"/>
          <w:kern w:val="0"/>
          <w:sz w:val="22"/>
          <w:szCs w:val="22"/>
          <w:u w:val="single"/>
          <w:lang w:val="es-CO" w:eastAsia="es-MX"/>
          <w14:ligatures w14:val="none"/>
        </w:rPr>
        <w:t>conservación</w:t>
      </w:r>
      <w:r w:rsidRPr="005846B1">
        <w:rPr>
          <w:rFonts w:ascii="Verdana" w:eastAsia="Times New Roman" w:hAnsi="Verdana" w:cs="Times New Roman"/>
          <w:i/>
          <w:iCs/>
          <w:color w:val="000000"/>
          <w:kern w:val="0"/>
          <w:sz w:val="22"/>
          <w:szCs w:val="22"/>
          <w:lang w:val="es-CO" w:eastAsia="es-MX"/>
          <w14:ligatures w14:val="none"/>
        </w:rPr>
        <w:t xml:space="preserve"> y </w:t>
      </w:r>
      <w:r w:rsidRPr="005846B1">
        <w:rPr>
          <w:rFonts w:ascii="Verdana" w:eastAsia="Times New Roman" w:hAnsi="Verdana" w:cs="Times New Roman"/>
          <w:i/>
          <w:iCs/>
          <w:color w:val="000000"/>
          <w:kern w:val="0"/>
          <w:sz w:val="22"/>
          <w:szCs w:val="22"/>
          <w:u w:val="single"/>
          <w:lang w:val="es-CO" w:eastAsia="es-MX"/>
          <w14:ligatures w14:val="none"/>
        </w:rPr>
        <w:t>actualización</w:t>
      </w:r>
      <w:r w:rsidRPr="005846B1">
        <w:rPr>
          <w:rFonts w:ascii="Verdana" w:eastAsia="Times New Roman" w:hAnsi="Verdana" w:cs="Times New Roman"/>
          <w:i/>
          <w:iCs/>
          <w:color w:val="000000"/>
          <w:kern w:val="0"/>
          <w:sz w:val="22"/>
          <w:szCs w:val="22"/>
          <w:lang w:val="es-CO" w:eastAsia="es-MX"/>
          <w14:ligatures w14:val="none"/>
        </w:rPr>
        <w:t xml:space="preserve"> se ajustarán al mencionado modelo. “</w:t>
      </w:r>
      <w:r w:rsidRPr="005846B1">
        <w:rPr>
          <w:rFonts w:ascii="Verdana" w:eastAsia="Times New Roman" w:hAnsi="Verdana" w:cs="Times New Roman"/>
          <w:color w:val="000000"/>
          <w:kern w:val="0"/>
          <w:lang w:val="es-CO" w:eastAsia="es-MX"/>
          <w14:ligatures w14:val="none"/>
        </w:rPr>
        <w:t xml:space="preserve"> (Énfasis nuestro)</w:t>
      </w:r>
    </w:p>
    <w:p w14:paraId="64E5B0E4"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5ABFFC4F"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Como se ve, la norma expresamente hace referencia a los procesos de conservación catastral, por lo que consideramos que los límites allí contenidos aplican en cualquiera de los procesos catastrales (formación, actualización y conservación), siempre que se cumplan los requisitos señalados para cada uno y el bien no se encuentre en ninguna de las exclusiones establecidas en el parágrafo del artículo 2.</w:t>
      </w:r>
    </w:p>
    <w:p w14:paraId="123F489B"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20D116FC"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A propósito de la interpretación y aplicación de los límites al impuesto predial se ha pronunciado este Despacho en oficio No. 2-2020-052651, que remitimos para su conocimiento y análisis.</w:t>
      </w:r>
    </w:p>
    <w:p w14:paraId="106B8FA0" w14:textId="77777777" w:rsidR="005846B1" w:rsidRPr="005846B1" w:rsidRDefault="005846B1" w:rsidP="005846B1">
      <w:pPr>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0971AAF2" w14:textId="77777777" w:rsidR="005846B1" w:rsidRPr="005846B1" w:rsidRDefault="005846B1" w:rsidP="005846B1">
      <w:pPr>
        <w:numPr>
          <w:ilvl w:val="0"/>
          <w:numId w:val="4"/>
        </w:numPr>
        <w:jc w:val="both"/>
        <w:textAlignment w:val="baseline"/>
        <w:rPr>
          <w:rFonts w:ascii="Verdana" w:eastAsia="Times New Roman" w:hAnsi="Verdana" w:cs="Times New Roman"/>
          <w:b/>
          <w:bCs/>
          <w:i/>
          <w:iCs/>
          <w:color w:val="000000"/>
          <w:kern w:val="0"/>
          <w:lang w:val="es-CO" w:eastAsia="es-MX"/>
          <w14:ligatures w14:val="none"/>
        </w:rPr>
      </w:pPr>
      <w:r w:rsidRPr="005846B1">
        <w:rPr>
          <w:rFonts w:ascii="Verdana" w:eastAsia="Times New Roman" w:hAnsi="Verdana" w:cs="Times New Roman"/>
          <w:b/>
          <w:bCs/>
          <w:i/>
          <w:iCs/>
          <w:color w:val="000000"/>
          <w:kern w:val="0"/>
          <w:lang w:val="es-CO" w:eastAsia="es-MX"/>
          <w14:ligatures w14:val="none"/>
        </w:rPr>
        <w:t>Cómo debe determinar el municipio cuál norma aplicar (Ley 44 de 1990 o Ley 1995 de 2019) en los casos en que el incremento del impuesto predial se deriva de variaciones del avalúo catastral registradas por la autoridad catastral.</w:t>
      </w:r>
    </w:p>
    <w:p w14:paraId="68B7B3C5"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6A786CB2"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 xml:space="preserve">En criterio de esta Dirección, las administraciones deben iniciar por analizar la procedencia de los límites previstos en el artículo segundo de la Ley 1995 de 2019, y a aquellos predios que no les resulte aplicable ninguno de los tres límites allí contenidos, porque no cumplen las condiciones allí establecidas, o, porque se encuentran excluidos en virtud </w:t>
      </w:r>
      <w:r w:rsidRPr="005846B1">
        <w:rPr>
          <w:rFonts w:ascii="Verdana" w:eastAsia="Times New Roman" w:hAnsi="Verdana" w:cs="Times New Roman"/>
          <w:color w:val="000000"/>
          <w:kern w:val="0"/>
          <w:lang w:val="es-CO" w:eastAsia="es-MX"/>
          <w14:ligatures w14:val="none"/>
        </w:rPr>
        <w:lastRenderedPageBreak/>
        <w:t>del parágrafo del mismo artículo, se les deberá aplicar el límite previsto en el artículo 6º de la Ley 44 de 1990, observando las exclusiones allí consideradas.</w:t>
      </w:r>
    </w:p>
    <w:p w14:paraId="28EEEA97" w14:textId="77777777" w:rsidR="005846B1" w:rsidRPr="005846B1" w:rsidRDefault="005846B1" w:rsidP="005846B1">
      <w:pPr>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70AA7B58" w14:textId="77777777" w:rsidR="005846B1" w:rsidRPr="005846B1" w:rsidRDefault="005846B1" w:rsidP="005846B1">
      <w:pPr>
        <w:numPr>
          <w:ilvl w:val="0"/>
          <w:numId w:val="5"/>
        </w:numPr>
        <w:jc w:val="both"/>
        <w:textAlignment w:val="baseline"/>
        <w:rPr>
          <w:rFonts w:ascii="Verdana" w:eastAsia="Times New Roman" w:hAnsi="Verdana" w:cs="Times New Roman"/>
          <w:b/>
          <w:bCs/>
          <w:i/>
          <w:iCs/>
          <w:color w:val="000000"/>
          <w:kern w:val="0"/>
          <w:lang w:val="es-CO" w:eastAsia="es-MX"/>
          <w14:ligatures w14:val="none"/>
        </w:rPr>
      </w:pPr>
      <w:r w:rsidRPr="005846B1">
        <w:rPr>
          <w:rFonts w:ascii="Verdana" w:eastAsia="Times New Roman" w:hAnsi="Verdana" w:cs="Times New Roman"/>
          <w:b/>
          <w:bCs/>
          <w:i/>
          <w:iCs/>
          <w:color w:val="000000"/>
          <w:kern w:val="0"/>
          <w:lang w:val="es-CO" w:eastAsia="es-MX"/>
          <w14:ligatures w14:val="none"/>
        </w:rPr>
        <w:t>Si jurídicamente es procedente reliquidar vigencias anteriores del impuesto predial cuando se advierta que el incremento aplicado pudo desconocer los límites legales, y bajo qué condiciones.</w:t>
      </w:r>
    </w:p>
    <w:p w14:paraId="574ACCAA"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6B9A6C99"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La respuesta a esta inquietud dependerá del estado en el que se encuentren las situaciones jurídicas y de las actuaciones que hayan realizado los contribuyentes.</w:t>
      </w:r>
    </w:p>
    <w:p w14:paraId="1E45176E"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5BA09560"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Si la administración ha determinado oficialmente el impuesto a través de un acto administrativo que cumpla todos los requisitos para ser considerado título ejecutivo, en principio solo procedería su revocatoria con el consentimiento previo, expreso y escrito del respectivo particular, en los términos del artículo 97 del Código de Procedimiento Administrativo y de lo Contencioso Administrativo.</w:t>
      </w:r>
    </w:p>
    <w:p w14:paraId="3A8F697A"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2ACE52DA"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Si el contribuyente no da su consentimiento la administración debería acudir a la acción prevista en el inciso tercero del artículo 97 del mismo estatuto, el cual dispone:</w:t>
      </w:r>
    </w:p>
    <w:p w14:paraId="484D2D64"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53D33802" w14:textId="77777777" w:rsidR="005846B1" w:rsidRPr="005846B1" w:rsidRDefault="005846B1" w:rsidP="005846B1">
      <w:pPr>
        <w:ind w:left="709"/>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i/>
          <w:iCs/>
          <w:color w:val="000000"/>
          <w:kern w:val="0"/>
          <w:sz w:val="22"/>
          <w:szCs w:val="22"/>
          <w:lang w:val="es-CO" w:eastAsia="es-MX"/>
          <w14:ligatures w14:val="none"/>
        </w:rPr>
        <w:t>“Si la Administración considera que el acto ocurrió por medios ilegales o fraudulentos lo demandará sin acudir al procedimiento previo de conciliación y solicitará al juez su suspensión provisional.”</w:t>
      </w:r>
    </w:p>
    <w:p w14:paraId="69188708"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6D0123BB"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Ahora bien, si el contribuyente ha solicitado la corrección del acto administrativo en el proceso de discusión, consideramos que la administración se encuentra habilitada para realizar a revisión y ajuste correspondiente.</w:t>
      </w:r>
    </w:p>
    <w:p w14:paraId="5FC4B75D"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18BB6359"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Finalmente, y en el marco de las competencias de este Despacho de manera atenta les extendemos una invitación para la realización de una jornada de capacitación o una mesa técnica con los funcionarios de la administración para responder sus preguntas o brindarles acompañamiento técnico en los temas que requieran.</w:t>
      </w:r>
    </w:p>
    <w:p w14:paraId="67DF0AC5"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72AD25AB"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 xml:space="preserve">El evento se realizaría de manera presencial en las oficinas del Ministerio de Hacienda y Crédito Público ubicadas en la Carrera 8 No. 6 C 38 de la ciudad de Bogotá D.C. o de manera virtual a través de la plataforma </w:t>
      </w:r>
      <w:proofErr w:type="spellStart"/>
      <w:r w:rsidRPr="005846B1">
        <w:rPr>
          <w:rFonts w:ascii="Verdana" w:eastAsia="Times New Roman" w:hAnsi="Verdana" w:cs="Times New Roman"/>
          <w:color w:val="000000"/>
          <w:kern w:val="0"/>
          <w:lang w:val="es-CO" w:eastAsia="es-MX"/>
          <w14:ligatures w14:val="none"/>
        </w:rPr>
        <w:t>Teams</w:t>
      </w:r>
      <w:proofErr w:type="spellEnd"/>
      <w:r w:rsidRPr="005846B1">
        <w:rPr>
          <w:rFonts w:ascii="Verdana" w:eastAsia="Times New Roman" w:hAnsi="Verdana" w:cs="Times New Roman"/>
          <w:color w:val="000000"/>
          <w:kern w:val="0"/>
          <w:lang w:val="es-CO" w:eastAsia="es-MX"/>
          <w14:ligatures w14:val="none"/>
        </w:rPr>
        <w:t>, de acuerdo con su preferencia.</w:t>
      </w:r>
    </w:p>
    <w:p w14:paraId="778B05DB" w14:textId="77777777" w:rsidR="005846B1" w:rsidRPr="005846B1" w:rsidRDefault="005846B1" w:rsidP="005846B1">
      <w:pPr>
        <w:rPr>
          <w:rFonts w:ascii="Times New Roman" w:eastAsia="Times New Roman" w:hAnsi="Times New Roman" w:cs="Times New Roman"/>
          <w:kern w:val="0"/>
          <w:lang w:val="es-CO" w:eastAsia="es-MX"/>
          <w14:ligatures w14:val="none"/>
        </w:rPr>
      </w:pPr>
    </w:p>
    <w:p w14:paraId="2B6CA29D"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lastRenderedPageBreak/>
        <w:t>Para efectos de coordinar la fecha y hora de la reunión agradecemos proponer tres fechas en las que los funcionarios que atenderán la jornada estarán disponibles, para poder organizar la agenda de los capacitadores y remitir su respuesta a los correos electrónicos relacionciudadano@minhacienda.gov.co y apulido@minhacienda.gov.co</w:t>
      </w:r>
    </w:p>
    <w:p w14:paraId="01A724D9"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 </w:t>
      </w:r>
    </w:p>
    <w:p w14:paraId="043D5B13"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Finalmente le recordamos que las respuestas emitidas por este Despacho son de público conocimiento y pueden ser consultados en www.minhacienda.gov.co, siguiendo la ruta Procesos Misionales / Apoyo Fiscal Territorial / Conceptos en materia tributaria</w:t>
      </w:r>
    </w:p>
    <w:p w14:paraId="40DB8AE5" w14:textId="77777777" w:rsidR="005846B1" w:rsidRPr="005846B1" w:rsidRDefault="005846B1" w:rsidP="005846B1">
      <w:pPr>
        <w:spacing w:after="240"/>
        <w:rPr>
          <w:rFonts w:ascii="Times New Roman" w:eastAsia="Times New Roman" w:hAnsi="Times New Roman" w:cs="Times New Roman"/>
          <w:kern w:val="0"/>
          <w:lang w:val="es-CO" w:eastAsia="es-MX"/>
          <w14:ligatures w14:val="none"/>
        </w:rPr>
      </w:pPr>
    </w:p>
    <w:p w14:paraId="416C51DD"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Cordialmente</w:t>
      </w:r>
    </w:p>
    <w:p w14:paraId="738D6545" w14:textId="77777777" w:rsidR="005846B1" w:rsidRPr="005846B1" w:rsidRDefault="005846B1" w:rsidP="005846B1">
      <w:pPr>
        <w:spacing w:after="240"/>
        <w:rPr>
          <w:rFonts w:ascii="Times New Roman" w:eastAsia="Times New Roman" w:hAnsi="Times New Roman" w:cs="Times New Roman"/>
          <w:kern w:val="0"/>
          <w:lang w:val="es-CO" w:eastAsia="es-MX"/>
          <w14:ligatures w14:val="none"/>
        </w:rPr>
      </w:pPr>
      <w:r w:rsidRPr="005846B1">
        <w:rPr>
          <w:rFonts w:ascii="Times New Roman" w:eastAsia="Times New Roman" w:hAnsi="Times New Roman" w:cs="Times New Roman"/>
          <w:kern w:val="0"/>
          <w:lang w:val="es-CO" w:eastAsia="es-MX"/>
          <w14:ligatures w14:val="none"/>
        </w:rPr>
        <w:br/>
      </w:r>
    </w:p>
    <w:p w14:paraId="12730E0B"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b/>
          <w:bCs/>
          <w:color w:val="000000"/>
          <w:kern w:val="0"/>
          <w:lang w:val="es-CO" w:eastAsia="es-MX"/>
          <w14:ligatures w14:val="none"/>
        </w:rPr>
        <w:t>CLAUDIA HELENA OTÁLORA CRISTANCHO</w:t>
      </w:r>
    </w:p>
    <w:p w14:paraId="62EE66C7"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Subdirectora de Fortalecimiento Institucional Territorial</w:t>
      </w:r>
    </w:p>
    <w:p w14:paraId="6EE9D5A1" w14:textId="77777777" w:rsidR="005846B1" w:rsidRPr="005846B1" w:rsidRDefault="005846B1" w:rsidP="005846B1">
      <w:pPr>
        <w:jc w:val="both"/>
        <w:rPr>
          <w:rFonts w:ascii="Times New Roman" w:eastAsia="Times New Roman" w:hAnsi="Times New Roman" w:cs="Times New Roman"/>
          <w:kern w:val="0"/>
          <w:lang w:val="es-CO" w:eastAsia="es-MX"/>
          <w14:ligatures w14:val="none"/>
        </w:rPr>
      </w:pPr>
      <w:r w:rsidRPr="005846B1">
        <w:rPr>
          <w:rFonts w:ascii="Verdana" w:eastAsia="Times New Roman" w:hAnsi="Verdana" w:cs="Times New Roman"/>
          <w:color w:val="000000"/>
          <w:kern w:val="0"/>
          <w:lang w:val="es-CO" w:eastAsia="es-MX"/>
          <w14:ligatures w14:val="none"/>
        </w:rPr>
        <w:t>Dirección General de Apoyo Fiscal</w:t>
      </w:r>
    </w:p>
    <w:p w14:paraId="0B32F398" w14:textId="1BB56C90" w:rsidR="00537D8F" w:rsidRDefault="005846B1" w:rsidP="005846B1">
      <w:r w:rsidRPr="005846B1">
        <w:rPr>
          <w:rFonts w:ascii="Times New Roman" w:eastAsia="Times New Roman" w:hAnsi="Times New Roman" w:cs="Times New Roman"/>
          <w:kern w:val="0"/>
          <w:lang w:val="es-CO" w:eastAsia="es-MX"/>
          <w14:ligatures w14:val="none"/>
        </w:rPr>
        <w:br/>
      </w:r>
      <w:r w:rsidRPr="005846B1">
        <w:rPr>
          <w:rFonts w:ascii="Verdana" w:eastAsia="Times New Roman" w:hAnsi="Verdana" w:cs="Times New Roman"/>
          <w:b/>
          <w:bCs/>
          <w:color w:val="000000"/>
          <w:kern w:val="0"/>
          <w:lang w:val="es-CO" w:eastAsia="es-MX"/>
          <w14:ligatures w14:val="none"/>
        </w:rPr>
        <w:t>Anexos:</w:t>
      </w:r>
      <w:r w:rsidRPr="005846B1">
        <w:rPr>
          <w:rFonts w:ascii="Verdana" w:eastAsia="Times New Roman" w:hAnsi="Verdana" w:cs="Times New Roman"/>
          <w:color w:val="000000"/>
          <w:kern w:val="0"/>
          <w:lang w:val="es-CO" w:eastAsia="es-MX"/>
          <w14:ligatures w14:val="none"/>
        </w:rPr>
        <w:t xml:space="preserve"> Oficio No. 2-2020-052651</w:t>
      </w:r>
    </w:p>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07200C"/>
    <w:multiLevelType w:val="multilevel"/>
    <w:tmpl w:val="22B61186"/>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3BC67C7"/>
    <w:multiLevelType w:val="multilevel"/>
    <w:tmpl w:val="FB3842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FD61D9"/>
    <w:multiLevelType w:val="multilevel"/>
    <w:tmpl w:val="3EC434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48D16A6"/>
    <w:multiLevelType w:val="multilevel"/>
    <w:tmpl w:val="05CA9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B6409DA"/>
    <w:multiLevelType w:val="multilevel"/>
    <w:tmpl w:val="50DEEF0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13322633">
    <w:abstractNumId w:val="1"/>
  </w:num>
  <w:num w:numId="2" w16cid:durableId="1265698255">
    <w:abstractNumId w:val="4"/>
    <w:lvlOverride w:ilvl="0">
      <w:lvl w:ilvl="0">
        <w:numFmt w:val="decimal"/>
        <w:lvlText w:val="%1."/>
        <w:lvlJc w:val="left"/>
      </w:lvl>
    </w:lvlOverride>
  </w:num>
  <w:num w:numId="3" w16cid:durableId="828441364">
    <w:abstractNumId w:val="3"/>
  </w:num>
  <w:num w:numId="4" w16cid:durableId="615872742">
    <w:abstractNumId w:val="2"/>
    <w:lvlOverride w:ilvl="0">
      <w:lvl w:ilvl="0">
        <w:numFmt w:val="decimal"/>
        <w:lvlText w:val="%1."/>
        <w:lvlJc w:val="left"/>
      </w:lvl>
    </w:lvlOverride>
  </w:num>
  <w:num w:numId="5" w16cid:durableId="5304545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46B1"/>
    <w:rsid w:val="000B2285"/>
    <w:rsid w:val="00537D8F"/>
    <w:rsid w:val="005846B1"/>
    <w:rsid w:val="00B25A7E"/>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4BAC670"/>
  <w14:defaultImageDpi w14:val="32767"/>
  <w15:chartTrackingRefBased/>
  <w15:docId w15:val="{995FB4D9-DC79-EF49-87CA-A2650615B7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846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846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846B1"/>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846B1"/>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846B1"/>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846B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846B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846B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846B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846B1"/>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5846B1"/>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5846B1"/>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5846B1"/>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5846B1"/>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5846B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846B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846B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846B1"/>
    <w:rPr>
      <w:rFonts w:eastAsiaTheme="majorEastAsia" w:cstheme="majorBidi"/>
      <w:color w:val="272727" w:themeColor="text1" w:themeTint="D8"/>
    </w:rPr>
  </w:style>
  <w:style w:type="paragraph" w:styleId="Ttulo">
    <w:name w:val="Title"/>
    <w:basedOn w:val="Normal"/>
    <w:next w:val="Normal"/>
    <w:link w:val="TtuloCar"/>
    <w:uiPriority w:val="10"/>
    <w:qFormat/>
    <w:rsid w:val="005846B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846B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846B1"/>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846B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846B1"/>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846B1"/>
    <w:rPr>
      <w:i/>
      <w:iCs/>
      <w:color w:val="404040" w:themeColor="text1" w:themeTint="BF"/>
    </w:rPr>
  </w:style>
  <w:style w:type="paragraph" w:styleId="Prrafodelista">
    <w:name w:val="List Paragraph"/>
    <w:basedOn w:val="Normal"/>
    <w:uiPriority w:val="34"/>
    <w:qFormat/>
    <w:rsid w:val="005846B1"/>
    <w:pPr>
      <w:ind w:left="720"/>
      <w:contextualSpacing/>
    </w:pPr>
  </w:style>
  <w:style w:type="character" w:styleId="nfasisintenso">
    <w:name w:val="Intense Emphasis"/>
    <w:basedOn w:val="Fuentedeprrafopredeter"/>
    <w:uiPriority w:val="21"/>
    <w:qFormat/>
    <w:rsid w:val="005846B1"/>
    <w:rPr>
      <w:i/>
      <w:iCs/>
      <w:color w:val="2F5496" w:themeColor="accent1" w:themeShade="BF"/>
    </w:rPr>
  </w:style>
  <w:style w:type="paragraph" w:styleId="Citadestacada">
    <w:name w:val="Intense Quote"/>
    <w:basedOn w:val="Normal"/>
    <w:next w:val="Normal"/>
    <w:link w:val="CitadestacadaCar"/>
    <w:uiPriority w:val="30"/>
    <w:qFormat/>
    <w:rsid w:val="005846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846B1"/>
    <w:rPr>
      <w:i/>
      <w:iCs/>
      <w:color w:val="2F5496" w:themeColor="accent1" w:themeShade="BF"/>
    </w:rPr>
  </w:style>
  <w:style w:type="character" w:styleId="Referenciaintensa">
    <w:name w:val="Intense Reference"/>
    <w:basedOn w:val="Fuentedeprrafopredeter"/>
    <w:uiPriority w:val="32"/>
    <w:qFormat/>
    <w:rsid w:val="005846B1"/>
    <w:rPr>
      <w:b/>
      <w:bCs/>
      <w:smallCaps/>
      <w:color w:val="2F5496" w:themeColor="accent1" w:themeShade="BF"/>
      <w:spacing w:val="5"/>
    </w:rPr>
  </w:style>
  <w:style w:type="paragraph" w:styleId="NormalWeb">
    <w:name w:val="Normal (Web)"/>
    <w:basedOn w:val="Normal"/>
    <w:uiPriority w:val="99"/>
    <w:semiHidden/>
    <w:unhideWhenUsed/>
    <w:rsid w:val="005846B1"/>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584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1368</Words>
  <Characters>7526</Characters>
  <Application>Microsoft Office Word</Application>
  <DocSecurity>0</DocSecurity>
  <Lines>62</Lines>
  <Paragraphs>17</Paragraphs>
  <ScaleCrop>false</ScaleCrop>
  <Company/>
  <LinksUpToDate>false</LinksUpToDate>
  <CharactersWithSpaces>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2026-06-10T15:57:00Z</dcterms:created>
  <dcterms:modified xsi:type="dcterms:W3CDTF">2026-06-10T15:57:00Z</dcterms:modified>
</cp:coreProperties>
</file>