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AC1D8"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b/>
          <w:bCs/>
          <w:color w:val="000000"/>
          <w:kern w:val="0"/>
          <w:lang w:val="es-CO" w:eastAsia="es-MX"/>
          <w14:ligatures w14:val="none"/>
        </w:rPr>
        <w:t>CONCEPTO 329 DEL 9 DE MARZO DE 2026</w:t>
      </w:r>
    </w:p>
    <w:p w14:paraId="190B44AD"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b/>
          <w:bCs/>
          <w:color w:val="000000"/>
          <w:kern w:val="0"/>
          <w:lang w:val="es-CO" w:eastAsia="es-MX"/>
          <w14:ligatures w14:val="none"/>
        </w:rPr>
        <w:t>DIRECCIÓN DE IMPUESTOS Y ADUANAS NACIONALES</w:t>
      </w:r>
    </w:p>
    <w:p w14:paraId="60566614" w14:textId="77777777" w:rsidR="007A355E" w:rsidRPr="007A355E" w:rsidRDefault="007A355E" w:rsidP="007A355E">
      <w:pPr>
        <w:rPr>
          <w:rFonts w:ascii="Times New Roman" w:eastAsia="Times New Roman" w:hAnsi="Times New Roman" w:cs="Times New Roman"/>
          <w:kern w:val="0"/>
          <w:lang w:val="es-CO" w:eastAsia="es-MX"/>
          <w14:ligatures w14:val="none"/>
        </w:rPr>
      </w:pPr>
    </w:p>
    <w:p w14:paraId="6D97072C"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color w:val="000000"/>
          <w:kern w:val="0"/>
          <w:lang w:val="es-CO" w:eastAsia="es-MX"/>
          <w14:ligatures w14:val="none"/>
        </w:rPr>
        <w:t>Bogotá D.C.,</w:t>
      </w:r>
    </w:p>
    <w:p w14:paraId="55FB1121" w14:textId="77777777" w:rsidR="007A355E" w:rsidRPr="007A355E" w:rsidRDefault="007A355E" w:rsidP="007A355E">
      <w:pPr>
        <w:rPr>
          <w:rFonts w:ascii="Times New Roman" w:eastAsia="Times New Roman" w:hAnsi="Times New Roman" w:cs="Times New Roman"/>
          <w:kern w:val="0"/>
          <w:lang w:val="es-CO" w:eastAsia="es-MX"/>
          <w14:ligatures w14:val="none"/>
        </w:rPr>
      </w:pPr>
    </w:p>
    <w:p w14:paraId="1BCCF948"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b/>
          <w:bCs/>
          <w:color w:val="000000"/>
          <w:kern w:val="0"/>
          <w:lang w:val="es-CO" w:eastAsia="es-MX"/>
          <w14:ligatures w14:val="none"/>
        </w:rPr>
        <w:t>Tema:</w:t>
      </w:r>
      <w:r w:rsidRPr="007A355E">
        <w:rPr>
          <w:rFonts w:ascii="Verdana" w:eastAsia="Times New Roman" w:hAnsi="Verdana" w:cs="Times New Roman"/>
          <w:b/>
          <w:bCs/>
          <w:color w:val="000000"/>
          <w:kern w:val="0"/>
          <w:lang w:val="es-CO" w:eastAsia="es-MX"/>
          <w14:ligatures w14:val="none"/>
        </w:rPr>
        <w:tab/>
      </w:r>
      <w:r w:rsidRPr="007A355E">
        <w:rPr>
          <w:rFonts w:ascii="Verdana" w:eastAsia="Times New Roman" w:hAnsi="Verdana" w:cs="Times New Roman"/>
          <w:b/>
          <w:bCs/>
          <w:color w:val="000000"/>
          <w:kern w:val="0"/>
          <w:lang w:val="es-CO" w:eastAsia="es-MX"/>
          <w14:ligatures w14:val="none"/>
        </w:rPr>
        <w:tab/>
      </w:r>
      <w:r w:rsidRPr="007A355E">
        <w:rPr>
          <w:rFonts w:ascii="Verdana" w:eastAsia="Times New Roman" w:hAnsi="Verdana" w:cs="Times New Roman"/>
          <w:b/>
          <w:bCs/>
          <w:color w:val="000000"/>
          <w:kern w:val="0"/>
          <w:lang w:val="es-CO" w:eastAsia="es-MX"/>
          <w14:ligatures w14:val="none"/>
        </w:rPr>
        <w:tab/>
      </w:r>
      <w:r w:rsidRPr="007A355E">
        <w:rPr>
          <w:rFonts w:ascii="Verdana" w:eastAsia="Times New Roman" w:hAnsi="Verdana" w:cs="Times New Roman"/>
          <w:color w:val="000000"/>
          <w:kern w:val="0"/>
          <w:lang w:val="es-CO" w:eastAsia="es-MX"/>
          <w14:ligatures w14:val="none"/>
        </w:rPr>
        <w:t>Cambios</w:t>
      </w:r>
    </w:p>
    <w:p w14:paraId="2183EDEA" w14:textId="07BEA515" w:rsidR="007A355E" w:rsidRPr="007A355E" w:rsidRDefault="007A355E" w:rsidP="007A355E">
      <w:pPr>
        <w:ind w:left="2832" w:hanging="2832"/>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b/>
          <w:bCs/>
          <w:color w:val="000000"/>
          <w:kern w:val="0"/>
          <w:lang w:val="es-CO" w:eastAsia="es-MX"/>
          <w14:ligatures w14:val="none"/>
        </w:rPr>
        <w:t>Descriptor:</w:t>
      </w:r>
      <w:r w:rsidRPr="007A355E">
        <w:rPr>
          <w:rFonts w:ascii="Verdana" w:eastAsia="Times New Roman" w:hAnsi="Verdana" w:cs="Times New Roman"/>
          <w:b/>
          <w:bCs/>
          <w:color w:val="000000"/>
          <w:kern w:val="0"/>
          <w:lang w:val="es-CO" w:eastAsia="es-MX"/>
          <w14:ligatures w14:val="none"/>
        </w:rPr>
        <w:tab/>
      </w:r>
      <w:r w:rsidRPr="007A355E">
        <w:rPr>
          <w:rFonts w:ascii="Verdana" w:eastAsia="Times New Roman" w:hAnsi="Verdana" w:cs="Times New Roman"/>
          <w:color w:val="000000"/>
          <w:kern w:val="0"/>
          <w:lang w:val="es-CO" w:eastAsia="es-MX"/>
          <w14:ligatures w14:val="none"/>
        </w:rPr>
        <w:t>Reemplazo información exógena cambiaria y sanción del numeral 31 del artículo 3 del Decreto-ley 2245 de 2011.</w:t>
      </w:r>
    </w:p>
    <w:p w14:paraId="5D4AEAAB"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b/>
          <w:bCs/>
          <w:color w:val="000000"/>
          <w:kern w:val="0"/>
          <w:lang w:val="es-CO" w:eastAsia="es-MX"/>
          <w14:ligatures w14:val="none"/>
        </w:rPr>
        <w:t>Fuentes formales:</w:t>
      </w:r>
      <w:r w:rsidRPr="007A355E">
        <w:rPr>
          <w:rFonts w:ascii="Verdana" w:eastAsia="Times New Roman" w:hAnsi="Verdana" w:cs="Times New Roman"/>
          <w:b/>
          <w:bCs/>
          <w:color w:val="000000"/>
          <w:kern w:val="0"/>
          <w:lang w:val="es-CO" w:eastAsia="es-MX"/>
          <w14:ligatures w14:val="none"/>
        </w:rPr>
        <w:tab/>
      </w:r>
      <w:r w:rsidRPr="007A355E">
        <w:rPr>
          <w:rFonts w:ascii="Verdana" w:eastAsia="Times New Roman" w:hAnsi="Verdana" w:cs="Times New Roman"/>
          <w:color w:val="000000"/>
          <w:kern w:val="0"/>
          <w:lang w:val="es-CO" w:eastAsia="es-MX"/>
          <w14:ligatures w14:val="none"/>
        </w:rPr>
        <w:t>Resolución DIAN 000180 de 2024</w:t>
      </w:r>
    </w:p>
    <w:p w14:paraId="1E1998F6" w14:textId="77777777" w:rsidR="007A355E" w:rsidRPr="007A355E" w:rsidRDefault="007A355E" w:rsidP="007A355E">
      <w:pPr>
        <w:ind w:left="2836"/>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color w:val="000000"/>
          <w:kern w:val="0"/>
          <w:lang w:val="es-CO" w:eastAsia="es-MX"/>
          <w14:ligatures w14:val="none"/>
        </w:rPr>
        <w:t>Parágrafo del artículo 11 y numeral 31 del artículo 3 del Decreto-ley 2245 de 2011</w:t>
      </w:r>
    </w:p>
    <w:p w14:paraId="570DCBFD" w14:textId="77777777" w:rsidR="007A355E" w:rsidRPr="007A355E" w:rsidRDefault="007A355E" w:rsidP="007A355E">
      <w:pPr>
        <w:rPr>
          <w:rFonts w:ascii="Times New Roman" w:eastAsia="Times New Roman" w:hAnsi="Times New Roman" w:cs="Times New Roman"/>
          <w:kern w:val="0"/>
          <w:lang w:val="es-CO" w:eastAsia="es-MX"/>
          <w14:ligatures w14:val="none"/>
        </w:rPr>
      </w:pPr>
    </w:p>
    <w:p w14:paraId="475792B5"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color w:val="000000"/>
          <w:kern w:val="0"/>
          <w:lang w:val="es-CO" w:eastAsia="es-MX"/>
          <w14:ligatures w14:val="none"/>
        </w:rPr>
        <w:t>Cordial saludo.</w:t>
      </w:r>
    </w:p>
    <w:p w14:paraId="05A415E1"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02E81057" w14:textId="77777777" w:rsidR="007A355E" w:rsidRPr="007A355E" w:rsidRDefault="007A355E" w:rsidP="007A355E">
      <w:pPr>
        <w:numPr>
          <w:ilvl w:val="0"/>
          <w:numId w:val="1"/>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1BC7848B" w14:textId="77777777" w:rsidR="007A355E" w:rsidRPr="007A355E" w:rsidRDefault="007A355E" w:rsidP="007A355E">
      <w:pPr>
        <w:rPr>
          <w:rFonts w:ascii="Times New Roman" w:eastAsia="Times New Roman" w:hAnsi="Times New Roman" w:cs="Times New Roman"/>
          <w:kern w:val="0"/>
          <w:lang w:val="es-CO" w:eastAsia="es-MX"/>
          <w14:ligatures w14:val="none"/>
        </w:rPr>
      </w:pPr>
    </w:p>
    <w:p w14:paraId="50347F0C"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b/>
          <w:bCs/>
          <w:color w:val="000000"/>
          <w:kern w:val="0"/>
          <w:lang w:val="es-CO" w:eastAsia="es-MX"/>
          <w14:ligatures w14:val="none"/>
        </w:rPr>
        <w:t>PROBLEMA JURÍDICO.</w:t>
      </w:r>
    </w:p>
    <w:p w14:paraId="08FAC2D5"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17112632" w14:textId="77777777" w:rsidR="007A355E" w:rsidRPr="007A355E" w:rsidRDefault="007A355E" w:rsidP="007A355E">
      <w:pPr>
        <w:numPr>
          <w:ilvl w:val="0"/>
          <w:numId w:val="2"/>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¿El reemplazo de archivos XML (Concepto 02) previsto en la Resolución DIAN 000180 de 2024, realizado con posterioridad al vencimiento del plazo para la transmisión de la información exógena cambiaria, incide en la configuración de la infracción por envío extemporáneo prevista en el numeral 31 del artículo 3 del Decreto-ley 2245 de 2011 cuando se efectúa antes de la iniciación de actuación administrativa?</w:t>
      </w:r>
    </w:p>
    <w:p w14:paraId="07F30437" w14:textId="77777777" w:rsidR="007A355E" w:rsidRPr="007A355E" w:rsidRDefault="007A355E" w:rsidP="007A355E">
      <w:pPr>
        <w:rPr>
          <w:rFonts w:ascii="Times New Roman" w:eastAsia="Times New Roman" w:hAnsi="Times New Roman" w:cs="Times New Roman"/>
          <w:kern w:val="0"/>
          <w:lang w:val="es-CO" w:eastAsia="es-MX"/>
          <w14:ligatures w14:val="none"/>
        </w:rPr>
      </w:pPr>
    </w:p>
    <w:p w14:paraId="3C521F68" w14:textId="77777777" w:rsidR="007A355E" w:rsidRDefault="007A355E" w:rsidP="007A355E">
      <w:pPr>
        <w:jc w:val="both"/>
        <w:rPr>
          <w:rFonts w:ascii="Verdana" w:eastAsia="Times New Roman" w:hAnsi="Verdana" w:cs="Times New Roman"/>
          <w:b/>
          <w:bCs/>
          <w:color w:val="000000"/>
          <w:kern w:val="0"/>
          <w:lang w:val="es-CO" w:eastAsia="es-MX"/>
          <w14:ligatures w14:val="none"/>
        </w:rPr>
      </w:pPr>
    </w:p>
    <w:p w14:paraId="10F5605D" w14:textId="37CFDCB0"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b/>
          <w:bCs/>
          <w:color w:val="000000"/>
          <w:kern w:val="0"/>
          <w:lang w:val="es-CO" w:eastAsia="es-MX"/>
          <w14:ligatures w14:val="none"/>
        </w:rPr>
        <w:t>TESIS JURÍDICA.</w:t>
      </w:r>
    </w:p>
    <w:p w14:paraId="307E93F9"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02FF762D" w14:textId="77777777" w:rsidR="007A355E" w:rsidRPr="007A355E" w:rsidRDefault="007A355E" w:rsidP="007A355E">
      <w:pPr>
        <w:numPr>
          <w:ilvl w:val="0"/>
          <w:numId w:val="3"/>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 xml:space="preserve">A partir de la interpretación sistemática de la Resolución DIAN 000180 de 2024 y del Decreto Ley 2245 de 2011, puede concluirse que el reemplazo de archivos XML constituye un mecanismo de corrección de la información transmitida al sistema, que excluye la configuración de la infracción prevista en el numeral 31 del artículo 3 del Decreto-ley 2245 de 2011, siempre y cuando se efectúen con anterioridad a la notificación </w:t>
      </w:r>
      <w:r w:rsidRPr="007A355E">
        <w:rPr>
          <w:rFonts w:ascii="Verdana" w:eastAsia="Times New Roman" w:hAnsi="Verdana" w:cs="Times New Roman"/>
          <w:color w:val="000000"/>
          <w:kern w:val="0"/>
          <w:lang w:val="es-CO" w:eastAsia="es-MX"/>
          <w14:ligatures w14:val="none"/>
        </w:rPr>
        <w:lastRenderedPageBreak/>
        <w:t>del acto de formulación de cargos en donde se proponga la imposición de la sanción y dichos reemplazos no incluyan nuevas operaciones que se debieron informar en el reporte inicial o que corrijan reportes solicitados específicamente por la autoridad cambiaria.</w:t>
      </w:r>
    </w:p>
    <w:p w14:paraId="1D65511A" w14:textId="77777777" w:rsidR="007A355E" w:rsidRPr="007A355E" w:rsidRDefault="007A355E" w:rsidP="007A355E">
      <w:pPr>
        <w:rPr>
          <w:rFonts w:ascii="Times New Roman" w:eastAsia="Times New Roman" w:hAnsi="Times New Roman" w:cs="Times New Roman"/>
          <w:kern w:val="0"/>
          <w:lang w:val="es-CO" w:eastAsia="es-MX"/>
          <w14:ligatures w14:val="none"/>
        </w:rPr>
      </w:pPr>
    </w:p>
    <w:p w14:paraId="52E50121"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b/>
          <w:bCs/>
          <w:color w:val="000000"/>
          <w:kern w:val="0"/>
          <w:lang w:val="es-CO" w:eastAsia="es-MX"/>
          <w14:ligatures w14:val="none"/>
        </w:rPr>
        <w:t>FUNDAMENTACIÓN</w:t>
      </w:r>
    </w:p>
    <w:p w14:paraId="36691FB0"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79F16E76" w14:textId="77777777" w:rsidR="007A355E" w:rsidRPr="007A355E" w:rsidRDefault="007A355E" w:rsidP="007A355E">
      <w:pPr>
        <w:numPr>
          <w:ilvl w:val="0"/>
          <w:numId w:val="4"/>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Para la presentación, envío o transmisión de la información exógena cambiaria, los obligados deberán atender los términos y condiciones establecidos por la DIAN. En efecto, el artículo 2.2.1 de la Resolución 000180 de 2024 dispone los plazos para la transmisión de la información exógena cambiaria a través del Sistema de Información Cambiaria (SIE).</w:t>
      </w:r>
    </w:p>
    <w:p w14:paraId="3E27A8AB" w14:textId="77777777" w:rsidR="007A355E" w:rsidRPr="007A355E" w:rsidRDefault="007A355E" w:rsidP="007A355E">
      <w:pPr>
        <w:numPr>
          <w:ilvl w:val="0"/>
          <w:numId w:val="5"/>
        </w:numPr>
        <w:jc w:val="both"/>
        <w:textAlignment w:val="baseline"/>
        <w:rPr>
          <w:rFonts w:ascii="Verdana" w:eastAsia="Times New Roman" w:hAnsi="Verdana" w:cs="Times New Roman"/>
          <w:i/>
          <w:iCs/>
          <w:color w:val="000000"/>
          <w:kern w:val="0"/>
          <w:sz w:val="22"/>
          <w:szCs w:val="22"/>
          <w:lang w:val="es-CO" w:eastAsia="es-MX"/>
          <w14:ligatures w14:val="none"/>
        </w:rPr>
      </w:pPr>
      <w:r w:rsidRPr="007A355E">
        <w:rPr>
          <w:rFonts w:ascii="Verdana" w:eastAsia="Times New Roman" w:hAnsi="Verdana" w:cs="Times New Roman"/>
          <w:color w:val="000000"/>
          <w:kern w:val="0"/>
          <w:lang w:val="es-CO" w:eastAsia="es-MX"/>
          <w14:ligatures w14:val="none"/>
        </w:rPr>
        <w:t xml:space="preserve">El parágrafo del artículo 2.2.1 de la Resolución 000180 de 2024 prevé que los obligados podrán reemplazar en cualquier tiempo los archivos XML presentados inicialmente con el concepto número 1 “inserción/nuevo”, por archivos generados con el concepto número 2 “reemplazo”, aclara expresamente que dicha facultad se ejerce </w:t>
      </w:r>
      <w:r w:rsidRPr="007A355E">
        <w:rPr>
          <w:rFonts w:ascii="Verdana" w:eastAsia="Times New Roman" w:hAnsi="Verdana" w:cs="Times New Roman"/>
          <w:i/>
          <w:iCs/>
          <w:color w:val="000000"/>
          <w:kern w:val="0"/>
          <w:sz w:val="22"/>
          <w:szCs w:val="22"/>
          <w:lang w:val="es-CO" w:eastAsia="es-MX"/>
          <w14:ligatures w14:val="none"/>
        </w:rPr>
        <w:t>«sin perjuicio de lo establecido por el parágrafo del artículo 11 del Decreto-ley 2245 de 2011».</w:t>
      </w:r>
    </w:p>
    <w:p w14:paraId="127E6F15"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17782CA2" w14:textId="77777777" w:rsidR="007A355E" w:rsidRPr="007A355E" w:rsidRDefault="007A355E" w:rsidP="007A355E">
      <w:pPr>
        <w:numPr>
          <w:ilvl w:val="0"/>
          <w:numId w:val="6"/>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Esta previsión normativa permite concluir que el ordenamiento cambiario admite la sustitución o corrección posterior de la información transmitida al sistema. No obstante, la propia norma advierte que dicha facultad no puede entenderse de manera aislada de lo previsto en el parágrafo del artículo 11 del Decreto Ley 2245 de 2011 y del régimen sancionatorio cambiario previsto en el Decreto-ley 2245 de 2011.</w:t>
      </w:r>
    </w:p>
    <w:p w14:paraId="7854F892"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6ED1024E" w14:textId="77777777" w:rsidR="007A355E" w:rsidRPr="007A355E" w:rsidRDefault="007A355E" w:rsidP="007A355E">
      <w:pPr>
        <w:numPr>
          <w:ilvl w:val="0"/>
          <w:numId w:val="7"/>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 xml:space="preserve">El parágrafo del artículo 11 del Decreto Ley 2245 de 2011, señala: </w:t>
      </w:r>
      <w:r w:rsidRPr="007A355E">
        <w:rPr>
          <w:rFonts w:ascii="Verdana" w:eastAsia="Times New Roman" w:hAnsi="Verdana" w:cs="Times New Roman"/>
          <w:color w:val="000000"/>
          <w:kern w:val="0"/>
          <w:sz w:val="22"/>
          <w:szCs w:val="22"/>
          <w:u w:val="single"/>
          <w:lang w:val="es-CO" w:eastAsia="es-MX"/>
          <w14:ligatures w14:val="none"/>
        </w:rPr>
        <w:t>«El cumplimiento de las obligaciones o el saneamiento de las operaciones o actuaciones constitutivas de infracción cambiaria, en fecha posterior a la notificación del acto de formulación de cargos que haya propuesto sanción de multa por las mismas, no sanea o elimina la infracción</w:t>
      </w:r>
      <w:r w:rsidRPr="007A355E">
        <w:rPr>
          <w:rFonts w:ascii="Verdana" w:eastAsia="Times New Roman" w:hAnsi="Verdana" w:cs="Times New Roman"/>
          <w:color w:val="000000"/>
          <w:kern w:val="0"/>
          <w:sz w:val="22"/>
          <w:szCs w:val="22"/>
          <w:lang w:val="es-CO" w:eastAsia="es-MX"/>
          <w14:ligatures w14:val="none"/>
        </w:rPr>
        <w:t xml:space="preserve"> por la cual la Dirección de Impuestos y Aduanas Nacionales ha formulado el correspondiente acto».</w:t>
      </w:r>
      <w:r w:rsidRPr="007A355E">
        <w:rPr>
          <w:rFonts w:ascii="Verdana" w:eastAsia="Times New Roman" w:hAnsi="Verdana" w:cs="Times New Roman"/>
          <w:color w:val="000000"/>
          <w:kern w:val="0"/>
          <w:lang w:val="es-CO" w:eastAsia="es-MX"/>
          <w14:ligatures w14:val="none"/>
        </w:rPr>
        <w:t>(se subraya)</w:t>
      </w:r>
    </w:p>
    <w:p w14:paraId="6352618C"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6A751165" w14:textId="77777777" w:rsidR="007A355E" w:rsidRPr="007A355E" w:rsidRDefault="007A355E" w:rsidP="007A355E">
      <w:pPr>
        <w:numPr>
          <w:ilvl w:val="0"/>
          <w:numId w:val="8"/>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Nótese que la misma norma permite corregir o subsanar los errores o inexactitudes siempre y cuando estos se realicen antes de la notificación del acto de formulación de cargos.</w:t>
      </w:r>
    </w:p>
    <w:p w14:paraId="28295238"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5443F1DA" w14:textId="77777777" w:rsidR="007A355E" w:rsidRPr="007A355E" w:rsidRDefault="007A355E" w:rsidP="007A355E">
      <w:pPr>
        <w:numPr>
          <w:ilvl w:val="0"/>
          <w:numId w:val="9"/>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lastRenderedPageBreak/>
        <w:t>Por su parte el numeral 31 del artículo 3 del Decreto Ley 2245 de 2011, establece que el incumplimiento de la obligación del envío de la información exógena dentro del término previsto puede dar lugar a imposición de una sanción:</w:t>
      </w:r>
    </w:p>
    <w:p w14:paraId="4DA22B49" w14:textId="77777777" w:rsidR="007A355E" w:rsidRPr="007A355E" w:rsidRDefault="007A355E" w:rsidP="007A355E">
      <w:pPr>
        <w:rPr>
          <w:rFonts w:ascii="Times New Roman" w:eastAsia="Times New Roman" w:hAnsi="Times New Roman" w:cs="Times New Roman"/>
          <w:kern w:val="0"/>
          <w:lang w:val="es-CO" w:eastAsia="es-MX"/>
          <w14:ligatures w14:val="none"/>
        </w:rPr>
      </w:pPr>
    </w:p>
    <w:p w14:paraId="6163695B" w14:textId="77777777" w:rsidR="007A355E" w:rsidRPr="007A355E" w:rsidRDefault="007A355E" w:rsidP="007A355E">
      <w:pPr>
        <w:ind w:left="1418"/>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color w:val="000000"/>
          <w:kern w:val="0"/>
          <w:sz w:val="22"/>
          <w:szCs w:val="22"/>
          <w:lang w:val="es-CO" w:eastAsia="es-MX"/>
          <w14:ligatures w14:val="none"/>
        </w:rPr>
        <w:t xml:space="preserve">«(…) </w:t>
      </w:r>
      <w:r w:rsidRPr="007A355E">
        <w:rPr>
          <w:rFonts w:ascii="Verdana" w:eastAsia="Times New Roman" w:hAnsi="Verdana" w:cs="Times New Roman"/>
          <w:b/>
          <w:bCs/>
          <w:color w:val="000000"/>
          <w:kern w:val="0"/>
          <w:sz w:val="22"/>
          <w:szCs w:val="22"/>
          <w:lang w:val="es-CO" w:eastAsia="es-MX"/>
          <w14:ligatures w14:val="none"/>
        </w:rPr>
        <w:t>el envío en forma extemporánea de la información exógena cambiaria de acuerdo con los términos y condiciones señalados por la Dirección de Impuestos y Aduanas</w:t>
      </w:r>
      <w:r w:rsidRPr="007A355E">
        <w:rPr>
          <w:rFonts w:ascii="Verdana" w:eastAsia="Times New Roman" w:hAnsi="Verdana" w:cs="Times New Roman"/>
          <w:color w:val="000000"/>
          <w:kern w:val="0"/>
          <w:sz w:val="22"/>
          <w:szCs w:val="22"/>
          <w:lang w:val="es-CO" w:eastAsia="es-MX"/>
          <w14:ligatures w14:val="none"/>
        </w:rPr>
        <w:t xml:space="preserve"> Nacionales mediante la Resolución 09147 de 2006, o por la norma que haga sus veces, se impondrá una multa equivalente a veinticinco (25) unidades de valor tributario (UVT) por mes o fracción de mes de retardo sin exceder del equivalente a doscientas (200) unidades de valor tributario (UVT) por cada período incumplido (…)»</w:t>
      </w:r>
    </w:p>
    <w:p w14:paraId="3DCDC018"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194F321C" w14:textId="77777777" w:rsidR="007A355E" w:rsidRPr="007A355E" w:rsidRDefault="007A355E" w:rsidP="007A355E">
      <w:pPr>
        <w:numPr>
          <w:ilvl w:val="0"/>
          <w:numId w:val="10"/>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De conformidad con esta disposición, el elemento objetivo de la infracción consiste en el retardo en la transmisión de la información frente al plazo establecido por la administración. En otras palabras, la conducta sancionable se configura cuando la información exógena cambiaria no es transmitida dentro del término fijado por la autoridad competente, produciéndose un incumplimiento temporal de la obligación formal de reporte, lo dispuesto en el parágrafo del artículo 11 del Decreto Ley 2245 de 2011.</w:t>
      </w:r>
    </w:p>
    <w:p w14:paraId="0E422A66"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1B6156CF" w14:textId="77777777" w:rsidR="007A355E" w:rsidRPr="007A355E" w:rsidRDefault="007A355E" w:rsidP="007A355E">
      <w:pPr>
        <w:numPr>
          <w:ilvl w:val="0"/>
          <w:numId w:val="11"/>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Sobre este punto, el Consejo de Estado ha precisado que, tratándose de obligaciones sometidas a plazo, el incumplimiento se configura una vez vencido el término establecido para su cumplimiento:</w:t>
      </w:r>
    </w:p>
    <w:p w14:paraId="004C0F2E" w14:textId="77777777" w:rsidR="007A355E" w:rsidRPr="007A355E" w:rsidRDefault="007A355E" w:rsidP="007A355E">
      <w:pPr>
        <w:rPr>
          <w:rFonts w:ascii="Times New Roman" w:eastAsia="Times New Roman" w:hAnsi="Times New Roman" w:cs="Times New Roman"/>
          <w:kern w:val="0"/>
          <w:lang w:val="es-CO" w:eastAsia="es-MX"/>
          <w14:ligatures w14:val="none"/>
        </w:rPr>
      </w:pPr>
    </w:p>
    <w:p w14:paraId="00EF123C" w14:textId="77777777" w:rsidR="007A355E" w:rsidRPr="007A355E" w:rsidRDefault="007A355E" w:rsidP="007A355E">
      <w:pPr>
        <w:ind w:left="1418"/>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i/>
          <w:iCs/>
          <w:color w:val="000000"/>
          <w:kern w:val="0"/>
          <w:sz w:val="22"/>
          <w:szCs w:val="22"/>
          <w:lang w:val="es-CO" w:eastAsia="es-MX"/>
          <w14:ligatures w14:val="none"/>
        </w:rPr>
        <w:t>«(…) De otra parte, el incumplimiento de una obligación sometida a plazo sólo se configura una vez finalizado el día en que vence el término, es decir, cuando el plazo se haya extinguido sin que aquélla se hubiere satisfecho, por lo tanto, es al día siguiente cuando puede darse como causado el incumplimiento. Mientras el término esté corriendo, esto es, mientras no se extinga, no hay incumplimiento. En consecuencia, tratándose del término que tiene la Administración para investigar y sancionar, si es del caso, el hecho constitutivo del incumplimiento de una obligación, aquél no puede empezar a correr sino únicamente cuando concluya el plazo para el obligado. Un mismo día no puede servir para dos plazos que son necesariamente consecutivos (…)».</w:t>
      </w:r>
    </w:p>
    <w:p w14:paraId="6E9B35F4"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5371B5A8" w14:textId="77777777" w:rsidR="007A355E" w:rsidRPr="007A355E" w:rsidRDefault="007A355E" w:rsidP="007A355E">
      <w:pPr>
        <w:numPr>
          <w:ilvl w:val="0"/>
          <w:numId w:val="12"/>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 xml:space="preserve">Este criterio resulta concordante con lo dispuesto en el artículo 2 del Decreto Ley 2245 de 2011, el cual define la infracción cambiaria en </w:t>
      </w:r>
      <w:r w:rsidRPr="007A355E">
        <w:rPr>
          <w:rFonts w:ascii="Verdana" w:eastAsia="Times New Roman" w:hAnsi="Verdana" w:cs="Times New Roman"/>
          <w:color w:val="000000"/>
          <w:kern w:val="0"/>
          <w:lang w:val="es-CO" w:eastAsia="es-MX"/>
          <w14:ligatures w14:val="none"/>
        </w:rPr>
        <w:lastRenderedPageBreak/>
        <w:t>los siguientes términos: «La infracción cambiaria es una contravención administrativa de las disposiciones constitutivas del régimen cambiario vigentes al momento de la transgresión».</w:t>
      </w:r>
    </w:p>
    <w:p w14:paraId="4C52CF5D"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1FE9FAC1" w14:textId="77777777" w:rsidR="007A355E" w:rsidRPr="007A355E" w:rsidRDefault="007A355E" w:rsidP="007A355E">
      <w:pPr>
        <w:numPr>
          <w:ilvl w:val="0"/>
          <w:numId w:val="13"/>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Por lo anterior, esta facultad de corrección debe diferenciarse del momento en que se entiende cumplida la obligación de reporte, pues la primera se refiere a la modificación o actualización de la información transmitida, mientras que el segundo corresponde al cumplimiento oportuno del deber formal impuesto por la normativa cambiaria.</w:t>
      </w:r>
    </w:p>
    <w:p w14:paraId="6E457B07"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7A8DAF3B" w14:textId="77777777" w:rsidR="007A355E" w:rsidRPr="007A355E" w:rsidRDefault="007A355E" w:rsidP="007A355E">
      <w:pPr>
        <w:numPr>
          <w:ilvl w:val="0"/>
          <w:numId w:val="14"/>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 xml:space="preserve">A partir de la interpretación sistemática de la Resolución DIAN 000180 de 2024 y del Decreto Ley 2245 de 2011, puede concluirse que el reemplazo de archivos XML constituye un mecanismo de corrección de la información transmitida al sistema que atiende al cumplimiento del deber de informar de manera correcta, por ello no se pueden entender subsanados: i) los reemplazos que se realicen fuera de los plazos previstos que incluyan nuevas operaciones que se no informaron en el reporte inicial, o </w:t>
      </w:r>
      <w:proofErr w:type="spellStart"/>
      <w:r w:rsidRPr="007A355E">
        <w:rPr>
          <w:rFonts w:ascii="Verdana" w:eastAsia="Times New Roman" w:hAnsi="Verdana" w:cs="Times New Roman"/>
          <w:color w:val="000000"/>
          <w:kern w:val="0"/>
          <w:lang w:val="es-CO" w:eastAsia="es-MX"/>
          <w14:ligatures w14:val="none"/>
        </w:rPr>
        <w:t>ii</w:t>
      </w:r>
      <w:proofErr w:type="spellEnd"/>
      <w:r w:rsidRPr="007A355E">
        <w:rPr>
          <w:rFonts w:ascii="Verdana" w:eastAsia="Times New Roman" w:hAnsi="Verdana" w:cs="Times New Roman"/>
          <w:color w:val="000000"/>
          <w:kern w:val="0"/>
          <w:lang w:val="es-CO" w:eastAsia="es-MX"/>
          <w14:ligatures w14:val="none"/>
        </w:rPr>
        <w:t>) que corrijan reportes solicitados específicamente por la autoridad cambiaria. Por ello en estos 2 últimos casos no se excluye la configuración de la infracción por envío extemporáneo cuando el reporte de la información se realiza con posterioridad al vencimiento del plazo establecido por la DIAN, así se haya realizado antes de la notificación del acto de formulación de cargos.</w:t>
      </w:r>
    </w:p>
    <w:p w14:paraId="288855A8"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114AE52D" w14:textId="77777777" w:rsidR="007A355E" w:rsidRPr="007A355E" w:rsidRDefault="007A355E" w:rsidP="007A355E">
      <w:pPr>
        <w:numPr>
          <w:ilvl w:val="0"/>
          <w:numId w:val="15"/>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Finalmente, y para dar alcance a la pregunta frente al escenario en el cual el obligado hubiera efectuado inicialmente un envío dentro del término y posteriormente, se cancele dicho envío para realizar uno nuevo, supuesto en el cual la determinación del cumplimiento oportuno de la obligación dependería de la verificación de la transmisión efectivamente realizada dentro del plazo y que no se trate de los casos a los que se hace referencia en el párrafo anterior.</w:t>
      </w:r>
    </w:p>
    <w:p w14:paraId="0146AC58" w14:textId="77777777" w:rsidR="007A355E" w:rsidRPr="007A355E" w:rsidRDefault="007A355E" w:rsidP="007A355E">
      <w:pPr>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br/>
      </w:r>
    </w:p>
    <w:p w14:paraId="0F4E59E7" w14:textId="77777777" w:rsidR="007A355E" w:rsidRPr="007A355E" w:rsidRDefault="007A355E" w:rsidP="007A355E">
      <w:pPr>
        <w:numPr>
          <w:ilvl w:val="0"/>
          <w:numId w:val="16"/>
        </w:numPr>
        <w:jc w:val="both"/>
        <w:textAlignment w:val="baseline"/>
        <w:rPr>
          <w:rFonts w:ascii="Verdana" w:eastAsia="Times New Roman" w:hAnsi="Verdana" w:cs="Times New Roman"/>
          <w:color w:val="000000"/>
          <w:kern w:val="0"/>
          <w:lang w:val="es-CO" w:eastAsia="es-MX"/>
          <w14:ligatures w14:val="none"/>
        </w:rPr>
      </w:pPr>
      <w:r w:rsidRPr="007A355E">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4BDBB3A8" w14:textId="77777777" w:rsidR="007A355E" w:rsidRPr="007A355E" w:rsidRDefault="007A355E" w:rsidP="007A355E">
      <w:pPr>
        <w:spacing w:after="240"/>
        <w:rPr>
          <w:rFonts w:ascii="Times New Roman" w:eastAsia="Times New Roman" w:hAnsi="Times New Roman" w:cs="Times New Roman"/>
          <w:kern w:val="0"/>
          <w:lang w:val="es-CO" w:eastAsia="es-MX"/>
          <w14:ligatures w14:val="none"/>
        </w:rPr>
      </w:pPr>
    </w:p>
    <w:p w14:paraId="468816F9"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color w:val="000000"/>
          <w:kern w:val="0"/>
          <w:lang w:val="es-CO" w:eastAsia="es-MX"/>
          <w14:ligatures w14:val="none"/>
        </w:rPr>
        <w:t>Atentamente,</w:t>
      </w:r>
    </w:p>
    <w:p w14:paraId="6DE63601" w14:textId="77777777" w:rsidR="007A355E" w:rsidRPr="007A355E" w:rsidRDefault="007A355E" w:rsidP="007A355E">
      <w:pPr>
        <w:spacing w:after="240"/>
        <w:rPr>
          <w:rFonts w:ascii="Times New Roman" w:eastAsia="Times New Roman" w:hAnsi="Times New Roman" w:cs="Times New Roman"/>
          <w:kern w:val="0"/>
          <w:lang w:val="es-CO" w:eastAsia="es-MX"/>
          <w14:ligatures w14:val="none"/>
        </w:rPr>
      </w:pPr>
      <w:r w:rsidRPr="007A355E">
        <w:rPr>
          <w:rFonts w:ascii="Times New Roman" w:eastAsia="Times New Roman" w:hAnsi="Times New Roman" w:cs="Times New Roman"/>
          <w:kern w:val="0"/>
          <w:lang w:val="es-CO" w:eastAsia="es-MX"/>
          <w14:ligatures w14:val="none"/>
        </w:rPr>
        <w:lastRenderedPageBreak/>
        <w:br/>
      </w:r>
    </w:p>
    <w:p w14:paraId="33B2C59E"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b/>
          <w:bCs/>
          <w:color w:val="000000"/>
          <w:kern w:val="0"/>
          <w:lang w:val="es-CO" w:eastAsia="es-MX"/>
          <w14:ligatures w14:val="none"/>
        </w:rPr>
        <w:t>INGRID CASTAÑEDA CEPEDA</w:t>
      </w:r>
    </w:p>
    <w:p w14:paraId="6C53FE9C"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color w:val="000000"/>
          <w:kern w:val="0"/>
          <w:lang w:val="es-CO" w:eastAsia="es-MX"/>
          <w14:ligatures w14:val="none"/>
        </w:rPr>
        <w:t>Subdirectora de Normativa y Doctrina</w:t>
      </w:r>
    </w:p>
    <w:p w14:paraId="6D5B9A0F"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color w:val="000000"/>
          <w:kern w:val="0"/>
          <w:lang w:val="es-CO" w:eastAsia="es-MX"/>
          <w14:ligatures w14:val="none"/>
        </w:rPr>
        <w:t>Dirección de Gestión Jurídica – Nivel Central</w:t>
      </w:r>
    </w:p>
    <w:p w14:paraId="6E322729"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color w:val="000000"/>
          <w:kern w:val="0"/>
          <w:lang w:val="es-CO" w:eastAsia="es-MX"/>
          <w14:ligatures w14:val="none"/>
        </w:rPr>
        <w:t>U.A.E. Dirección de Impuestos y Aduanas Nacionales – DIAN</w:t>
      </w:r>
    </w:p>
    <w:p w14:paraId="15153786" w14:textId="77777777" w:rsidR="007A355E" w:rsidRPr="007A355E" w:rsidRDefault="007A355E" w:rsidP="007A355E">
      <w:pPr>
        <w:jc w:val="both"/>
        <w:rPr>
          <w:rFonts w:ascii="Times New Roman" w:eastAsia="Times New Roman" w:hAnsi="Times New Roman" w:cs="Times New Roman"/>
          <w:kern w:val="0"/>
          <w:lang w:val="es-CO" w:eastAsia="es-MX"/>
          <w14:ligatures w14:val="none"/>
        </w:rPr>
      </w:pPr>
      <w:r w:rsidRPr="007A355E">
        <w:rPr>
          <w:rFonts w:ascii="Verdana" w:eastAsia="Times New Roman" w:hAnsi="Verdana" w:cs="Times New Roman"/>
          <w:color w:val="000000"/>
          <w:kern w:val="0"/>
          <w:lang w:val="es-CO" w:eastAsia="es-MX"/>
          <w14:ligatures w14:val="none"/>
        </w:rPr>
        <w:t>Bogotá, D.C.</w:t>
      </w:r>
    </w:p>
    <w:p w14:paraId="69FFCB3F" w14:textId="77777777" w:rsidR="007A355E" w:rsidRPr="007A355E" w:rsidRDefault="007A355E" w:rsidP="007A355E">
      <w:pPr>
        <w:rPr>
          <w:rFonts w:ascii="Times New Roman" w:eastAsia="Times New Roman" w:hAnsi="Times New Roman" w:cs="Times New Roman"/>
          <w:kern w:val="0"/>
          <w:lang w:val="es-CO" w:eastAsia="es-MX"/>
          <w14:ligatures w14:val="none"/>
        </w:rPr>
      </w:pPr>
    </w:p>
    <w:p w14:paraId="4D0D8700"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B7404"/>
    <w:multiLevelType w:val="multilevel"/>
    <w:tmpl w:val="2CE47CA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0B5738"/>
    <w:multiLevelType w:val="multilevel"/>
    <w:tmpl w:val="A058EA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0443F9"/>
    <w:multiLevelType w:val="multilevel"/>
    <w:tmpl w:val="E918CFB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2534DF"/>
    <w:multiLevelType w:val="multilevel"/>
    <w:tmpl w:val="05B07A8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E73178"/>
    <w:multiLevelType w:val="multilevel"/>
    <w:tmpl w:val="01AA507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12C6D6E"/>
    <w:multiLevelType w:val="multilevel"/>
    <w:tmpl w:val="D63A157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5D77A31"/>
    <w:multiLevelType w:val="multilevel"/>
    <w:tmpl w:val="E9E6CE1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CC378EF"/>
    <w:multiLevelType w:val="multilevel"/>
    <w:tmpl w:val="5DFE760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D195011"/>
    <w:multiLevelType w:val="multilevel"/>
    <w:tmpl w:val="C8A051D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07F7AA8"/>
    <w:multiLevelType w:val="multilevel"/>
    <w:tmpl w:val="C544590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1866F37"/>
    <w:multiLevelType w:val="multilevel"/>
    <w:tmpl w:val="A82293B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31D67CA"/>
    <w:multiLevelType w:val="multilevel"/>
    <w:tmpl w:val="13F60A4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6AD243E"/>
    <w:multiLevelType w:val="multilevel"/>
    <w:tmpl w:val="281AC3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7C21148"/>
    <w:multiLevelType w:val="multilevel"/>
    <w:tmpl w:val="686435D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B204FDE"/>
    <w:multiLevelType w:val="multilevel"/>
    <w:tmpl w:val="A156F05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99339744">
    <w:abstractNumId w:val="12"/>
  </w:num>
  <w:num w:numId="2" w16cid:durableId="1674069604">
    <w:abstractNumId w:val="1"/>
    <w:lvlOverride w:ilvl="0">
      <w:lvl w:ilvl="0">
        <w:numFmt w:val="decimal"/>
        <w:lvlText w:val="%1."/>
        <w:lvlJc w:val="left"/>
      </w:lvl>
    </w:lvlOverride>
  </w:num>
  <w:num w:numId="3" w16cid:durableId="1303652575">
    <w:abstractNumId w:val="6"/>
    <w:lvlOverride w:ilvl="0">
      <w:lvl w:ilvl="0">
        <w:numFmt w:val="decimal"/>
        <w:lvlText w:val="%1."/>
        <w:lvlJc w:val="left"/>
      </w:lvl>
    </w:lvlOverride>
  </w:num>
  <w:num w:numId="4" w16cid:durableId="679820824">
    <w:abstractNumId w:val="2"/>
    <w:lvlOverride w:ilvl="0">
      <w:lvl w:ilvl="0">
        <w:numFmt w:val="decimal"/>
        <w:lvlText w:val="%1."/>
        <w:lvlJc w:val="left"/>
      </w:lvl>
    </w:lvlOverride>
  </w:num>
  <w:num w:numId="5" w16cid:durableId="1048914794">
    <w:abstractNumId w:val="2"/>
    <w:lvlOverride w:ilvl="0">
      <w:lvl w:ilvl="0">
        <w:numFmt w:val="decimal"/>
        <w:lvlText w:val="%1."/>
        <w:lvlJc w:val="left"/>
      </w:lvl>
    </w:lvlOverride>
  </w:num>
  <w:num w:numId="6" w16cid:durableId="1133980992">
    <w:abstractNumId w:val="0"/>
    <w:lvlOverride w:ilvl="0">
      <w:lvl w:ilvl="0">
        <w:numFmt w:val="decimal"/>
        <w:lvlText w:val="%1."/>
        <w:lvlJc w:val="left"/>
      </w:lvl>
    </w:lvlOverride>
  </w:num>
  <w:num w:numId="7" w16cid:durableId="979845227">
    <w:abstractNumId w:val="4"/>
    <w:lvlOverride w:ilvl="0">
      <w:lvl w:ilvl="0">
        <w:numFmt w:val="decimal"/>
        <w:lvlText w:val="%1."/>
        <w:lvlJc w:val="left"/>
      </w:lvl>
    </w:lvlOverride>
  </w:num>
  <w:num w:numId="8" w16cid:durableId="474226071">
    <w:abstractNumId w:val="10"/>
    <w:lvlOverride w:ilvl="0">
      <w:lvl w:ilvl="0">
        <w:numFmt w:val="decimal"/>
        <w:lvlText w:val="%1."/>
        <w:lvlJc w:val="left"/>
      </w:lvl>
    </w:lvlOverride>
  </w:num>
  <w:num w:numId="9" w16cid:durableId="1660572863">
    <w:abstractNumId w:val="14"/>
    <w:lvlOverride w:ilvl="0">
      <w:lvl w:ilvl="0">
        <w:numFmt w:val="decimal"/>
        <w:lvlText w:val="%1."/>
        <w:lvlJc w:val="left"/>
      </w:lvl>
    </w:lvlOverride>
  </w:num>
  <w:num w:numId="10" w16cid:durableId="526329819">
    <w:abstractNumId w:val="11"/>
    <w:lvlOverride w:ilvl="0">
      <w:lvl w:ilvl="0">
        <w:numFmt w:val="decimal"/>
        <w:lvlText w:val="%1."/>
        <w:lvlJc w:val="left"/>
      </w:lvl>
    </w:lvlOverride>
  </w:num>
  <w:num w:numId="11" w16cid:durableId="358900991">
    <w:abstractNumId w:val="13"/>
    <w:lvlOverride w:ilvl="0">
      <w:lvl w:ilvl="0">
        <w:numFmt w:val="decimal"/>
        <w:lvlText w:val="%1."/>
        <w:lvlJc w:val="left"/>
      </w:lvl>
    </w:lvlOverride>
  </w:num>
  <w:num w:numId="12" w16cid:durableId="648632836">
    <w:abstractNumId w:val="3"/>
    <w:lvlOverride w:ilvl="0">
      <w:lvl w:ilvl="0">
        <w:numFmt w:val="decimal"/>
        <w:lvlText w:val="%1."/>
        <w:lvlJc w:val="left"/>
      </w:lvl>
    </w:lvlOverride>
  </w:num>
  <w:num w:numId="13" w16cid:durableId="678119459">
    <w:abstractNumId w:val="8"/>
    <w:lvlOverride w:ilvl="0">
      <w:lvl w:ilvl="0">
        <w:numFmt w:val="decimal"/>
        <w:lvlText w:val="%1."/>
        <w:lvlJc w:val="left"/>
      </w:lvl>
    </w:lvlOverride>
  </w:num>
  <w:num w:numId="14" w16cid:durableId="277376647">
    <w:abstractNumId w:val="5"/>
    <w:lvlOverride w:ilvl="0">
      <w:lvl w:ilvl="0">
        <w:numFmt w:val="decimal"/>
        <w:lvlText w:val="%1."/>
        <w:lvlJc w:val="left"/>
      </w:lvl>
    </w:lvlOverride>
  </w:num>
  <w:num w:numId="15" w16cid:durableId="2049841102">
    <w:abstractNumId w:val="9"/>
    <w:lvlOverride w:ilvl="0">
      <w:lvl w:ilvl="0">
        <w:numFmt w:val="decimal"/>
        <w:lvlText w:val="%1."/>
        <w:lvlJc w:val="left"/>
      </w:lvl>
    </w:lvlOverride>
  </w:num>
  <w:num w:numId="16" w16cid:durableId="1309167182">
    <w:abstractNumId w:val="7"/>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55E"/>
    <w:rsid w:val="000B2285"/>
    <w:rsid w:val="00537D8F"/>
    <w:rsid w:val="007A355E"/>
    <w:rsid w:val="009E0E92"/>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E5FEC9C"/>
  <w14:defaultImageDpi w14:val="32767"/>
  <w15:chartTrackingRefBased/>
  <w15:docId w15:val="{28A02D33-952B-6944-948C-54D448BEF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A355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A355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A355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A355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A355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A355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A355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A355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A355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A355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A355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A355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A355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A355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A355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A355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A355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A355E"/>
    <w:rPr>
      <w:rFonts w:eastAsiaTheme="majorEastAsia" w:cstheme="majorBidi"/>
      <w:color w:val="272727" w:themeColor="text1" w:themeTint="D8"/>
    </w:rPr>
  </w:style>
  <w:style w:type="paragraph" w:styleId="Ttulo">
    <w:name w:val="Title"/>
    <w:basedOn w:val="Normal"/>
    <w:next w:val="Normal"/>
    <w:link w:val="TtuloCar"/>
    <w:uiPriority w:val="10"/>
    <w:qFormat/>
    <w:rsid w:val="007A355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A355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A355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A355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A355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A355E"/>
    <w:rPr>
      <w:i/>
      <w:iCs/>
      <w:color w:val="404040" w:themeColor="text1" w:themeTint="BF"/>
    </w:rPr>
  </w:style>
  <w:style w:type="paragraph" w:styleId="Prrafodelista">
    <w:name w:val="List Paragraph"/>
    <w:basedOn w:val="Normal"/>
    <w:uiPriority w:val="34"/>
    <w:qFormat/>
    <w:rsid w:val="007A355E"/>
    <w:pPr>
      <w:ind w:left="720"/>
      <w:contextualSpacing/>
    </w:pPr>
  </w:style>
  <w:style w:type="character" w:styleId="nfasisintenso">
    <w:name w:val="Intense Emphasis"/>
    <w:basedOn w:val="Fuentedeprrafopredeter"/>
    <w:uiPriority w:val="21"/>
    <w:qFormat/>
    <w:rsid w:val="007A355E"/>
    <w:rPr>
      <w:i/>
      <w:iCs/>
      <w:color w:val="2F5496" w:themeColor="accent1" w:themeShade="BF"/>
    </w:rPr>
  </w:style>
  <w:style w:type="paragraph" w:styleId="Citadestacada">
    <w:name w:val="Intense Quote"/>
    <w:basedOn w:val="Normal"/>
    <w:next w:val="Normal"/>
    <w:link w:val="CitadestacadaCar"/>
    <w:uiPriority w:val="30"/>
    <w:qFormat/>
    <w:rsid w:val="007A355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A355E"/>
    <w:rPr>
      <w:i/>
      <w:iCs/>
      <w:color w:val="2F5496" w:themeColor="accent1" w:themeShade="BF"/>
    </w:rPr>
  </w:style>
  <w:style w:type="character" w:styleId="Referenciaintensa">
    <w:name w:val="Intense Reference"/>
    <w:basedOn w:val="Fuentedeprrafopredeter"/>
    <w:uiPriority w:val="32"/>
    <w:qFormat/>
    <w:rsid w:val="007A355E"/>
    <w:rPr>
      <w:b/>
      <w:bCs/>
      <w:smallCaps/>
      <w:color w:val="2F5496" w:themeColor="accent1" w:themeShade="BF"/>
      <w:spacing w:val="5"/>
    </w:rPr>
  </w:style>
  <w:style w:type="paragraph" w:styleId="NormalWeb">
    <w:name w:val="Normal (Web)"/>
    <w:basedOn w:val="Normal"/>
    <w:uiPriority w:val="99"/>
    <w:semiHidden/>
    <w:unhideWhenUsed/>
    <w:rsid w:val="007A355E"/>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7A35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1300</Words>
  <Characters>7150</Characters>
  <Application>Microsoft Office Word</Application>
  <DocSecurity>0</DocSecurity>
  <Lines>59</Lines>
  <Paragraphs>16</Paragraphs>
  <ScaleCrop>false</ScaleCrop>
  <Company/>
  <LinksUpToDate>false</LinksUpToDate>
  <CharactersWithSpaces>8434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2026-06-01T14:30:00Z</dcterms:created>
  <dcterms:modified xsi:type="dcterms:W3CDTF">2026-06-01T14:31:00Z</dcterms:modified>
</cp:coreProperties>
</file>