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E8A7D" w14:textId="77777777" w:rsidR="00010209" w:rsidRPr="00010209" w:rsidRDefault="00010209" w:rsidP="00010209">
      <w:pPr>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b/>
          <w:bCs/>
          <w:color w:val="000000"/>
          <w:kern w:val="0"/>
          <w:lang w:val="es-CO" w:eastAsia="es-MX"/>
          <w14:ligatures w14:val="none"/>
        </w:rPr>
        <w:t>CONCEPTO 539 DEL 20 DE ABRIL DE 2026</w:t>
      </w:r>
    </w:p>
    <w:p w14:paraId="66D3C0D7" w14:textId="77777777" w:rsidR="00010209" w:rsidRPr="00010209" w:rsidRDefault="00010209" w:rsidP="00010209">
      <w:pPr>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b/>
          <w:bCs/>
          <w:color w:val="000000"/>
          <w:kern w:val="0"/>
          <w:lang w:val="es-CO" w:eastAsia="es-MX"/>
          <w14:ligatures w14:val="none"/>
        </w:rPr>
        <w:t>DIRECCIÓN DE IMPUESTOS Y ADUANAS NACIONALES</w:t>
      </w:r>
    </w:p>
    <w:p w14:paraId="6499D35E" w14:textId="77777777" w:rsidR="00010209" w:rsidRPr="00010209" w:rsidRDefault="00010209" w:rsidP="00010209">
      <w:pPr>
        <w:rPr>
          <w:rFonts w:ascii="Times New Roman" w:eastAsia="Times New Roman" w:hAnsi="Times New Roman" w:cs="Times New Roman"/>
          <w:kern w:val="0"/>
          <w:lang w:val="es-CO" w:eastAsia="es-MX"/>
          <w14:ligatures w14:val="none"/>
        </w:rPr>
      </w:pPr>
    </w:p>
    <w:p w14:paraId="7C4EA020" w14:textId="77777777" w:rsidR="00010209" w:rsidRPr="00010209" w:rsidRDefault="00010209" w:rsidP="00010209">
      <w:pPr>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color w:val="000000"/>
          <w:kern w:val="0"/>
          <w:lang w:val="es-CO" w:eastAsia="es-MX"/>
          <w14:ligatures w14:val="none"/>
        </w:rPr>
        <w:t>Bogotá D.C.,</w:t>
      </w:r>
    </w:p>
    <w:p w14:paraId="6F61E9CD" w14:textId="77777777" w:rsidR="00010209" w:rsidRPr="00010209" w:rsidRDefault="00010209" w:rsidP="00010209">
      <w:pPr>
        <w:rPr>
          <w:rFonts w:ascii="Times New Roman" w:eastAsia="Times New Roman" w:hAnsi="Times New Roman" w:cs="Times New Roman"/>
          <w:kern w:val="0"/>
          <w:lang w:val="es-CO" w:eastAsia="es-MX"/>
          <w14:ligatures w14:val="none"/>
        </w:rPr>
      </w:pPr>
    </w:p>
    <w:p w14:paraId="1A53592F" w14:textId="77777777" w:rsidR="00010209" w:rsidRPr="00010209" w:rsidRDefault="00010209" w:rsidP="00010209">
      <w:pPr>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b/>
          <w:bCs/>
          <w:color w:val="000000"/>
          <w:kern w:val="0"/>
          <w:lang w:val="es-CO" w:eastAsia="es-MX"/>
          <w14:ligatures w14:val="none"/>
        </w:rPr>
        <w:t>Tema:</w:t>
      </w:r>
      <w:r w:rsidRPr="00010209">
        <w:rPr>
          <w:rFonts w:ascii="Verdana" w:eastAsia="Times New Roman" w:hAnsi="Verdana" w:cs="Times New Roman"/>
          <w:b/>
          <w:bCs/>
          <w:color w:val="000000"/>
          <w:kern w:val="0"/>
          <w:lang w:val="es-CO" w:eastAsia="es-MX"/>
          <w14:ligatures w14:val="none"/>
        </w:rPr>
        <w:tab/>
      </w:r>
      <w:r w:rsidRPr="00010209">
        <w:rPr>
          <w:rFonts w:ascii="Verdana" w:eastAsia="Times New Roman" w:hAnsi="Verdana" w:cs="Times New Roman"/>
          <w:b/>
          <w:bCs/>
          <w:color w:val="000000"/>
          <w:kern w:val="0"/>
          <w:lang w:val="es-CO" w:eastAsia="es-MX"/>
          <w14:ligatures w14:val="none"/>
        </w:rPr>
        <w:tab/>
      </w:r>
      <w:r w:rsidRPr="00010209">
        <w:rPr>
          <w:rFonts w:ascii="Verdana" w:eastAsia="Times New Roman" w:hAnsi="Verdana" w:cs="Times New Roman"/>
          <w:b/>
          <w:bCs/>
          <w:color w:val="000000"/>
          <w:kern w:val="0"/>
          <w:lang w:val="es-CO" w:eastAsia="es-MX"/>
          <w14:ligatures w14:val="none"/>
        </w:rPr>
        <w:tab/>
      </w:r>
      <w:r w:rsidRPr="00010209">
        <w:rPr>
          <w:rFonts w:ascii="Verdana" w:eastAsia="Times New Roman" w:hAnsi="Verdana" w:cs="Times New Roman"/>
          <w:color w:val="000000"/>
          <w:kern w:val="0"/>
          <w:lang w:val="es-CO" w:eastAsia="es-MX"/>
          <w14:ligatures w14:val="none"/>
        </w:rPr>
        <w:t>Estampilla pro Universidad Nacional de Colombia</w:t>
      </w:r>
    </w:p>
    <w:p w14:paraId="0A910F5C" w14:textId="77777777" w:rsidR="00010209" w:rsidRPr="00010209" w:rsidRDefault="00010209" w:rsidP="00010209">
      <w:pPr>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b/>
          <w:bCs/>
          <w:color w:val="000000"/>
          <w:kern w:val="0"/>
          <w:lang w:val="es-CO" w:eastAsia="es-MX"/>
          <w14:ligatures w14:val="none"/>
        </w:rPr>
        <w:t>Descriptores:</w:t>
      </w:r>
      <w:r w:rsidRPr="00010209">
        <w:rPr>
          <w:rFonts w:ascii="Verdana" w:eastAsia="Times New Roman" w:hAnsi="Verdana" w:cs="Times New Roman"/>
          <w:b/>
          <w:bCs/>
          <w:color w:val="000000"/>
          <w:kern w:val="0"/>
          <w:lang w:val="es-CO" w:eastAsia="es-MX"/>
          <w14:ligatures w14:val="none"/>
        </w:rPr>
        <w:tab/>
      </w:r>
      <w:r w:rsidRPr="00010209">
        <w:rPr>
          <w:rFonts w:ascii="Verdana" w:eastAsia="Times New Roman" w:hAnsi="Verdana" w:cs="Times New Roman"/>
          <w:b/>
          <w:bCs/>
          <w:color w:val="000000"/>
          <w:kern w:val="0"/>
          <w:lang w:val="es-CO" w:eastAsia="es-MX"/>
          <w14:ligatures w14:val="none"/>
        </w:rPr>
        <w:tab/>
      </w:r>
      <w:r w:rsidRPr="00010209">
        <w:rPr>
          <w:rFonts w:ascii="Verdana" w:eastAsia="Times New Roman" w:hAnsi="Verdana" w:cs="Times New Roman"/>
          <w:color w:val="000000"/>
          <w:kern w:val="0"/>
          <w:lang w:val="es-CO" w:eastAsia="es-MX"/>
          <w14:ligatures w14:val="none"/>
        </w:rPr>
        <w:t>Hecho generador</w:t>
      </w:r>
    </w:p>
    <w:p w14:paraId="7A06E122" w14:textId="77777777" w:rsidR="00010209" w:rsidRPr="00010209" w:rsidRDefault="00010209" w:rsidP="00010209">
      <w:pPr>
        <w:ind w:left="2127" w:firstLine="709"/>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color w:val="000000"/>
          <w:kern w:val="0"/>
          <w:lang w:val="es-CO" w:eastAsia="es-MX"/>
          <w14:ligatures w14:val="none"/>
        </w:rPr>
        <w:t>Factor objetivo</w:t>
      </w:r>
    </w:p>
    <w:p w14:paraId="74F7D5B3" w14:textId="77777777" w:rsidR="00010209" w:rsidRPr="00010209" w:rsidRDefault="00010209" w:rsidP="00010209">
      <w:pPr>
        <w:ind w:left="2836"/>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color w:val="000000"/>
          <w:kern w:val="0"/>
          <w:lang w:val="es-CO" w:eastAsia="es-MX"/>
          <w14:ligatures w14:val="none"/>
        </w:rPr>
        <w:t>Mantenimiento de redes de servicios públicos domiciliarios</w:t>
      </w:r>
    </w:p>
    <w:p w14:paraId="62CE3A12" w14:textId="77777777" w:rsidR="00010209" w:rsidRPr="00010209" w:rsidRDefault="00010209" w:rsidP="00010209">
      <w:pPr>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b/>
          <w:bCs/>
          <w:color w:val="000000"/>
          <w:kern w:val="0"/>
          <w:lang w:val="es-CO" w:eastAsia="es-MX"/>
          <w14:ligatures w14:val="none"/>
        </w:rPr>
        <w:t>Fuentes formales:</w:t>
      </w:r>
      <w:r w:rsidRPr="00010209">
        <w:rPr>
          <w:rFonts w:ascii="Verdana" w:eastAsia="Times New Roman" w:hAnsi="Verdana" w:cs="Times New Roman"/>
          <w:b/>
          <w:bCs/>
          <w:color w:val="000000"/>
          <w:kern w:val="0"/>
          <w:lang w:val="es-CO" w:eastAsia="es-MX"/>
          <w14:ligatures w14:val="none"/>
        </w:rPr>
        <w:tab/>
      </w:r>
      <w:r w:rsidRPr="00010209">
        <w:rPr>
          <w:rFonts w:ascii="Verdana" w:eastAsia="Times New Roman" w:hAnsi="Verdana" w:cs="Times New Roman"/>
          <w:color w:val="000000"/>
          <w:kern w:val="0"/>
          <w:lang w:val="es-CO" w:eastAsia="es-MX"/>
          <w14:ligatures w14:val="none"/>
        </w:rPr>
        <w:t>Artículo 32 de la Ley 80 de 1993</w:t>
      </w:r>
    </w:p>
    <w:p w14:paraId="1C96C318" w14:textId="77777777" w:rsidR="00010209" w:rsidRPr="00010209" w:rsidRDefault="00010209" w:rsidP="00010209">
      <w:pPr>
        <w:ind w:left="2127" w:firstLine="709"/>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color w:val="000000"/>
          <w:kern w:val="0"/>
          <w:lang w:val="es-CO" w:eastAsia="es-MX"/>
          <w14:ligatures w14:val="none"/>
        </w:rPr>
        <w:t>Artículo 5 de la Ley 1697 de 2013</w:t>
      </w:r>
    </w:p>
    <w:p w14:paraId="5EC7418A" w14:textId="77777777" w:rsidR="00010209" w:rsidRPr="00010209" w:rsidRDefault="00010209" w:rsidP="00010209">
      <w:pPr>
        <w:ind w:left="2836"/>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color w:val="000000"/>
          <w:kern w:val="0"/>
          <w:lang w:val="es-CO" w:eastAsia="es-MX"/>
          <w14:ligatures w14:val="none"/>
        </w:rPr>
        <w:t>CONSEJO DE ESTADO. Sala de Consulta y Servicio Civil. Concepto 2386 del 5 de septiembre de 2018.</w:t>
      </w:r>
    </w:p>
    <w:p w14:paraId="1D2A3276" w14:textId="77777777" w:rsidR="00010209" w:rsidRPr="00010209" w:rsidRDefault="00010209" w:rsidP="00010209">
      <w:pPr>
        <w:ind w:left="2836"/>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color w:val="000000"/>
          <w:kern w:val="0"/>
          <w:lang w:val="es-CO" w:eastAsia="es-MX"/>
          <w14:ligatures w14:val="none"/>
        </w:rPr>
        <w:t>CONSEJO DE ESTADO. Sentencia del 7 de abril de 2022. Sección Cuarta. Expediente 11001-03-27-000-2021-00016-00 (25500).</w:t>
      </w:r>
    </w:p>
    <w:p w14:paraId="76DE9ED9" w14:textId="77777777" w:rsidR="00010209" w:rsidRPr="00010209" w:rsidRDefault="00010209" w:rsidP="00010209">
      <w:pPr>
        <w:rPr>
          <w:rFonts w:ascii="Times New Roman" w:eastAsia="Times New Roman" w:hAnsi="Times New Roman" w:cs="Times New Roman"/>
          <w:kern w:val="0"/>
          <w:lang w:val="es-CO" w:eastAsia="es-MX"/>
          <w14:ligatures w14:val="none"/>
        </w:rPr>
      </w:pPr>
    </w:p>
    <w:p w14:paraId="5580DDB2" w14:textId="77777777" w:rsidR="00010209" w:rsidRPr="00010209" w:rsidRDefault="00010209" w:rsidP="00010209">
      <w:pPr>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color w:val="000000"/>
          <w:kern w:val="0"/>
          <w:lang w:val="es-CO" w:eastAsia="es-MX"/>
          <w14:ligatures w14:val="none"/>
        </w:rPr>
        <w:t>Cordial saludo</w:t>
      </w:r>
    </w:p>
    <w:p w14:paraId="4BC5E109"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0156FB47" w14:textId="77777777" w:rsidR="00010209" w:rsidRPr="00010209" w:rsidRDefault="00010209" w:rsidP="00010209">
      <w:pPr>
        <w:numPr>
          <w:ilvl w:val="0"/>
          <w:numId w:val="1"/>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00F28094"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723B6091" w14:textId="77777777" w:rsidR="00010209" w:rsidRPr="00010209" w:rsidRDefault="00010209" w:rsidP="00010209">
      <w:pPr>
        <w:numPr>
          <w:ilvl w:val="0"/>
          <w:numId w:val="2"/>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El consultante elabora una serie de interrogantes dirigidos a obtener claridad sobre si los servicios de mantenimiento de redes y similares, prestados por una empresa de servicios públicos y en el marco de un contrato cuyo objeto principal es la prestación de servicios públicos domiciliarios, están gravados con la contribución parafiscal estampilla pro Universidad Nacional y, en caso afirmativo, cual debería el valor que debería tomarse como referencia para la liquidación de la misma.</w:t>
      </w:r>
    </w:p>
    <w:p w14:paraId="6AF485DB"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41C018B9" w14:textId="77777777" w:rsidR="00010209" w:rsidRPr="00010209" w:rsidRDefault="00010209" w:rsidP="00010209">
      <w:pPr>
        <w:numPr>
          <w:ilvl w:val="0"/>
          <w:numId w:val="3"/>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Al respecto, se considera:</w:t>
      </w:r>
    </w:p>
    <w:p w14:paraId="018135EC"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54FE4180" w14:textId="77777777" w:rsidR="00010209" w:rsidRPr="00010209" w:rsidRDefault="00010209" w:rsidP="00010209">
      <w:pPr>
        <w:numPr>
          <w:ilvl w:val="0"/>
          <w:numId w:val="4"/>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 xml:space="preserve">Sea lo primero advertir que no le corresponde a esta Subdirección pronunciarse sobre situaciones de carácter particular ni prestar asesoría específica, por lo que corresponderá al consultante definir, en su caso </w:t>
      </w:r>
      <w:r w:rsidRPr="00010209">
        <w:rPr>
          <w:rFonts w:ascii="Verdana" w:eastAsia="Times New Roman" w:hAnsi="Verdana" w:cs="Times New Roman"/>
          <w:color w:val="000000"/>
          <w:kern w:val="0"/>
          <w:lang w:val="es-CO" w:eastAsia="es-MX"/>
          <w14:ligatures w14:val="none"/>
        </w:rPr>
        <w:lastRenderedPageBreak/>
        <w:t>particular, las obligaciones tributarias sustanciales y formales a las que haya lugar.</w:t>
      </w:r>
    </w:p>
    <w:p w14:paraId="3923B021"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2928C51F" w14:textId="77777777" w:rsidR="00010209" w:rsidRPr="00010209" w:rsidRDefault="00010209" w:rsidP="00010209">
      <w:pPr>
        <w:numPr>
          <w:ilvl w:val="0"/>
          <w:numId w:val="5"/>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El artículo 5o de la Ley 1697 de 2013, dispone que el hecho generador de la estampilla es:</w:t>
      </w:r>
    </w:p>
    <w:p w14:paraId="1C1EF5A7" w14:textId="77777777" w:rsidR="00010209" w:rsidRPr="00010209" w:rsidRDefault="00010209" w:rsidP="00010209">
      <w:pPr>
        <w:rPr>
          <w:rFonts w:ascii="Times New Roman" w:eastAsia="Times New Roman" w:hAnsi="Times New Roman" w:cs="Times New Roman"/>
          <w:kern w:val="0"/>
          <w:lang w:val="es-CO" w:eastAsia="es-MX"/>
          <w14:ligatures w14:val="none"/>
        </w:rPr>
      </w:pPr>
    </w:p>
    <w:p w14:paraId="6AC2D4C4" w14:textId="77777777" w:rsidR="00010209" w:rsidRPr="00010209" w:rsidRDefault="00010209" w:rsidP="00010209">
      <w:pPr>
        <w:ind w:left="1418"/>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i/>
          <w:iCs/>
          <w:color w:val="000000"/>
          <w:kern w:val="0"/>
          <w:sz w:val="22"/>
          <w:szCs w:val="22"/>
          <w:lang w:val="es-CO" w:eastAsia="es-MX"/>
          <w14:ligatures w14:val="none"/>
        </w:rPr>
        <w:t>“Artículo 5o. HECHO GENERADOR. Está constituido por todo contrato de obra que suscriban las entidades del orden nacional, definidas por el artículo 2º de la Ley 80 de 1993, en cualquier lugar del territorio en donde se ejecute la obra, sus adiciones en dinero y en cualquiera que sea la modalidad de pago del precio del contrato. En tal caso, el hecho generador se extiende a los contratos conexos al de obra, esto es: diseño, operación, mantenimiento o interventoría y demás definidos en la Ley 80 de 1993, artículo 32 numeral 2.</w:t>
      </w:r>
    </w:p>
    <w:p w14:paraId="4F695FE2" w14:textId="77777777" w:rsidR="00010209" w:rsidRPr="00010209" w:rsidRDefault="00010209" w:rsidP="00010209">
      <w:pPr>
        <w:ind w:left="1418"/>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i/>
          <w:iCs/>
          <w:color w:val="000000"/>
          <w:kern w:val="0"/>
          <w:sz w:val="22"/>
          <w:szCs w:val="22"/>
          <w:lang w:val="es-CO" w:eastAsia="es-MX"/>
          <w14:ligatures w14:val="none"/>
        </w:rPr>
        <w:t>(…)”</w:t>
      </w:r>
      <w:r w:rsidRPr="00010209">
        <w:rPr>
          <w:rFonts w:ascii="Verdana" w:eastAsia="Times New Roman" w:hAnsi="Verdana" w:cs="Times New Roman"/>
          <w:color w:val="000000"/>
          <w:kern w:val="0"/>
          <w:sz w:val="22"/>
          <w:szCs w:val="22"/>
          <w:lang w:val="es-CO" w:eastAsia="es-MX"/>
          <w14:ligatures w14:val="none"/>
        </w:rPr>
        <w:t xml:space="preserve"> (Subrayado fuera del texto)</w:t>
      </w:r>
    </w:p>
    <w:p w14:paraId="18904489"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71A1F0AB" w14:textId="77777777" w:rsidR="00010209" w:rsidRPr="00010209" w:rsidRDefault="00010209" w:rsidP="00010209">
      <w:pPr>
        <w:numPr>
          <w:ilvl w:val="0"/>
          <w:numId w:val="6"/>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La pregunta formulada por el peticionario no permite establecer con claridad este elemento subjetivo, por lo que se deberá determinar a partir de los elementos doctrinales expuestos en este oficio si se configura o no.</w:t>
      </w:r>
    </w:p>
    <w:p w14:paraId="6C9AB319"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05D5C457" w14:textId="77777777" w:rsidR="00010209" w:rsidRPr="00010209" w:rsidRDefault="00010209" w:rsidP="00010209">
      <w:pPr>
        <w:numPr>
          <w:ilvl w:val="0"/>
          <w:numId w:val="7"/>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Hecha la anterior precisión, en cuanto al elemento objetivo la doctrina oficial de la DIAN, para establecer la configuración del hecho generador de la contribución parafiscal estampilla pro Universidad Nacional, ha determinado que la prestación de servicios de mantenimiento en bienes inmuebles son considerados en nuestra legislación como contratos de obra.</w:t>
      </w:r>
    </w:p>
    <w:p w14:paraId="74D9F3A0"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68643FE7" w14:textId="77777777" w:rsidR="00010209" w:rsidRPr="00010209" w:rsidRDefault="00010209" w:rsidP="00010209">
      <w:pPr>
        <w:numPr>
          <w:ilvl w:val="0"/>
          <w:numId w:val="8"/>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Como elemento para tener en cuenta al momento de clasificar una actividad de mantenimiento como una obra se requiere, tal y como lo ha advertido esta Subdirección, que dicho mantenimiento se dirija a corregir o enmendar los deterioros o menoscabos producidos en el tiempo por el uso natural del bien inmueble, de manera tal que se pueda garantizar el adecuado funcionamiento de este.</w:t>
      </w:r>
    </w:p>
    <w:p w14:paraId="68F467A4"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0338FFE9" w14:textId="77777777" w:rsidR="00010209" w:rsidRPr="00010209" w:rsidRDefault="00010209" w:rsidP="00010209">
      <w:pPr>
        <w:numPr>
          <w:ilvl w:val="0"/>
          <w:numId w:val="9"/>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 xml:space="preserve">Además de lo anterior y siguiendo la lectura del articulo el artículo 32 de la Ley 80 de 1993, al tenerse que el contrato de mantenimiento como una especie del contrato de obra, deben darse una serie de elementos que permitan establecer que la intervención material, derivada del mismo, es de aquellas actividades que la norma califica como </w:t>
      </w:r>
      <w:r w:rsidRPr="00010209">
        <w:rPr>
          <w:rFonts w:ascii="Verdana" w:eastAsia="Times New Roman" w:hAnsi="Verdana" w:cs="Times New Roman"/>
          <w:color w:val="000000"/>
          <w:kern w:val="0"/>
          <w:lang w:val="es-CO" w:eastAsia="es-MX"/>
          <w14:ligatures w14:val="none"/>
        </w:rPr>
        <w:lastRenderedPageBreak/>
        <w:t>verdaderas obras en el inmueble y la diferencia de otras posibles intervenciones en el marco contractual.</w:t>
      </w:r>
    </w:p>
    <w:p w14:paraId="3CBE2E64"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67067444" w14:textId="77777777" w:rsidR="00010209" w:rsidRPr="00010209" w:rsidRDefault="00010209" w:rsidP="00010209">
      <w:pPr>
        <w:numPr>
          <w:ilvl w:val="0"/>
          <w:numId w:val="10"/>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 xml:space="preserve">Estos elementos que deben confluir en el contrato de mantenimiento, para que la intervención material derivada del mismo sea considerada como una obra, son: i) recaer sobre un bien inmueble, </w:t>
      </w:r>
      <w:proofErr w:type="spellStart"/>
      <w:r w:rsidRPr="00010209">
        <w:rPr>
          <w:rFonts w:ascii="Verdana" w:eastAsia="Times New Roman" w:hAnsi="Verdana" w:cs="Times New Roman"/>
          <w:color w:val="000000"/>
          <w:kern w:val="0"/>
          <w:lang w:val="es-CO" w:eastAsia="es-MX"/>
          <w14:ligatures w14:val="none"/>
        </w:rPr>
        <w:t>ii</w:t>
      </w:r>
      <w:proofErr w:type="spellEnd"/>
      <w:r w:rsidRPr="00010209">
        <w:rPr>
          <w:rFonts w:ascii="Verdana" w:eastAsia="Times New Roman" w:hAnsi="Verdana" w:cs="Times New Roman"/>
          <w:color w:val="000000"/>
          <w:kern w:val="0"/>
          <w:lang w:val="es-CO" w:eastAsia="es-MX"/>
          <w14:ligatures w14:val="none"/>
        </w:rPr>
        <w:t xml:space="preserve">) que la prestación a realizar quede incorporada al inmueble y </w:t>
      </w:r>
      <w:proofErr w:type="spellStart"/>
      <w:r w:rsidRPr="00010209">
        <w:rPr>
          <w:rFonts w:ascii="Verdana" w:eastAsia="Times New Roman" w:hAnsi="Verdana" w:cs="Times New Roman"/>
          <w:color w:val="000000"/>
          <w:kern w:val="0"/>
          <w:lang w:val="es-CO" w:eastAsia="es-MX"/>
          <w14:ligatures w14:val="none"/>
        </w:rPr>
        <w:t>iii</w:t>
      </w:r>
      <w:proofErr w:type="spellEnd"/>
      <w:r w:rsidRPr="00010209">
        <w:rPr>
          <w:rFonts w:ascii="Verdana" w:eastAsia="Times New Roman" w:hAnsi="Verdana" w:cs="Times New Roman"/>
          <w:color w:val="000000"/>
          <w:kern w:val="0"/>
          <w:lang w:val="es-CO" w:eastAsia="es-MX"/>
          <w14:ligatures w14:val="none"/>
        </w:rPr>
        <w:t>) que el mantenimiento tenga como objetivo permitir que el inmueble pueda seguir funcionando de manera adecuada.</w:t>
      </w:r>
    </w:p>
    <w:p w14:paraId="7DA73F8C"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143DDED0" w14:textId="77777777" w:rsidR="00010209" w:rsidRPr="00010209" w:rsidRDefault="00010209" w:rsidP="00010209">
      <w:pPr>
        <w:numPr>
          <w:ilvl w:val="0"/>
          <w:numId w:val="11"/>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En este punto, conviene precisar que si bien el elemento objetivo para establecer si se configura o no el hecho generador de la contribución parafiscal estampilla pro universidad nacional, no distingue en principio si la actividad se realiza en el marco de un contrato que responda a la denominación de “contrato de mantenimiento”, el H. Consejo de Estado ha aclarado que la ley no otorga margen de interpretación que permita ampliar el hecho generador a modalidades contractuales distintas de las expresamente previstas en el artículo 5 de la Ley 1697 de 2013, aun cuando estas puedan incluir prestaciones materiales similares a las obras públicas.</w:t>
      </w:r>
    </w:p>
    <w:p w14:paraId="24999C45"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340CBA37" w14:textId="77777777" w:rsidR="00010209" w:rsidRPr="00010209" w:rsidRDefault="00010209" w:rsidP="00010209">
      <w:pPr>
        <w:numPr>
          <w:ilvl w:val="0"/>
          <w:numId w:val="12"/>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Finalmente, para efectos de la liquidación de la contribución parafiscal estampilla pro Universidad Nacional, el mismo numeral 1 del artículo 32 de la Ley 80 de 1993 al establecer que la realización del trabajo material sobre bienes inmuebles constituye una “obra” y, por ende gravada, con independencia de la modalidad de ejecución o pago, ha establecido de manera general la premisa que debe seguirse para su liquidación.</w:t>
      </w:r>
    </w:p>
    <w:p w14:paraId="67509DD4"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1AC3C3A8" w14:textId="77777777" w:rsidR="00010209" w:rsidRPr="00010209" w:rsidRDefault="00010209" w:rsidP="00010209">
      <w:pPr>
        <w:numPr>
          <w:ilvl w:val="0"/>
          <w:numId w:val="13"/>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En efecto, tratándose de contratos con objetos mixtos, la doctrina oficial de la DIAN ha precisado que cuando el objeto contractual esté conformado por prestaciones diversas, deberá determinarse si las mismas constituyen una unidad funcional dirigida a la correcta ejecución de la obra pública.</w:t>
      </w:r>
    </w:p>
    <w:p w14:paraId="6335BE40"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1FD07C43" w14:textId="77777777" w:rsidR="00010209" w:rsidRPr="00010209" w:rsidRDefault="00010209" w:rsidP="00010209">
      <w:pPr>
        <w:numPr>
          <w:ilvl w:val="0"/>
          <w:numId w:val="14"/>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 xml:space="preserve">De lo anterior, se desprenden dos situaciones: i) que pueda predicarse la unidad funcional de obra de las prestaciones del contrato, evento en el cual la base gravable del tributo comprenderá el valor total de dicha unidad funcional o, </w:t>
      </w:r>
      <w:proofErr w:type="spellStart"/>
      <w:r w:rsidRPr="00010209">
        <w:rPr>
          <w:rFonts w:ascii="Verdana" w:eastAsia="Times New Roman" w:hAnsi="Verdana" w:cs="Times New Roman"/>
          <w:color w:val="000000"/>
          <w:kern w:val="0"/>
          <w:lang w:val="es-CO" w:eastAsia="es-MX"/>
          <w14:ligatures w14:val="none"/>
        </w:rPr>
        <w:t>ii</w:t>
      </w:r>
      <w:proofErr w:type="spellEnd"/>
      <w:r w:rsidRPr="00010209">
        <w:rPr>
          <w:rFonts w:ascii="Verdana" w:eastAsia="Times New Roman" w:hAnsi="Verdana" w:cs="Times New Roman"/>
          <w:color w:val="000000"/>
          <w:kern w:val="0"/>
          <w:lang w:val="es-CO" w:eastAsia="es-MX"/>
          <w14:ligatures w14:val="none"/>
        </w:rPr>
        <w:t xml:space="preserve">) no pueda predicarse la unidad funcional de obra, por ser actividades autónomas y no conexas, evento en que la </w:t>
      </w:r>
      <w:r w:rsidRPr="00010209">
        <w:rPr>
          <w:rFonts w:ascii="Verdana" w:eastAsia="Times New Roman" w:hAnsi="Verdana" w:cs="Times New Roman"/>
          <w:color w:val="000000"/>
          <w:kern w:val="0"/>
          <w:lang w:val="es-CO" w:eastAsia="es-MX"/>
          <w14:ligatures w14:val="none"/>
        </w:rPr>
        <w:lastRenderedPageBreak/>
        <w:t>base gravable se determinará solamente por los valores atribuibles a la obra y a los contratos conexos.</w:t>
      </w:r>
    </w:p>
    <w:p w14:paraId="1C3BD61B"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3E919363" w14:textId="77777777" w:rsidR="00010209" w:rsidRPr="00010209" w:rsidRDefault="00010209" w:rsidP="00010209">
      <w:pPr>
        <w:numPr>
          <w:ilvl w:val="0"/>
          <w:numId w:val="15"/>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De esta forma, corresponde al contribuyente y/o responsable de la contribución parafiscal estampilla pro Universidad Nacional, establecer de acuerdo con las prestaciones del contrato, si estas constituyen o no unidad funcional a fin de determinar la base gravable para su correspondiente liquidación.</w:t>
      </w:r>
    </w:p>
    <w:p w14:paraId="71D0250A" w14:textId="77777777" w:rsidR="00010209" w:rsidRPr="00010209" w:rsidRDefault="00010209" w:rsidP="00010209">
      <w:pPr>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5929D5EF" w14:textId="77777777" w:rsidR="00010209" w:rsidRPr="00010209" w:rsidRDefault="00010209" w:rsidP="00010209">
      <w:pPr>
        <w:numPr>
          <w:ilvl w:val="0"/>
          <w:numId w:val="16"/>
        </w:numPr>
        <w:jc w:val="both"/>
        <w:textAlignment w:val="baseline"/>
        <w:rPr>
          <w:rFonts w:ascii="Verdana" w:eastAsia="Times New Roman" w:hAnsi="Verdana" w:cs="Times New Roman"/>
          <w:color w:val="000000"/>
          <w:kern w:val="0"/>
          <w:lang w:val="es-CO" w:eastAsia="es-MX"/>
          <w14:ligatures w14:val="none"/>
        </w:rPr>
      </w:pPr>
      <w:r w:rsidRPr="00010209">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350121D8" w14:textId="77777777" w:rsidR="00010209" w:rsidRPr="00010209" w:rsidRDefault="00010209" w:rsidP="00010209">
      <w:pPr>
        <w:spacing w:after="240"/>
        <w:rPr>
          <w:rFonts w:ascii="Times New Roman" w:eastAsia="Times New Roman" w:hAnsi="Times New Roman" w:cs="Times New Roman"/>
          <w:kern w:val="0"/>
          <w:lang w:val="es-CO" w:eastAsia="es-MX"/>
          <w14:ligatures w14:val="none"/>
        </w:rPr>
      </w:pPr>
    </w:p>
    <w:p w14:paraId="077C2427" w14:textId="77777777" w:rsidR="00010209" w:rsidRPr="00010209" w:rsidRDefault="00010209" w:rsidP="00010209">
      <w:pPr>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color w:val="000000"/>
          <w:kern w:val="0"/>
          <w:lang w:val="es-CO" w:eastAsia="es-MX"/>
          <w14:ligatures w14:val="none"/>
        </w:rPr>
        <w:t>Atentamente,</w:t>
      </w:r>
    </w:p>
    <w:p w14:paraId="4083A6FD" w14:textId="77777777" w:rsidR="00010209" w:rsidRPr="00010209" w:rsidRDefault="00010209" w:rsidP="00010209">
      <w:pPr>
        <w:spacing w:after="240"/>
        <w:rPr>
          <w:rFonts w:ascii="Times New Roman" w:eastAsia="Times New Roman" w:hAnsi="Times New Roman" w:cs="Times New Roman"/>
          <w:kern w:val="0"/>
          <w:lang w:val="es-CO" w:eastAsia="es-MX"/>
          <w14:ligatures w14:val="none"/>
        </w:rPr>
      </w:pPr>
      <w:r w:rsidRPr="00010209">
        <w:rPr>
          <w:rFonts w:ascii="Times New Roman" w:eastAsia="Times New Roman" w:hAnsi="Times New Roman" w:cs="Times New Roman"/>
          <w:kern w:val="0"/>
          <w:lang w:val="es-CO" w:eastAsia="es-MX"/>
          <w14:ligatures w14:val="none"/>
        </w:rPr>
        <w:br/>
      </w:r>
    </w:p>
    <w:p w14:paraId="15AA01F1" w14:textId="77777777" w:rsidR="00010209" w:rsidRPr="00010209" w:rsidRDefault="00010209" w:rsidP="00010209">
      <w:pPr>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b/>
          <w:bCs/>
          <w:color w:val="000000"/>
          <w:kern w:val="0"/>
          <w:lang w:val="es-CO" w:eastAsia="es-MX"/>
          <w14:ligatures w14:val="none"/>
        </w:rPr>
        <w:t>INGRID CASTAÑEDA CEPEDA</w:t>
      </w:r>
    </w:p>
    <w:p w14:paraId="36193FB6" w14:textId="77777777" w:rsidR="00010209" w:rsidRPr="00010209" w:rsidRDefault="00010209" w:rsidP="00010209">
      <w:pPr>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color w:val="000000"/>
          <w:kern w:val="0"/>
          <w:lang w:val="es-CO" w:eastAsia="es-MX"/>
          <w14:ligatures w14:val="none"/>
        </w:rPr>
        <w:t>Subdirectora de Normativa y Doctrina (A)</w:t>
      </w:r>
    </w:p>
    <w:p w14:paraId="01ADF5B3" w14:textId="77777777" w:rsidR="00010209" w:rsidRPr="00010209" w:rsidRDefault="00010209" w:rsidP="00010209">
      <w:pPr>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color w:val="000000"/>
          <w:kern w:val="0"/>
          <w:lang w:val="es-CO" w:eastAsia="es-MX"/>
          <w14:ligatures w14:val="none"/>
        </w:rPr>
        <w:t>Subdirección de Normativa y Doctrina</w:t>
      </w:r>
    </w:p>
    <w:p w14:paraId="09B77992" w14:textId="77777777" w:rsidR="00010209" w:rsidRPr="00010209" w:rsidRDefault="00010209" w:rsidP="00010209">
      <w:pPr>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color w:val="000000"/>
          <w:kern w:val="0"/>
          <w:lang w:val="es-CO" w:eastAsia="es-MX"/>
          <w14:ligatures w14:val="none"/>
        </w:rPr>
        <w:t>Dirección de Gestión Jurídica</w:t>
      </w:r>
    </w:p>
    <w:p w14:paraId="5EBF8997" w14:textId="77777777" w:rsidR="00010209" w:rsidRPr="00010209" w:rsidRDefault="00010209" w:rsidP="00010209">
      <w:pPr>
        <w:jc w:val="both"/>
        <w:rPr>
          <w:rFonts w:ascii="Times New Roman" w:eastAsia="Times New Roman" w:hAnsi="Times New Roman" w:cs="Times New Roman"/>
          <w:kern w:val="0"/>
          <w:lang w:val="es-CO" w:eastAsia="es-MX"/>
          <w14:ligatures w14:val="none"/>
        </w:rPr>
      </w:pPr>
      <w:r w:rsidRPr="00010209">
        <w:rPr>
          <w:rFonts w:ascii="Verdana" w:eastAsia="Times New Roman" w:hAnsi="Verdana" w:cs="Times New Roman"/>
          <w:color w:val="000000"/>
          <w:kern w:val="0"/>
          <w:u w:val="single"/>
          <w:lang w:val="es-CO" w:eastAsia="es-MX"/>
          <w14:ligatures w14:val="none"/>
        </w:rPr>
        <w:t>www.dian.gov.co</w:t>
      </w:r>
    </w:p>
    <w:p w14:paraId="750E557D" w14:textId="77777777" w:rsidR="00010209" w:rsidRPr="00010209" w:rsidRDefault="00010209" w:rsidP="00010209">
      <w:pPr>
        <w:rPr>
          <w:rFonts w:ascii="Times New Roman" w:eastAsia="Times New Roman" w:hAnsi="Times New Roman" w:cs="Times New Roman"/>
          <w:kern w:val="0"/>
          <w:lang w:val="es-CO" w:eastAsia="es-MX"/>
          <w14:ligatures w14:val="none"/>
        </w:rPr>
      </w:pPr>
    </w:p>
    <w:p w14:paraId="1533C9B9"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223F1"/>
    <w:multiLevelType w:val="multilevel"/>
    <w:tmpl w:val="FB2214D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6066FA"/>
    <w:multiLevelType w:val="multilevel"/>
    <w:tmpl w:val="8584A3A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B70E2D"/>
    <w:multiLevelType w:val="multilevel"/>
    <w:tmpl w:val="1DAA847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636315"/>
    <w:multiLevelType w:val="multilevel"/>
    <w:tmpl w:val="EB2240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EC31B95"/>
    <w:multiLevelType w:val="multilevel"/>
    <w:tmpl w:val="91F86AB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DB33E5D"/>
    <w:multiLevelType w:val="multilevel"/>
    <w:tmpl w:val="4F68DE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A351050"/>
    <w:multiLevelType w:val="multilevel"/>
    <w:tmpl w:val="E3B06F9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B110782"/>
    <w:multiLevelType w:val="multilevel"/>
    <w:tmpl w:val="80EC8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B742FD8"/>
    <w:multiLevelType w:val="multilevel"/>
    <w:tmpl w:val="7738457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900035D"/>
    <w:multiLevelType w:val="multilevel"/>
    <w:tmpl w:val="6C9870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A550E5C"/>
    <w:multiLevelType w:val="multilevel"/>
    <w:tmpl w:val="016CF40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A92281A"/>
    <w:multiLevelType w:val="multilevel"/>
    <w:tmpl w:val="309A0C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0F82AD5"/>
    <w:multiLevelType w:val="multilevel"/>
    <w:tmpl w:val="C82CD8F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36375D5"/>
    <w:multiLevelType w:val="multilevel"/>
    <w:tmpl w:val="8E025C1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A625D1C"/>
    <w:multiLevelType w:val="multilevel"/>
    <w:tmpl w:val="7F288F8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B804199"/>
    <w:multiLevelType w:val="multilevel"/>
    <w:tmpl w:val="76C291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5436568">
    <w:abstractNumId w:val="7"/>
  </w:num>
  <w:num w:numId="2" w16cid:durableId="1787699274">
    <w:abstractNumId w:val="5"/>
    <w:lvlOverride w:ilvl="0">
      <w:lvl w:ilvl="0">
        <w:numFmt w:val="decimal"/>
        <w:lvlText w:val="%1."/>
        <w:lvlJc w:val="left"/>
      </w:lvl>
    </w:lvlOverride>
  </w:num>
  <w:num w:numId="3" w16cid:durableId="684405942">
    <w:abstractNumId w:val="15"/>
    <w:lvlOverride w:ilvl="0">
      <w:lvl w:ilvl="0">
        <w:numFmt w:val="decimal"/>
        <w:lvlText w:val="%1."/>
        <w:lvlJc w:val="left"/>
      </w:lvl>
    </w:lvlOverride>
  </w:num>
  <w:num w:numId="4" w16cid:durableId="674461662">
    <w:abstractNumId w:val="9"/>
    <w:lvlOverride w:ilvl="0">
      <w:lvl w:ilvl="0">
        <w:numFmt w:val="decimal"/>
        <w:lvlText w:val="%1."/>
        <w:lvlJc w:val="left"/>
      </w:lvl>
    </w:lvlOverride>
  </w:num>
  <w:num w:numId="5" w16cid:durableId="1482969051">
    <w:abstractNumId w:val="11"/>
    <w:lvlOverride w:ilvl="0">
      <w:lvl w:ilvl="0">
        <w:numFmt w:val="decimal"/>
        <w:lvlText w:val="%1."/>
        <w:lvlJc w:val="left"/>
      </w:lvl>
    </w:lvlOverride>
  </w:num>
  <w:num w:numId="6" w16cid:durableId="2068650575">
    <w:abstractNumId w:val="3"/>
    <w:lvlOverride w:ilvl="0">
      <w:lvl w:ilvl="0">
        <w:numFmt w:val="decimal"/>
        <w:lvlText w:val="%1."/>
        <w:lvlJc w:val="left"/>
      </w:lvl>
    </w:lvlOverride>
  </w:num>
  <w:num w:numId="7" w16cid:durableId="1938364697">
    <w:abstractNumId w:val="4"/>
    <w:lvlOverride w:ilvl="0">
      <w:lvl w:ilvl="0">
        <w:numFmt w:val="decimal"/>
        <w:lvlText w:val="%1."/>
        <w:lvlJc w:val="left"/>
      </w:lvl>
    </w:lvlOverride>
  </w:num>
  <w:num w:numId="8" w16cid:durableId="1020815636">
    <w:abstractNumId w:val="13"/>
    <w:lvlOverride w:ilvl="0">
      <w:lvl w:ilvl="0">
        <w:numFmt w:val="decimal"/>
        <w:lvlText w:val="%1."/>
        <w:lvlJc w:val="left"/>
      </w:lvl>
    </w:lvlOverride>
  </w:num>
  <w:num w:numId="9" w16cid:durableId="1906909413">
    <w:abstractNumId w:val="12"/>
    <w:lvlOverride w:ilvl="0">
      <w:lvl w:ilvl="0">
        <w:numFmt w:val="decimal"/>
        <w:lvlText w:val="%1."/>
        <w:lvlJc w:val="left"/>
      </w:lvl>
    </w:lvlOverride>
  </w:num>
  <w:num w:numId="10" w16cid:durableId="1611083007">
    <w:abstractNumId w:val="8"/>
    <w:lvlOverride w:ilvl="0">
      <w:lvl w:ilvl="0">
        <w:numFmt w:val="decimal"/>
        <w:lvlText w:val="%1."/>
        <w:lvlJc w:val="left"/>
      </w:lvl>
    </w:lvlOverride>
  </w:num>
  <w:num w:numId="11" w16cid:durableId="1490560175">
    <w:abstractNumId w:val="14"/>
    <w:lvlOverride w:ilvl="0">
      <w:lvl w:ilvl="0">
        <w:numFmt w:val="decimal"/>
        <w:lvlText w:val="%1."/>
        <w:lvlJc w:val="left"/>
      </w:lvl>
    </w:lvlOverride>
  </w:num>
  <w:num w:numId="12" w16cid:durableId="1270895939">
    <w:abstractNumId w:val="6"/>
    <w:lvlOverride w:ilvl="0">
      <w:lvl w:ilvl="0">
        <w:numFmt w:val="decimal"/>
        <w:lvlText w:val="%1."/>
        <w:lvlJc w:val="left"/>
      </w:lvl>
    </w:lvlOverride>
  </w:num>
  <w:num w:numId="13" w16cid:durableId="1372462507">
    <w:abstractNumId w:val="1"/>
    <w:lvlOverride w:ilvl="0">
      <w:lvl w:ilvl="0">
        <w:numFmt w:val="decimal"/>
        <w:lvlText w:val="%1."/>
        <w:lvlJc w:val="left"/>
      </w:lvl>
    </w:lvlOverride>
  </w:num>
  <w:num w:numId="14" w16cid:durableId="1968971895">
    <w:abstractNumId w:val="10"/>
    <w:lvlOverride w:ilvl="0">
      <w:lvl w:ilvl="0">
        <w:numFmt w:val="decimal"/>
        <w:lvlText w:val="%1."/>
        <w:lvlJc w:val="left"/>
      </w:lvl>
    </w:lvlOverride>
  </w:num>
  <w:num w:numId="15" w16cid:durableId="1040011082">
    <w:abstractNumId w:val="0"/>
    <w:lvlOverride w:ilvl="0">
      <w:lvl w:ilvl="0">
        <w:numFmt w:val="decimal"/>
        <w:lvlText w:val="%1."/>
        <w:lvlJc w:val="left"/>
      </w:lvl>
    </w:lvlOverride>
  </w:num>
  <w:num w:numId="16" w16cid:durableId="1697730961">
    <w:abstractNumId w:val="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209"/>
    <w:rsid w:val="00010209"/>
    <w:rsid w:val="000B2285"/>
    <w:rsid w:val="00537D8F"/>
    <w:rsid w:val="00B25A7E"/>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4FF9D7F"/>
  <w14:defaultImageDpi w14:val="32767"/>
  <w15:chartTrackingRefBased/>
  <w15:docId w15:val="{6299A2B4-5E15-6041-BFBD-165775DD6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1020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1020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1020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1020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1020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1020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1020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1020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1020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1020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01020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01020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1020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1020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1020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1020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1020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10209"/>
    <w:rPr>
      <w:rFonts w:eastAsiaTheme="majorEastAsia" w:cstheme="majorBidi"/>
      <w:color w:val="272727" w:themeColor="text1" w:themeTint="D8"/>
    </w:rPr>
  </w:style>
  <w:style w:type="paragraph" w:styleId="Ttulo">
    <w:name w:val="Title"/>
    <w:basedOn w:val="Normal"/>
    <w:next w:val="Normal"/>
    <w:link w:val="TtuloCar"/>
    <w:uiPriority w:val="10"/>
    <w:qFormat/>
    <w:rsid w:val="0001020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1020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1020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1020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1020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010209"/>
    <w:rPr>
      <w:i/>
      <w:iCs/>
      <w:color w:val="404040" w:themeColor="text1" w:themeTint="BF"/>
    </w:rPr>
  </w:style>
  <w:style w:type="paragraph" w:styleId="Prrafodelista">
    <w:name w:val="List Paragraph"/>
    <w:basedOn w:val="Normal"/>
    <w:uiPriority w:val="34"/>
    <w:qFormat/>
    <w:rsid w:val="00010209"/>
    <w:pPr>
      <w:ind w:left="720"/>
      <w:contextualSpacing/>
    </w:pPr>
  </w:style>
  <w:style w:type="character" w:styleId="nfasisintenso">
    <w:name w:val="Intense Emphasis"/>
    <w:basedOn w:val="Fuentedeprrafopredeter"/>
    <w:uiPriority w:val="21"/>
    <w:qFormat/>
    <w:rsid w:val="00010209"/>
    <w:rPr>
      <w:i/>
      <w:iCs/>
      <w:color w:val="2F5496" w:themeColor="accent1" w:themeShade="BF"/>
    </w:rPr>
  </w:style>
  <w:style w:type="paragraph" w:styleId="Citadestacada">
    <w:name w:val="Intense Quote"/>
    <w:basedOn w:val="Normal"/>
    <w:next w:val="Normal"/>
    <w:link w:val="CitadestacadaCar"/>
    <w:uiPriority w:val="30"/>
    <w:qFormat/>
    <w:rsid w:val="000102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10209"/>
    <w:rPr>
      <w:i/>
      <w:iCs/>
      <w:color w:val="2F5496" w:themeColor="accent1" w:themeShade="BF"/>
    </w:rPr>
  </w:style>
  <w:style w:type="character" w:styleId="Referenciaintensa">
    <w:name w:val="Intense Reference"/>
    <w:basedOn w:val="Fuentedeprrafopredeter"/>
    <w:uiPriority w:val="32"/>
    <w:qFormat/>
    <w:rsid w:val="00010209"/>
    <w:rPr>
      <w:b/>
      <w:bCs/>
      <w:smallCaps/>
      <w:color w:val="2F5496" w:themeColor="accent1" w:themeShade="BF"/>
      <w:spacing w:val="5"/>
    </w:rPr>
  </w:style>
  <w:style w:type="paragraph" w:styleId="NormalWeb">
    <w:name w:val="Normal (Web)"/>
    <w:basedOn w:val="Normal"/>
    <w:uiPriority w:val="99"/>
    <w:semiHidden/>
    <w:unhideWhenUsed/>
    <w:rsid w:val="00010209"/>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0102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1054</Words>
  <Characters>5797</Characters>
  <Application>Microsoft Office Word</Application>
  <DocSecurity>0</DocSecurity>
  <Lines>48</Lines>
  <Paragraphs>13</Paragraphs>
  <ScaleCrop>false</ScaleCrop>
  <Company/>
  <LinksUpToDate>false</LinksUpToDate>
  <CharactersWithSpaces>6838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2026-06-10T15:55:00Z</dcterms:created>
  <dcterms:modified xsi:type="dcterms:W3CDTF">2026-06-10T15:56:00Z</dcterms:modified>
</cp:coreProperties>
</file>