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3C666"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b/>
          <w:bCs/>
          <w:color w:val="000000"/>
          <w:kern w:val="0"/>
          <w:lang w:val="es-CO" w:eastAsia="es-MX"/>
          <w14:ligatures w14:val="none"/>
        </w:rPr>
        <w:t>CONCEPTO 761 DEL 28 DE ABRIL DE 2026</w:t>
      </w:r>
    </w:p>
    <w:p w14:paraId="688EF9E3"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b/>
          <w:bCs/>
          <w:color w:val="000000"/>
          <w:kern w:val="0"/>
          <w:lang w:val="es-CO" w:eastAsia="es-MX"/>
          <w14:ligatures w14:val="none"/>
        </w:rPr>
        <w:t>DIRECCIÓN DE IMPUESTOS Y ADUANAS NACIONALES</w:t>
      </w:r>
    </w:p>
    <w:p w14:paraId="50157A91" w14:textId="77777777" w:rsidR="002B44C5" w:rsidRPr="002B44C5" w:rsidRDefault="002B44C5" w:rsidP="002B44C5">
      <w:pPr>
        <w:rPr>
          <w:rFonts w:ascii="Times New Roman" w:eastAsia="Times New Roman" w:hAnsi="Times New Roman" w:cs="Times New Roman"/>
          <w:kern w:val="0"/>
          <w:lang w:val="es-CO" w:eastAsia="es-MX"/>
          <w14:ligatures w14:val="none"/>
        </w:rPr>
      </w:pPr>
    </w:p>
    <w:p w14:paraId="630BE53D"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color w:val="000000"/>
          <w:kern w:val="0"/>
          <w:lang w:val="es-CO" w:eastAsia="es-MX"/>
          <w14:ligatures w14:val="none"/>
        </w:rPr>
        <w:t>Bogotá, D.C.</w:t>
      </w:r>
    </w:p>
    <w:p w14:paraId="5A6649D2" w14:textId="77777777" w:rsidR="002B44C5" w:rsidRPr="002B44C5" w:rsidRDefault="002B44C5" w:rsidP="002B44C5">
      <w:pPr>
        <w:rPr>
          <w:rFonts w:ascii="Times New Roman" w:eastAsia="Times New Roman" w:hAnsi="Times New Roman" w:cs="Times New Roman"/>
          <w:kern w:val="0"/>
          <w:lang w:val="es-CO" w:eastAsia="es-MX"/>
          <w14:ligatures w14:val="none"/>
        </w:rPr>
      </w:pPr>
    </w:p>
    <w:p w14:paraId="212AF660"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b/>
          <w:bCs/>
          <w:color w:val="000000"/>
          <w:kern w:val="0"/>
          <w:lang w:val="es-CO" w:eastAsia="es-MX"/>
          <w14:ligatures w14:val="none"/>
        </w:rPr>
        <w:t>Área del Derecho</w:t>
      </w:r>
      <w:r w:rsidRPr="002B44C5">
        <w:rPr>
          <w:rFonts w:ascii="Verdana" w:eastAsia="Times New Roman" w:hAnsi="Verdana" w:cs="Times New Roman"/>
          <w:b/>
          <w:bCs/>
          <w:color w:val="000000"/>
          <w:kern w:val="0"/>
          <w:lang w:val="es-CO" w:eastAsia="es-MX"/>
          <w14:ligatures w14:val="none"/>
        </w:rPr>
        <w:tab/>
      </w:r>
      <w:r w:rsidRPr="002B44C5">
        <w:rPr>
          <w:rFonts w:ascii="Verdana" w:eastAsia="Times New Roman" w:hAnsi="Verdana" w:cs="Times New Roman"/>
          <w:color w:val="000000"/>
          <w:kern w:val="0"/>
          <w:lang w:val="es-CO" w:eastAsia="es-MX"/>
          <w14:ligatures w14:val="none"/>
        </w:rPr>
        <w:t>Tributario</w:t>
      </w:r>
    </w:p>
    <w:p w14:paraId="083A88BC"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b/>
          <w:bCs/>
          <w:color w:val="000000"/>
          <w:kern w:val="0"/>
          <w:lang w:val="es-CO" w:eastAsia="es-MX"/>
          <w14:ligatures w14:val="none"/>
        </w:rPr>
        <w:t>Banco de Datos</w:t>
      </w:r>
      <w:r w:rsidRPr="002B44C5">
        <w:rPr>
          <w:rFonts w:ascii="Verdana" w:eastAsia="Times New Roman" w:hAnsi="Verdana" w:cs="Times New Roman"/>
          <w:b/>
          <w:bCs/>
          <w:color w:val="000000"/>
          <w:kern w:val="0"/>
          <w:lang w:val="es-CO" w:eastAsia="es-MX"/>
          <w14:ligatures w14:val="none"/>
        </w:rPr>
        <w:tab/>
      </w:r>
      <w:r w:rsidRPr="002B44C5">
        <w:rPr>
          <w:rFonts w:ascii="Verdana" w:eastAsia="Times New Roman" w:hAnsi="Verdana" w:cs="Times New Roman"/>
          <w:b/>
          <w:bCs/>
          <w:color w:val="000000"/>
          <w:kern w:val="0"/>
          <w:lang w:val="es-CO" w:eastAsia="es-MX"/>
          <w14:ligatures w14:val="none"/>
        </w:rPr>
        <w:tab/>
      </w:r>
      <w:r w:rsidRPr="002B44C5">
        <w:rPr>
          <w:rFonts w:ascii="Verdana" w:eastAsia="Times New Roman" w:hAnsi="Verdana" w:cs="Times New Roman"/>
          <w:color w:val="000000"/>
          <w:kern w:val="0"/>
          <w:lang w:val="es-CO" w:eastAsia="es-MX"/>
          <w14:ligatures w14:val="none"/>
        </w:rPr>
        <w:t>Procedimiento Tributario</w:t>
      </w:r>
    </w:p>
    <w:p w14:paraId="489C4F31"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b/>
          <w:bCs/>
          <w:color w:val="000000"/>
          <w:kern w:val="0"/>
          <w:lang w:val="es-CO" w:eastAsia="es-MX"/>
          <w14:ligatures w14:val="none"/>
        </w:rPr>
        <w:t>Descriptores</w:t>
      </w:r>
      <w:r w:rsidRPr="002B44C5">
        <w:rPr>
          <w:rFonts w:ascii="Verdana" w:eastAsia="Times New Roman" w:hAnsi="Verdana" w:cs="Times New Roman"/>
          <w:b/>
          <w:bCs/>
          <w:color w:val="000000"/>
          <w:kern w:val="0"/>
          <w:lang w:val="es-CO" w:eastAsia="es-MX"/>
          <w14:ligatures w14:val="none"/>
        </w:rPr>
        <w:tab/>
      </w:r>
      <w:r w:rsidRPr="002B44C5">
        <w:rPr>
          <w:rFonts w:ascii="Verdana" w:eastAsia="Times New Roman" w:hAnsi="Verdana" w:cs="Times New Roman"/>
          <w:b/>
          <w:bCs/>
          <w:color w:val="000000"/>
          <w:kern w:val="0"/>
          <w:lang w:val="es-CO" w:eastAsia="es-MX"/>
          <w14:ligatures w14:val="none"/>
        </w:rPr>
        <w:tab/>
      </w:r>
      <w:r w:rsidRPr="002B44C5">
        <w:rPr>
          <w:rFonts w:ascii="Verdana" w:eastAsia="Times New Roman" w:hAnsi="Verdana" w:cs="Times New Roman"/>
          <w:color w:val="000000"/>
          <w:kern w:val="0"/>
          <w:lang w:val="es-CO" w:eastAsia="es-MX"/>
          <w14:ligatures w14:val="none"/>
        </w:rPr>
        <w:t>Inoponibilidad de reserva de acceso al DANE a la información contenida en los formatos de conciliación fiscal 2516 y 2517.</w:t>
      </w:r>
    </w:p>
    <w:p w14:paraId="2F96DBCD"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b/>
          <w:bCs/>
          <w:color w:val="000000"/>
          <w:kern w:val="0"/>
          <w:lang w:val="es-CO" w:eastAsia="es-MX"/>
          <w14:ligatures w14:val="none"/>
        </w:rPr>
        <w:t>Fuentes Formales</w:t>
      </w:r>
      <w:r w:rsidRPr="002B44C5">
        <w:rPr>
          <w:rFonts w:ascii="Verdana" w:eastAsia="Times New Roman" w:hAnsi="Verdana" w:cs="Times New Roman"/>
          <w:b/>
          <w:bCs/>
          <w:color w:val="000000"/>
          <w:kern w:val="0"/>
          <w:lang w:val="es-CO" w:eastAsia="es-MX"/>
          <w14:ligatures w14:val="none"/>
        </w:rPr>
        <w:tab/>
      </w:r>
      <w:r w:rsidRPr="002B44C5">
        <w:rPr>
          <w:rFonts w:ascii="Verdana" w:eastAsia="Times New Roman" w:hAnsi="Verdana" w:cs="Times New Roman"/>
          <w:color w:val="000000"/>
          <w:kern w:val="0"/>
          <w:lang w:val="es-CO" w:eastAsia="es-MX"/>
          <w14:ligatures w14:val="none"/>
        </w:rPr>
        <w:t>Artículo 583 ET</w:t>
      </w:r>
    </w:p>
    <w:p w14:paraId="497B0883" w14:textId="77777777" w:rsidR="002B44C5" w:rsidRPr="002B44C5" w:rsidRDefault="002B44C5" w:rsidP="002B44C5">
      <w:pPr>
        <w:ind w:left="2127" w:firstLine="709"/>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color w:val="000000"/>
          <w:kern w:val="0"/>
          <w:lang w:val="es-CO" w:eastAsia="es-MX"/>
          <w14:ligatures w14:val="none"/>
        </w:rPr>
        <w:t>Artículos 27 de la Ley 1437 de 2011</w:t>
      </w:r>
    </w:p>
    <w:p w14:paraId="1002568B" w14:textId="77777777" w:rsidR="002B44C5" w:rsidRPr="002B44C5" w:rsidRDefault="002B44C5" w:rsidP="002B44C5">
      <w:pPr>
        <w:ind w:left="2127" w:firstLine="709"/>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color w:val="000000"/>
          <w:kern w:val="0"/>
          <w:lang w:val="es-CO" w:eastAsia="es-MX"/>
          <w14:ligatures w14:val="none"/>
        </w:rPr>
        <w:t>Artículo 23 de la Ley 2335 de 2023.</w:t>
      </w:r>
    </w:p>
    <w:p w14:paraId="44BEDAE0" w14:textId="77777777" w:rsidR="002B44C5" w:rsidRPr="002B44C5" w:rsidRDefault="002B44C5" w:rsidP="002B44C5">
      <w:pPr>
        <w:rPr>
          <w:rFonts w:ascii="Times New Roman" w:eastAsia="Times New Roman" w:hAnsi="Times New Roman" w:cs="Times New Roman"/>
          <w:kern w:val="0"/>
          <w:lang w:val="es-CO" w:eastAsia="es-MX"/>
          <w14:ligatures w14:val="none"/>
        </w:rPr>
      </w:pPr>
    </w:p>
    <w:p w14:paraId="68DFAF0B"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b/>
          <w:bCs/>
          <w:color w:val="000000"/>
          <w:kern w:val="0"/>
          <w:lang w:val="es-CO" w:eastAsia="es-MX"/>
          <w14:ligatures w14:val="none"/>
        </w:rPr>
        <w:t>Extracto</w:t>
      </w:r>
    </w:p>
    <w:p w14:paraId="684B39DF"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28F80A09" w14:textId="77777777" w:rsidR="002B44C5" w:rsidRPr="002B44C5" w:rsidRDefault="002B44C5" w:rsidP="002B44C5">
      <w:pPr>
        <w:numPr>
          <w:ilvl w:val="0"/>
          <w:numId w:val="1"/>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Procede el Despacho a resolver la solicitud de reconsideración del Oficio No. 100202208-750 del 30/07/2021 de conformidad con lo estipulado en el numeral 20 del artículo 55 del Decreto 1742 de 2020 en los siguientes términos:</w:t>
      </w:r>
    </w:p>
    <w:p w14:paraId="4EA5D5EF"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4B0D036C" w14:textId="77777777" w:rsidR="002B44C5" w:rsidRPr="002B44C5" w:rsidRDefault="002B44C5" w:rsidP="002B44C5">
      <w:pPr>
        <w:numPr>
          <w:ilvl w:val="0"/>
          <w:numId w:val="2"/>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Solicitud de reconsideración.</w:t>
      </w:r>
    </w:p>
    <w:p w14:paraId="4D4918A8"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0843B762" w14:textId="77777777" w:rsidR="002B44C5" w:rsidRPr="002B44C5" w:rsidRDefault="002B44C5" w:rsidP="002B44C5">
      <w:pPr>
        <w:numPr>
          <w:ilvl w:val="0"/>
          <w:numId w:val="3"/>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Mediante Oficio No. 100202208-750 del 30 de julio de 2021, dirigido a la Jefe de la Coordinación de Enlace Local e Internacional, la Dirección de Gestión Jurídica respondió una consulta relacionada con la solicitud del DANE de acceso a la información contenida en los formatos de conciliación fiscal 2516 y 2517.</w:t>
      </w:r>
    </w:p>
    <w:p w14:paraId="28DECF9E"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06CFAFE7" w14:textId="77777777" w:rsidR="002B44C5" w:rsidRPr="002B44C5" w:rsidRDefault="002B44C5" w:rsidP="002B44C5">
      <w:pPr>
        <w:numPr>
          <w:ilvl w:val="0"/>
          <w:numId w:val="4"/>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En el citado pronunciamiento se indicó, de una parte, que esta Dirección no era competente para atender directamente la solicitud, al corresponder tal función a la dependencia administradora de la base de datos. De otra parte, se precisó que la conciliación fiscal tiene una finalidad estrictamente tributaria, con valor probatorio limitado a la determinación del impuesto sobre la renta, y que, en consecuencia, su uso se encontraba restringido a las funciones de control y fiscalización propias de la DIAN, o a requerimientos de autoridad judicial o de organismos de control, en los términos del artículo 15 de la Constitución Política.</w:t>
      </w:r>
    </w:p>
    <w:p w14:paraId="689BD9AD"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3DFABADB" w14:textId="77777777" w:rsidR="002B44C5" w:rsidRPr="002B44C5" w:rsidRDefault="002B44C5" w:rsidP="002B44C5">
      <w:pPr>
        <w:numPr>
          <w:ilvl w:val="0"/>
          <w:numId w:val="5"/>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lastRenderedPageBreak/>
        <w:t>Posteriormente, la destinataria del oficio solicitó, vía correo electrónico, la reconsideración de la posición allí expuesta.</w:t>
      </w:r>
    </w:p>
    <w:p w14:paraId="56DF4ACF"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4F45CC94" w14:textId="77777777" w:rsidR="002B44C5" w:rsidRPr="002B44C5" w:rsidRDefault="002B44C5" w:rsidP="002B44C5">
      <w:pPr>
        <w:numPr>
          <w:ilvl w:val="0"/>
          <w:numId w:val="6"/>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Análisis de la solicitud.</w:t>
      </w:r>
    </w:p>
    <w:p w14:paraId="43C61A63" w14:textId="77777777" w:rsidR="002B44C5" w:rsidRPr="002B44C5" w:rsidRDefault="002B44C5" w:rsidP="002B44C5">
      <w:pPr>
        <w:numPr>
          <w:ilvl w:val="0"/>
          <w:numId w:val="7"/>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El artículo 583 del Estatuto Tributario establece el carácter reservado de la información contenida en las declaraciones tributarias. Sin embargo, con posterioridad a la expedición del Oficio No. 100202208-750 del 30 de junio de 2021 que se pide reconsiderar, el legislador introdujo una regla especial y específica para fines estadísticos mediante el artículo 23 de la Ley 2335 de 2023. De acuerdo con este artículo,</w:t>
      </w:r>
    </w:p>
    <w:p w14:paraId="21EF32E4" w14:textId="77777777" w:rsidR="002B44C5" w:rsidRPr="002B44C5" w:rsidRDefault="002B44C5" w:rsidP="002B44C5">
      <w:pPr>
        <w:rPr>
          <w:rFonts w:ascii="Times New Roman" w:eastAsia="Times New Roman" w:hAnsi="Times New Roman" w:cs="Times New Roman"/>
          <w:kern w:val="0"/>
          <w:lang w:val="es-CO" w:eastAsia="es-MX"/>
          <w14:ligatures w14:val="none"/>
        </w:rPr>
      </w:pPr>
    </w:p>
    <w:p w14:paraId="70801005"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color w:val="000000"/>
          <w:kern w:val="0"/>
          <w:lang w:val="es-CO" w:eastAsia="es-MX"/>
          <w14:ligatures w14:val="none"/>
        </w:rPr>
        <w:t>“Para la entrega de datos, registros administrativos o información al DANE, con fines estadísticos, las entidades públicas no podrán invocar las normas de confidencialidad o de reserva establecidas en otras disposiciones legales, incluyendo las reservas en materia tributaria. Quedan excluidas las Fuerzas Militares, la Policía Nacional y la Dirección Nacional de Inteligencia por motivos de Seguridad Nacional. La información suministrada por estas entidades será anonimizada y exclusivamente con fines estadísticos.”</w:t>
      </w:r>
    </w:p>
    <w:p w14:paraId="7BF37CAF"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470342EE" w14:textId="77777777" w:rsidR="002B44C5" w:rsidRPr="002B44C5" w:rsidRDefault="002B44C5" w:rsidP="002B44C5">
      <w:pPr>
        <w:numPr>
          <w:ilvl w:val="0"/>
          <w:numId w:val="8"/>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En este contexto, el artículo 23 de la Ley 2335 de 2023 constituye una disposición especial que habilita al DANE para requerir información tributaria con fines estadísticos, sin que resulte oponible la reserva prevista en el artículo 583 del Estatuto Tributario, siempre que se observen las condiciones y salvaguardas allí señaladas.</w:t>
      </w:r>
    </w:p>
    <w:p w14:paraId="632B79F4"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15F26926" w14:textId="77777777" w:rsidR="002B44C5" w:rsidRPr="002B44C5" w:rsidRDefault="002B44C5" w:rsidP="002B44C5">
      <w:pPr>
        <w:numPr>
          <w:ilvl w:val="0"/>
          <w:numId w:val="9"/>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En todo caso, también es importante tener presente lo previsto en el artículo 27 del CPACA, sustituido por la Ley Estatutaria 1755 de 2015. De acuerdo con este artículo,</w:t>
      </w:r>
    </w:p>
    <w:p w14:paraId="0FB892AD" w14:textId="77777777" w:rsidR="002B44C5" w:rsidRPr="002B44C5" w:rsidRDefault="002B44C5" w:rsidP="002B44C5">
      <w:pPr>
        <w:rPr>
          <w:rFonts w:ascii="Times New Roman" w:eastAsia="Times New Roman" w:hAnsi="Times New Roman" w:cs="Times New Roman"/>
          <w:kern w:val="0"/>
          <w:lang w:val="es-CO" w:eastAsia="es-MX"/>
          <w14:ligatures w14:val="none"/>
        </w:rPr>
      </w:pPr>
    </w:p>
    <w:p w14:paraId="36DFAF58"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color w:val="000000"/>
          <w:kern w:val="0"/>
          <w:lang w:val="es-CO" w:eastAsia="es-MX"/>
          <w14:ligatures w14:val="none"/>
        </w:rPr>
        <w:t>“El carácter reservado de una información o determinados documentos, no será oponible a las autoridades judiciales, legislativas ni a las autoridades administrativas que siendo constitucional o legalmente competentes para ello, los soliciten para el debido ejercicio de sus funciones.</w:t>
      </w:r>
    </w:p>
    <w:p w14:paraId="3E569B29" w14:textId="77777777" w:rsidR="002B44C5" w:rsidRPr="002B44C5" w:rsidRDefault="002B44C5" w:rsidP="002B44C5">
      <w:pPr>
        <w:jc w:val="both"/>
        <w:rPr>
          <w:rFonts w:ascii="Times New Roman" w:eastAsia="Times New Roman" w:hAnsi="Times New Roman" w:cs="Times New Roman"/>
          <w:kern w:val="0"/>
          <w:lang w:val="es-CO" w:eastAsia="es-MX"/>
          <w14:ligatures w14:val="none"/>
        </w:rPr>
      </w:pPr>
      <w:r w:rsidRPr="002B44C5">
        <w:rPr>
          <w:rFonts w:ascii="Verdana" w:eastAsia="Times New Roman" w:hAnsi="Verdana" w:cs="Times New Roman"/>
          <w:color w:val="000000"/>
          <w:kern w:val="0"/>
          <w:lang w:val="es-CO" w:eastAsia="es-MX"/>
          <w14:ligatures w14:val="none"/>
        </w:rPr>
        <w:t>Corresponde a dichas autoridades asegurar la reservade las informaciones y documentos que lleguen a conocer en desarrollo de lo previsto en este artículo.”</w:t>
      </w:r>
    </w:p>
    <w:p w14:paraId="1B8B45B8"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48FE64CE" w14:textId="77777777" w:rsidR="002B44C5" w:rsidRPr="002B44C5" w:rsidRDefault="002B44C5" w:rsidP="002B44C5">
      <w:pPr>
        <w:numPr>
          <w:ilvl w:val="0"/>
          <w:numId w:val="10"/>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Conclusión y decisión de reconsideración.</w:t>
      </w:r>
    </w:p>
    <w:p w14:paraId="626E1F2E"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lastRenderedPageBreak/>
        <w:br/>
      </w:r>
    </w:p>
    <w:p w14:paraId="35AF1A94" w14:textId="77777777" w:rsidR="002B44C5" w:rsidRPr="002B44C5" w:rsidRDefault="002B44C5" w:rsidP="002B44C5">
      <w:pPr>
        <w:numPr>
          <w:ilvl w:val="0"/>
          <w:numId w:val="11"/>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 xml:space="preserve">Con fundamento en lo expuesto, y en aplicación de los artículos 27 del CPACA y 23 de la Ley 2335 de 2023, se concluye que procede atender la solicitud del DANE y disponer la entrega de la información contenida en los formatos 2516 y 2517 para fines exclusivamente estadísticos, bajo estrictos protocolos de seguridad, </w:t>
      </w:r>
      <w:proofErr w:type="spellStart"/>
      <w:r w:rsidRPr="002B44C5">
        <w:rPr>
          <w:rFonts w:ascii="Verdana" w:eastAsia="Times New Roman" w:hAnsi="Verdana" w:cs="Times New Roman"/>
          <w:color w:val="000000"/>
          <w:kern w:val="0"/>
          <w:lang w:val="es-CO" w:eastAsia="es-MX"/>
          <w14:ligatures w14:val="none"/>
        </w:rPr>
        <w:t>anonimización</w:t>
      </w:r>
      <w:proofErr w:type="spellEnd"/>
      <w:r w:rsidRPr="002B44C5">
        <w:rPr>
          <w:rFonts w:ascii="Verdana" w:eastAsia="Times New Roman" w:hAnsi="Verdana" w:cs="Times New Roman"/>
          <w:color w:val="000000"/>
          <w:kern w:val="0"/>
          <w:lang w:val="es-CO" w:eastAsia="es-MX"/>
          <w14:ligatures w14:val="none"/>
        </w:rPr>
        <w:t xml:space="preserve"> y confidencialidad, en los términos previstos en la Ley 2335 de 2023.</w:t>
      </w:r>
    </w:p>
    <w:p w14:paraId="199B64B4"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7973050F" w14:textId="77777777" w:rsidR="002B44C5" w:rsidRPr="002B44C5" w:rsidRDefault="002B44C5" w:rsidP="002B44C5">
      <w:pPr>
        <w:numPr>
          <w:ilvl w:val="0"/>
          <w:numId w:val="12"/>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En consecuencia, se reconsidera el Oficio No. 100202208-750 del 30 de julio de 2021 en el sentido de:</w:t>
      </w:r>
    </w:p>
    <w:p w14:paraId="4C960F14"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33CD4B0F" w14:textId="77777777" w:rsidR="002B44C5" w:rsidRPr="002B44C5" w:rsidRDefault="002B44C5" w:rsidP="002B44C5">
      <w:pPr>
        <w:numPr>
          <w:ilvl w:val="0"/>
          <w:numId w:val="13"/>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reconocer la competencia funcional del DANE para requerir información con fines estadísticos, y</w:t>
      </w:r>
    </w:p>
    <w:p w14:paraId="65C53B4A"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5A80729A" w14:textId="77777777" w:rsidR="002B44C5" w:rsidRPr="002B44C5" w:rsidRDefault="002B44C5" w:rsidP="002B44C5">
      <w:pPr>
        <w:numPr>
          <w:ilvl w:val="0"/>
          <w:numId w:val="14"/>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admitir la entrega de la información de los formatos 2516 y 2517, sujeta a las condiciones y garantías establecidas en la Ley 2335 de 2023.</w:t>
      </w:r>
    </w:p>
    <w:p w14:paraId="0CB96D4B" w14:textId="77777777" w:rsidR="002B44C5" w:rsidRPr="002B44C5" w:rsidRDefault="002B44C5" w:rsidP="002B44C5">
      <w:pPr>
        <w:rPr>
          <w:rFonts w:ascii="Times New Roman" w:eastAsia="Times New Roman" w:hAnsi="Times New Roman" w:cs="Times New Roman"/>
          <w:kern w:val="0"/>
          <w:lang w:val="es-CO" w:eastAsia="es-MX"/>
          <w14:ligatures w14:val="none"/>
        </w:rPr>
      </w:pPr>
      <w:r w:rsidRPr="002B44C5">
        <w:rPr>
          <w:rFonts w:ascii="Times New Roman" w:eastAsia="Times New Roman" w:hAnsi="Times New Roman" w:cs="Times New Roman"/>
          <w:kern w:val="0"/>
          <w:lang w:val="es-CO" w:eastAsia="es-MX"/>
          <w14:ligatures w14:val="none"/>
        </w:rPr>
        <w:br/>
      </w:r>
    </w:p>
    <w:p w14:paraId="40A28693" w14:textId="77777777" w:rsidR="002B44C5" w:rsidRPr="002B44C5" w:rsidRDefault="002B44C5" w:rsidP="002B44C5">
      <w:pPr>
        <w:numPr>
          <w:ilvl w:val="0"/>
          <w:numId w:val="15"/>
        </w:numPr>
        <w:jc w:val="both"/>
        <w:textAlignment w:val="baseline"/>
        <w:rPr>
          <w:rFonts w:ascii="Verdana" w:eastAsia="Times New Roman" w:hAnsi="Verdana" w:cs="Times New Roman"/>
          <w:color w:val="000000"/>
          <w:kern w:val="0"/>
          <w:lang w:val="es-CO" w:eastAsia="es-MX"/>
          <w14:ligatures w14:val="none"/>
        </w:rPr>
      </w:pPr>
      <w:r w:rsidRPr="002B44C5">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4275169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2B16"/>
    <w:multiLevelType w:val="multilevel"/>
    <w:tmpl w:val="603091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A57A41"/>
    <w:multiLevelType w:val="multilevel"/>
    <w:tmpl w:val="BA04B44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ED5D0A"/>
    <w:multiLevelType w:val="multilevel"/>
    <w:tmpl w:val="1E3890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DA40B6"/>
    <w:multiLevelType w:val="multilevel"/>
    <w:tmpl w:val="8390B8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410BF2"/>
    <w:multiLevelType w:val="hybridMultilevel"/>
    <w:tmpl w:val="EF8A4AD0"/>
    <w:lvl w:ilvl="0" w:tplc="697AED22">
      <w:start w:val="3"/>
      <w:numFmt w:val="upperLetter"/>
      <w:lvlText w:val="%1."/>
      <w:lvlJc w:val="left"/>
      <w:pPr>
        <w:tabs>
          <w:tab w:val="num" w:pos="720"/>
        </w:tabs>
        <w:ind w:left="720" w:hanging="360"/>
      </w:pPr>
    </w:lvl>
    <w:lvl w:ilvl="1" w:tplc="F83A95EE" w:tentative="1">
      <w:start w:val="1"/>
      <w:numFmt w:val="decimal"/>
      <w:lvlText w:val="%2."/>
      <w:lvlJc w:val="left"/>
      <w:pPr>
        <w:tabs>
          <w:tab w:val="num" w:pos="1440"/>
        </w:tabs>
        <w:ind w:left="1440" w:hanging="360"/>
      </w:pPr>
    </w:lvl>
    <w:lvl w:ilvl="2" w:tplc="657CBC1A" w:tentative="1">
      <w:start w:val="1"/>
      <w:numFmt w:val="decimal"/>
      <w:lvlText w:val="%3."/>
      <w:lvlJc w:val="left"/>
      <w:pPr>
        <w:tabs>
          <w:tab w:val="num" w:pos="2160"/>
        </w:tabs>
        <w:ind w:left="2160" w:hanging="360"/>
      </w:pPr>
    </w:lvl>
    <w:lvl w:ilvl="3" w:tplc="C324F308" w:tentative="1">
      <w:start w:val="1"/>
      <w:numFmt w:val="decimal"/>
      <w:lvlText w:val="%4."/>
      <w:lvlJc w:val="left"/>
      <w:pPr>
        <w:tabs>
          <w:tab w:val="num" w:pos="2880"/>
        </w:tabs>
        <w:ind w:left="2880" w:hanging="360"/>
      </w:pPr>
    </w:lvl>
    <w:lvl w:ilvl="4" w:tplc="1B0A9718" w:tentative="1">
      <w:start w:val="1"/>
      <w:numFmt w:val="decimal"/>
      <w:lvlText w:val="%5."/>
      <w:lvlJc w:val="left"/>
      <w:pPr>
        <w:tabs>
          <w:tab w:val="num" w:pos="3600"/>
        </w:tabs>
        <w:ind w:left="3600" w:hanging="360"/>
      </w:pPr>
    </w:lvl>
    <w:lvl w:ilvl="5" w:tplc="FB766F0C" w:tentative="1">
      <w:start w:val="1"/>
      <w:numFmt w:val="decimal"/>
      <w:lvlText w:val="%6."/>
      <w:lvlJc w:val="left"/>
      <w:pPr>
        <w:tabs>
          <w:tab w:val="num" w:pos="4320"/>
        </w:tabs>
        <w:ind w:left="4320" w:hanging="360"/>
      </w:pPr>
    </w:lvl>
    <w:lvl w:ilvl="6" w:tplc="A5149332" w:tentative="1">
      <w:start w:val="1"/>
      <w:numFmt w:val="decimal"/>
      <w:lvlText w:val="%7."/>
      <w:lvlJc w:val="left"/>
      <w:pPr>
        <w:tabs>
          <w:tab w:val="num" w:pos="5040"/>
        </w:tabs>
        <w:ind w:left="5040" w:hanging="360"/>
      </w:pPr>
    </w:lvl>
    <w:lvl w:ilvl="7" w:tplc="7EB8BFB8" w:tentative="1">
      <w:start w:val="1"/>
      <w:numFmt w:val="decimal"/>
      <w:lvlText w:val="%8."/>
      <w:lvlJc w:val="left"/>
      <w:pPr>
        <w:tabs>
          <w:tab w:val="num" w:pos="5760"/>
        </w:tabs>
        <w:ind w:left="5760" w:hanging="360"/>
      </w:pPr>
    </w:lvl>
    <w:lvl w:ilvl="8" w:tplc="7FF6A666" w:tentative="1">
      <w:start w:val="1"/>
      <w:numFmt w:val="decimal"/>
      <w:lvlText w:val="%9."/>
      <w:lvlJc w:val="left"/>
      <w:pPr>
        <w:tabs>
          <w:tab w:val="num" w:pos="6480"/>
        </w:tabs>
        <w:ind w:left="6480" w:hanging="360"/>
      </w:pPr>
    </w:lvl>
  </w:abstractNum>
  <w:abstractNum w:abstractNumId="5" w15:restartNumberingAfterBreak="0">
    <w:nsid w:val="38FB3C2D"/>
    <w:multiLevelType w:val="multilevel"/>
    <w:tmpl w:val="95A66D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3F26FE"/>
    <w:multiLevelType w:val="multilevel"/>
    <w:tmpl w:val="38766E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7D8735A"/>
    <w:multiLevelType w:val="multilevel"/>
    <w:tmpl w:val="1398EB7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E72437C"/>
    <w:multiLevelType w:val="hybridMultilevel"/>
    <w:tmpl w:val="54A6F118"/>
    <w:lvl w:ilvl="0" w:tplc="D9648F22">
      <w:start w:val="2"/>
      <w:numFmt w:val="lowerRoman"/>
      <w:lvlText w:val="%1."/>
      <w:lvlJc w:val="right"/>
      <w:pPr>
        <w:tabs>
          <w:tab w:val="num" w:pos="720"/>
        </w:tabs>
        <w:ind w:left="720" w:hanging="360"/>
      </w:pPr>
    </w:lvl>
    <w:lvl w:ilvl="1" w:tplc="ABE860B4" w:tentative="1">
      <w:start w:val="1"/>
      <w:numFmt w:val="decimal"/>
      <w:lvlText w:val="%2."/>
      <w:lvlJc w:val="left"/>
      <w:pPr>
        <w:tabs>
          <w:tab w:val="num" w:pos="1440"/>
        </w:tabs>
        <w:ind w:left="1440" w:hanging="360"/>
      </w:pPr>
    </w:lvl>
    <w:lvl w:ilvl="2" w:tplc="76C4C41C" w:tentative="1">
      <w:start w:val="1"/>
      <w:numFmt w:val="decimal"/>
      <w:lvlText w:val="%3."/>
      <w:lvlJc w:val="left"/>
      <w:pPr>
        <w:tabs>
          <w:tab w:val="num" w:pos="2160"/>
        </w:tabs>
        <w:ind w:left="2160" w:hanging="360"/>
      </w:pPr>
    </w:lvl>
    <w:lvl w:ilvl="3" w:tplc="04D6DBC2" w:tentative="1">
      <w:start w:val="1"/>
      <w:numFmt w:val="decimal"/>
      <w:lvlText w:val="%4."/>
      <w:lvlJc w:val="left"/>
      <w:pPr>
        <w:tabs>
          <w:tab w:val="num" w:pos="2880"/>
        </w:tabs>
        <w:ind w:left="2880" w:hanging="360"/>
      </w:pPr>
    </w:lvl>
    <w:lvl w:ilvl="4" w:tplc="44CA4996" w:tentative="1">
      <w:start w:val="1"/>
      <w:numFmt w:val="decimal"/>
      <w:lvlText w:val="%5."/>
      <w:lvlJc w:val="left"/>
      <w:pPr>
        <w:tabs>
          <w:tab w:val="num" w:pos="3600"/>
        </w:tabs>
        <w:ind w:left="3600" w:hanging="360"/>
      </w:pPr>
    </w:lvl>
    <w:lvl w:ilvl="5" w:tplc="565A1CF4" w:tentative="1">
      <w:start w:val="1"/>
      <w:numFmt w:val="decimal"/>
      <w:lvlText w:val="%6."/>
      <w:lvlJc w:val="left"/>
      <w:pPr>
        <w:tabs>
          <w:tab w:val="num" w:pos="4320"/>
        </w:tabs>
        <w:ind w:left="4320" w:hanging="360"/>
      </w:pPr>
    </w:lvl>
    <w:lvl w:ilvl="6" w:tplc="1122A9C2" w:tentative="1">
      <w:start w:val="1"/>
      <w:numFmt w:val="decimal"/>
      <w:lvlText w:val="%7."/>
      <w:lvlJc w:val="left"/>
      <w:pPr>
        <w:tabs>
          <w:tab w:val="num" w:pos="5040"/>
        </w:tabs>
        <w:ind w:left="5040" w:hanging="360"/>
      </w:pPr>
    </w:lvl>
    <w:lvl w:ilvl="7" w:tplc="00005F1A" w:tentative="1">
      <w:start w:val="1"/>
      <w:numFmt w:val="decimal"/>
      <w:lvlText w:val="%8."/>
      <w:lvlJc w:val="left"/>
      <w:pPr>
        <w:tabs>
          <w:tab w:val="num" w:pos="5760"/>
        </w:tabs>
        <w:ind w:left="5760" w:hanging="360"/>
      </w:pPr>
    </w:lvl>
    <w:lvl w:ilvl="8" w:tplc="DD0E1952" w:tentative="1">
      <w:start w:val="1"/>
      <w:numFmt w:val="decimal"/>
      <w:lvlText w:val="%9."/>
      <w:lvlJc w:val="left"/>
      <w:pPr>
        <w:tabs>
          <w:tab w:val="num" w:pos="6480"/>
        </w:tabs>
        <w:ind w:left="6480" w:hanging="360"/>
      </w:pPr>
    </w:lvl>
  </w:abstractNum>
  <w:abstractNum w:abstractNumId="9" w15:restartNumberingAfterBreak="0">
    <w:nsid w:val="4EB37594"/>
    <w:multiLevelType w:val="multilevel"/>
    <w:tmpl w:val="1170331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2D252B"/>
    <w:multiLevelType w:val="multilevel"/>
    <w:tmpl w:val="49860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1166E1"/>
    <w:multiLevelType w:val="multilevel"/>
    <w:tmpl w:val="497A3D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596FA9"/>
    <w:multiLevelType w:val="multilevel"/>
    <w:tmpl w:val="EA80E7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6F22DAA"/>
    <w:multiLevelType w:val="hybridMultilevel"/>
    <w:tmpl w:val="1BB07912"/>
    <w:lvl w:ilvl="0" w:tplc="0F7A1AD4">
      <w:start w:val="2"/>
      <w:numFmt w:val="upperLetter"/>
      <w:lvlText w:val="%1."/>
      <w:lvlJc w:val="left"/>
      <w:pPr>
        <w:tabs>
          <w:tab w:val="num" w:pos="720"/>
        </w:tabs>
        <w:ind w:left="720" w:hanging="360"/>
      </w:pPr>
    </w:lvl>
    <w:lvl w:ilvl="1" w:tplc="A1745B14" w:tentative="1">
      <w:start w:val="1"/>
      <w:numFmt w:val="decimal"/>
      <w:lvlText w:val="%2."/>
      <w:lvlJc w:val="left"/>
      <w:pPr>
        <w:tabs>
          <w:tab w:val="num" w:pos="1440"/>
        </w:tabs>
        <w:ind w:left="1440" w:hanging="360"/>
      </w:pPr>
    </w:lvl>
    <w:lvl w:ilvl="2" w:tplc="68BECD3A" w:tentative="1">
      <w:start w:val="1"/>
      <w:numFmt w:val="decimal"/>
      <w:lvlText w:val="%3."/>
      <w:lvlJc w:val="left"/>
      <w:pPr>
        <w:tabs>
          <w:tab w:val="num" w:pos="2160"/>
        </w:tabs>
        <w:ind w:left="2160" w:hanging="360"/>
      </w:pPr>
    </w:lvl>
    <w:lvl w:ilvl="3" w:tplc="B20045F4" w:tentative="1">
      <w:start w:val="1"/>
      <w:numFmt w:val="decimal"/>
      <w:lvlText w:val="%4."/>
      <w:lvlJc w:val="left"/>
      <w:pPr>
        <w:tabs>
          <w:tab w:val="num" w:pos="2880"/>
        </w:tabs>
        <w:ind w:left="2880" w:hanging="360"/>
      </w:pPr>
    </w:lvl>
    <w:lvl w:ilvl="4" w:tplc="07709C1E" w:tentative="1">
      <w:start w:val="1"/>
      <w:numFmt w:val="decimal"/>
      <w:lvlText w:val="%5."/>
      <w:lvlJc w:val="left"/>
      <w:pPr>
        <w:tabs>
          <w:tab w:val="num" w:pos="3600"/>
        </w:tabs>
        <w:ind w:left="3600" w:hanging="360"/>
      </w:pPr>
    </w:lvl>
    <w:lvl w:ilvl="5" w:tplc="B73CE780" w:tentative="1">
      <w:start w:val="1"/>
      <w:numFmt w:val="decimal"/>
      <w:lvlText w:val="%6."/>
      <w:lvlJc w:val="left"/>
      <w:pPr>
        <w:tabs>
          <w:tab w:val="num" w:pos="4320"/>
        </w:tabs>
        <w:ind w:left="4320" w:hanging="360"/>
      </w:pPr>
    </w:lvl>
    <w:lvl w:ilvl="6" w:tplc="D05839A0" w:tentative="1">
      <w:start w:val="1"/>
      <w:numFmt w:val="decimal"/>
      <w:lvlText w:val="%7."/>
      <w:lvlJc w:val="left"/>
      <w:pPr>
        <w:tabs>
          <w:tab w:val="num" w:pos="5040"/>
        </w:tabs>
        <w:ind w:left="5040" w:hanging="360"/>
      </w:pPr>
    </w:lvl>
    <w:lvl w:ilvl="7" w:tplc="351CED1C" w:tentative="1">
      <w:start w:val="1"/>
      <w:numFmt w:val="decimal"/>
      <w:lvlText w:val="%8."/>
      <w:lvlJc w:val="left"/>
      <w:pPr>
        <w:tabs>
          <w:tab w:val="num" w:pos="5760"/>
        </w:tabs>
        <w:ind w:left="5760" w:hanging="360"/>
      </w:pPr>
    </w:lvl>
    <w:lvl w:ilvl="8" w:tplc="DA3CC92E" w:tentative="1">
      <w:start w:val="1"/>
      <w:numFmt w:val="decimal"/>
      <w:lvlText w:val="%9."/>
      <w:lvlJc w:val="left"/>
      <w:pPr>
        <w:tabs>
          <w:tab w:val="num" w:pos="6480"/>
        </w:tabs>
        <w:ind w:left="6480" w:hanging="360"/>
      </w:pPr>
    </w:lvl>
  </w:abstractNum>
  <w:abstractNum w:abstractNumId="14" w15:restartNumberingAfterBreak="0">
    <w:nsid w:val="73986D47"/>
    <w:multiLevelType w:val="multilevel"/>
    <w:tmpl w:val="04F20A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1191889">
    <w:abstractNumId w:val="10"/>
  </w:num>
  <w:num w:numId="2" w16cid:durableId="992375434">
    <w:abstractNumId w:val="3"/>
    <w:lvlOverride w:ilvl="0">
      <w:lvl w:ilvl="0">
        <w:numFmt w:val="upperLetter"/>
        <w:lvlText w:val="%1."/>
        <w:lvlJc w:val="left"/>
      </w:lvl>
    </w:lvlOverride>
  </w:num>
  <w:num w:numId="3" w16cid:durableId="1414624083">
    <w:abstractNumId w:val="5"/>
    <w:lvlOverride w:ilvl="0">
      <w:lvl w:ilvl="0">
        <w:numFmt w:val="decimal"/>
        <w:lvlText w:val="%1."/>
        <w:lvlJc w:val="left"/>
      </w:lvl>
    </w:lvlOverride>
  </w:num>
  <w:num w:numId="4" w16cid:durableId="1230460460">
    <w:abstractNumId w:val="6"/>
    <w:lvlOverride w:ilvl="0">
      <w:lvl w:ilvl="0">
        <w:numFmt w:val="decimal"/>
        <w:lvlText w:val="%1."/>
        <w:lvlJc w:val="left"/>
      </w:lvl>
    </w:lvlOverride>
  </w:num>
  <w:num w:numId="5" w16cid:durableId="1381788667">
    <w:abstractNumId w:val="0"/>
    <w:lvlOverride w:ilvl="0">
      <w:lvl w:ilvl="0">
        <w:numFmt w:val="decimal"/>
        <w:lvlText w:val="%1."/>
        <w:lvlJc w:val="left"/>
      </w:lvl>
    </w:lvlOverride>
  </w:num>
  <w:num w:numId="6" w16cid:durableId="1293752605">
    <w:abstractNumId w:val="13"/>
  </w:num>
  <w:num w:numId="7" w16cid:durableId="2144810667">
    <w:abstractNumId w:val="2"/>
    <w:lvlOverride w:ilvl="0">
      <w:lvl w:ilvl="0">
        <w:numFmt w:val="decimal"/>
        <w:lvlText w:val="%1."/>
        <w:lvlJc w:val="left"/>
      </w:lvl>
    </w:lvlOverride>
  </w:num>
  <w:num w:numId="8" w16cid:durableId="1727794932">
    <w:abstractNumId w:val="11"/>
    <w:lvlOverride w:ilvl="0">
      <w:lvl w:ilvl="0">
        <w:numFmt w:val="decimal"/>
        <w:lvlText w:val="%1."/>
        <w:lvlJc w:val="left"/>
      </w:lvl>
    </w:lvlOverride>
  </w:num>
  <w:num w:numId="9" w16cid:durableId="2005350988">
    <w:abstractNumId w:val="14"/>
    <w:lvlOverride w:ilvl="0">
      <w:lvl w:ilvl="0">
        <w:numFmt w:val="decimal"/>
        <w:lvlText w:val="%1."/>
        <w:lvlJc w:val="left"/>
      </w:lvl>
    </w:lvlOverride>
  </w:num>
  <w:num w:numId="10" w16cid:durableId="211426293">
    <w:abstractNumId w:val="4"/>
  </w:num>
  <w:num w:numId="11" w16cid:durableId="1143280427">
    <w:abstractNumId w:val="7"/>
    <w:lvlOverride w:ilvl="0">
      <w:lvl w:ilvl="0">
        <w:numFmt w:val="decimal"/>
        <w:lvlText w:val="%1."/>
        <w:lvlJc w:val="left"/>
      </w:lvl>
    </w:lvlOverride>
  </w:num>
  <w:num w:numId="12" w16cid:durableId="505754004">
    <w:abstractNumId w:val="9"/>
    <w:lvlOverride w:ilvl="0">
      <w:lvl w:ilvl="0">
        <w:numFmt w:val="decimal"/>
        <w:lvlText w:val="%1."/>
        <w:lvlJc w:val="left"/>
      </w:lvl>
    </w:lvlOverride>
  </w:num>
  <w:num w:numId="13" w16cid:durableId="494491269">
    <w:abstractNumId w:val="12"/>
    <w:lvlOverride w:ilvl="0">
      <w:lvl w:ilvl="0">
        <w:numFmt w:val="lowerRoman"/>
        <w:lvlText w:val="%1."/>
        <w:lvlJc w:val="right"/>
      </w:lvl>
    </w:lvlOverride>
  </w:num>
  <w:num w:numId="14" w16cid:durableId="1376545959">
    <w:abstractNumId w:val="8"/>
  </w:num>
  <w:num w:numId="15" w16cid:durableId="225383169">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4C5"/>
    <w:rsid w:val="000B2285"/>
    <w:rsid w:val="002B44C5"/>
    <w:rsid w:val="002D5847"/>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1F73DAE"/>
  <w14:defaultImageDpi w14:val="32767"/>
  <w15:chartTrackingRefBased/>
  <w15:docId w15:val="{7A06F260-A4C3-1147-9272-EEB8BC158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B44C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B44C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B44C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B44C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B44C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B44C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44C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44C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44C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44C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B44C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B44C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B44C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B44C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B44C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44C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44C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44C5"/>
    <w:rPr>
      <w:rFonts w:eastAsiaTheme="majorEastAsia" w:cstheme="majorBidi"/>
      <w:color w:val="272727" w:themeColor="text1" w:themeTint="D8"/>
    </w:rPr>
  </w:style>
  <w:style w:type="paragraph" w:styleId="Ttulo">
    <w:name w:val="Title"/>
    <w:basedOn w:val="Normal"/>
    <w:next w:val="Normal"/>
    <w:link w:val="TtuloCar"/>
    <w:uiPriority w:val="10"/>
    <w:qFormat/>
    <w:rsid w:val="002B44C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44C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44C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44C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44C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B44C5"/>
    <w:rPr>
      <w:i/>
      <w:iCs/>
      <w:color w:val="404040" w:themeColor="text1" w:themeTint="BF"/>
    </w:rPr>
  </w:style>
  <w:style w:type="paragraph" w:styleId="Prrafodelista">
    <w:name w:val="List Paragraph"/>
    <w:basedOn w:val="Normal"/>
    <w:uiPriority w:val="34"/>
    <w:qFormat/>
    <w:rsid w:val="002B44C5"/>
    <w:pPr>
      <w:ind w:left="720"/>
      <w:contextualSpacing/>
    </w:pPr>
  </w:style>
  <w:style w:type="character" w:styleId="nfasisintenso">
    <w:name w:val="Intense Emphasis"/>
    <w:basedOn w:val="Fuentedeprrafopredeter"/>
    <w:uiPriority w:val="21"/>
    <w:qFormat/>
    <w:rsid w:val="002B44C5"/>
    <w:rPr>
      <w:i/>
      <w:iCs/>
      <w:color w:val="2F5496" w:themeColor="accent1" w:themeShade="BF"/>
    </w:rPr>
  </w:style>
  <w:style w:type="paragraph" w:styleId="Citadestacada">
    <w:name w:val="Intense Quote"/>
    <w:basedOn w:val="Normal"/>
    <w:next w:val="Normal"/>
    <w:link w:val="CitadestacadaCar"/>
    <w:uiPriority w:val="30"/>
    <w:qFormat/>
    <w:rsid w:val="002B44C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B44C5"/>
    <w:rPr>
      <w:i/>
      <w:iCs/>
      <w:color w:val="2F5496" w:themeColor="accent1" w:themeShade="BF"/>
    </w:rPr>
  </w:style>
  <w:style w:type="character" w:styleId="Referenciaintensa">
    <w:name w:val="Intense Reference"/>
    <w:basedOn w:val="Fuentedeprrafopredeter"/>
    <w:uiPriority w:val="32"/>
    <w:qFormat/>
    <w:rsid w:val="002B44C5"/>
    <w:rPr>
      <w:b/>
      <w:bCs/>
      <w:smallCaps/>
      <w:color w:val="2F5496" w:themeColor="accent1" w:themeShade="BF"/>
      <w:spacing w:val="5"/>
    </w:rPr>
  </w:style>
  <w:style w:type="paragraph" w:styleId="NormalWeb">
    <w:name w:val="Normal (Web)"/>
    <w:basedOn w:val="Normal"/>
    <w:uiPriority w:val="99"/>
    <w:semiHidden/>
    <w:unhideWhenUsed/>
    <w:rsid w:val="002B44C5"/>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B44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732</Words>
  <Characters>4028</Characters>
  <Application>Microsoft Office Word</Application>
  <DocSecurity>0</DocSecurity>
  <Lines>33</Lines>
  <Paragraphs>9</Paragraphs>
  <ScaleCrop>false</ScaleCrop>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2026-05-21T15:58:00Z</dcterms:created>
  <dcterms:modified xsi:type="dcterms:W3CDTF">2026-05-21T15:58:00Z</dcterms:modified>
</cp:coreProperties>
</file>