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05011"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b/>
          <w:bCs/>
          <w:color w:val="000000"/>
          <w:kern w:val="0"/>
          <w:lang w:val="es-CO" w:eastAsia="es-MX"/>
          <w14:ligatures w14:val="none"/>
        </w:rPr>
        <w:t>CONCEPTO 2026EE070440O1 DEL 25 DE FEBRERO DE 2026</w:t>
      </w:r>
    </w:p>
    <w:p w14:paraId="23FC8048"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b/>
          <w:bCs/>
          <w:color w:val="000000"/>
          <w:kern w:val="0"/>
          <w:lang w:val="es-CO" w:eastAsia="es-MX"/>
          <w14:ligatures w14:val="none"/>
        </w:rPr>
        <w:t>SECRETARÍA DISTRITAL DE HACIENDA</w:t>
      </w:r>
    </w:p>
    <w:p w14:paraId="28D21769"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1ED8D50A"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Bogotá D.C.,</w:t>
      </w:r>
    </w:p>
    <w:p w14:paraId="7F719574" w14:textId="77777777" w:rsidR="00C54FE8" w:rsidRPr="00C54FE8" w:rsidRDefault="00C54FE8" w:rsidP="00C54FE8">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751"/>
        <w:gridCol w:w="7077"/>
      </w:tblGrid>
      <w:tr w:rsidR="00C54FE8" w:rsidRPr="00C54FE8" w14:paraId="2D8CA3CC" w14:textId="77777777">
        <w:trPr>
          <w:trHeight w:val="303"/>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37F8584" w14:textId="77777777" w:rsidR="00C54FE8" w:rsidRPr="00C54FE8" w:rsidRDefault="00C54FE8" w:rsidP="00C54FE8">
            <w:pPr>
              <w:spacing w:before="24"/>
              <w:ind w:left="27"/>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Radicado solicitud:</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31F4E5" w14:textId="77777777" w:rsidR="00C54FE8" w:rsidRPr="00C54FE8" w:rsidRDefault="00C54FE8" w:rsidP="00C54FE8">
            <w:pPr>
              <w:spacing w:before="24"/>
              <w:ind w:left="91"/>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2026ER038911O1 del 5 de febrero de 2026 SDQS 816412026</w:t>
            </w:r>
          </w:p>
        </w:tc>
      </w:tr>
      <w:tr w:rsidR="00C54FE8" w:rsidRPr="00C54FE8" w14:paraId="5042C1C2" w14:textId="77777777">
        <w:trPr>
          <w:trHeight w:val="303"/>
        </w:trPr>
        <w:tc>
          <w:tcPr>
            <w:tcW w:w="0" w:type="auto"/>
            <w:tcBorders>
              <w:top w:val="single" w:sz="4" w:space="0" w:color="000000"/>
              <w:left w:val="single" w:sz="4" w:space="0" w:color="000000"/>
              <w:bottom w:val="single" w:sz="4" w:space="0" w:color="000000"/>
              <w:right w:val="single" w:sz="4" w:space="0" w:color="000000"/>
            </w:tcBorders>
            <w:vAlign w:val="center"/>
            <w:hideMark/>
          </w:tcPr>
          <w:p w14:paraId="0774A234" w14:textId="77777777" w:rsidR="00C54FE8" w:rsidRPr="00C54FE8" w:rsidRDefault="00C54FE8" w:rsidP="00C54FE8">
            <w:pPr>
              <w:spacing w:before="26"/>
              <w:ind w:left="27"/>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Radicado respuesta: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07F573F" w14:textId="77777777" w:rsidR="00C54FE8" w:rsidRPr="00C54FE8" w:rsidRDefault="00C54FE8" w:rsidP="00C54FE8">
            <w:pPr>
              <w:spacing w:before="26"/>
              <w:ind w:left="91"/>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2026EE070440O1 del 25 de febrero de 2026</w:t>
            </w:r>
          </w:p>
        </w:tc>
      </w:tr>
      <w:tr w:rsidR="00C54FE8" w:rsidRPr="00C54FE8" w14:paraId="0C2CA6E9" w14:textId="77777777">
        <w:trPr>
          <w:trHeight w:val="303"/>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C102052" w14:textId="77777777" w:rsidR="00C54FE8" w:rsidRPr="00C54FE8" w:rsidRDefault="00C54FE8" w:rsidP="00C54FE8">
            <w:pPr>
              <w:spacing w:before="26"/>
              <w:ind w:left="27"/>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Impuesto:</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1B4B266" w14:textId="77777777" w:rsidR="00C54FE8" w:rsidRPr="00C54FE8" w:rsidRDefault="00C54FE8" w:rsidP="00C54FE8">
            <w:pPr>
              <w:spacing w:before="26"/>
              <w:ind w:left="91"/>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Impuesto de Industria y Comercio</w:t>
            </w:r>
          </w:p>
        </w:tc>
      </w:tr>
      <w:tr w:rsidR="00C54FE8" w:rsidRPr="00C54FE8" w14:paraId="2B2E6998" w14:textId="77777777">
        <w:trPr>
          <w:trHeight w:val="303"/>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80BE070" w14:textId="77777777" w:rsidR="00C54FE8" w:rsidRPr="00C54FE8" w:rsidRDefault="00C54FE8" w:rsidP="00C54FE8">
            <w:pPr>
              <w:spacing w:before="26"/>
              <w:ind w:left="27"/>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Subtema: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AADDE1A" w14:textId="77777777" w:rsidR="00C54FE8" w:rsidRPr="00C54FE8" w:rsidRDefault="00C54FE8" w:rsidP="00C54FE8">
            <w:pPr>
              <w:spacing w:before="26"/>
              <w:ind w:left="91"/>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Rendimientos financieros</w:t>
            </w:r>
          </w:p>
        </w:tc>
      </w:tr>
      <w:tr w:rsidR="00C54FE8" w:rsidRPr="00C54FE8" w14:paraId="092876A2" w14:textId="77777777">
        <w:trPr>
          <w:trHeight w:val="554"/>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E95BBCB" w14:textId="77777777" w:rsidR="00C54FE8" w:rsidRPr="00C54FE8" w:rsidRDefault="00C54FE8" w:rsidP="00C54FE8">
            <w:pPr>
              <w:spacing w:before="150"/>
              <w:ind w:left="27"/>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Problemas jurídicos: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15230D7" w14:textId="77777777" w:rsidR="00C54FE8" w:rsidRPr="00C54FE8" w:rsidRDefault="00C54FE8" w:rsidP="00C54FE8">
            <w:pPr>
              <w:spacing w:before="23"/>
              <w:ind w:left="28" w:firstLine="62"/>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0"/>
                <w:szCs w:val="20"/>
                <w:lang w:val="es-CO" w:eastAsia="es-MX"/>
                <w14:ligatures w14:val="none"/>
              </w:rPr>
              <w:t>¿Una persona natural debe pagar impuesto de industria y comercio por la constitución de un CDT?</w:t>
            </w:r>
          </w:p>
        </w:tc>
      </w:tr>
    </w:tbl>
    <w:p w14:paraId="705BE61D"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1097C865"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Respetada señora Yina Marcela:</w:t>
      </w:r>
    </w:p>
    <w:p w14:paraId="29EF86B6"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650FBA8C"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De conformidad con el numeral 6 del artículo 23 del Decreto No. 645 de 2025, corresponde a esta Subdirección la interpretación general y abstracta de las normas tributarias distritales garantizando la unidad doctrinal y el principio de seguridad jurídica en la Dirección Distrital de Impuestos de Bogotá-DIB.</w:t>
      </w:r>
    </w:p>
    <w:p w14:paraId="2774832C"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3BD9018E"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b/>
          <w:bCs/>
          <w:color w:val="000000"/>
          <w:kern w:val="0"/>
          <w:lang w:val="es-CO" w:eastAsia="es-MX"/>
          <w14:ligatures w14:val="none"/>
        </w:rPr>
        <w:t>CONSULTA</w:t>
      </w:r>
    </w:p>
    <w:p w14:paraId="0F1D84DF"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7A7F2225" w14:textId="77777777" w:rsidR="00C54FE8" w:rsidRPr="00C54FE8" w:rsidRDefault="00C54FE8" w:rsidP="00C54FE8">
      <w:pPr>
        <w:ind w:left="709"/>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2"/>
          <w:szCs w:val="22"/>
          <w:lang w:val="es-CO" w:eastAsia="es-MX"/>
          <w14:ligatures w14:val="none"/>
        </w:rPr>
        <w:t>¿Los rendimientos financieros obtenidos por parte de una persona natural por un CDT (actualmente pensionada) deben tenerse en cuenta para la base gravable de ICA y pagan impuesto? ¿Como determinar la obligación y de ser afirmativo a que tarifa tributarían?</w:t>
      </w:r>
    </w:p>
    <w:p w14:paraId="7A4DDC0D"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17FFCD3F"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b/>
          <w:bCs/>
          <w:color w:val="000000"/>
          <w:kern w:val="0"/>
          <w:lang w:val="es-CO" w:eastAsia="es-MX"/>
          <w14:ligatures w14:val="none"/>
        </w:rPr>
        <w:t>RESPUESTA</w:t>
      </w:r>
    </w:p>
    <w:p w14:paraId="4B719A5D"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603BCFA1"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Es procedente indicarle que los conceptos emitidos por este Despacho no responden a la solución de casos particulares y concretos, pues éstos son discutidos en los procesos de determinación que se adelantan a los contribuyentes, en los cuales se concreta de forma privativa la situación fiscal real del sujeto pasivo; por consiguiente, bajo estos parámetros, de manera general, se absolverá la consulta formulada.</w:t>
      </w:r>
    </w:p>
    <w:p w14:paraId="71993844"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1E106E4F"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 xml:space="preserve">De conformidad con el artículo 32 del Decreto Distrital 352 de 2002, el hecho generador del impuesto de industria y comercio es </w:t>
      </w:r>
      <w:r w:rsidRPr="00C54FE8">
        <w:rPr>
          <w:rFonts w:ascii="Verdana" w:eastAsia="Times New Roman" w:hAnsi="Verdana" w:cs="Times New Roman"/>
          <w:i/>
          <w:iCs/>
          <w:color w:val="000000"/>
          <w:kern w:val="0"/>
          <w:lang w:val="es-CO" w:eastAsia="es-MX"/>
          <w14:ligatures w14:val="none"/>
        </w:rPr>
        <w:t>“…el ejercicio o realización directa o indirecta de cualquier actividad industrial, comercial o de servicios en la jurisdicción del Distrito Capital de Bogotá, ya sea que se cumplan de forma permanente u ocasional, en inmueble determinado, con establecimientos de comercio o sin ellos.”</w:t>
      </w:r>
    </w:p>
    <w:p w14:paraId="77648BDC"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67567BD8"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Así las cosas, en aras de determinar si los rendimientos financieros hacen parte de la base gravable del impuesto de industria y comercio, primero se debe establecer si dicho rendimiento emana de una actividad gravada con el impuesto.</w:t>
      </w:r>
    </w:p>
    <w:p w14:paraId="7BD9F025"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72DEC41C"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Pues bien, los CDT son títulos que se constituyen con el propósito de obtener una rentabilidad, motivo por el cual, al observar el literal g) del artículo 2° de la Ley 964 de 2005, se encauza dentro de aquellas generadoras de rendimientos financieros, los cuales, hacen parte de la base gravable del impuesto de industria y comercio en los términos del numeral 5 del artículo 154 del Decreto Ley 1421 de 1993, compilado en el artículo 42 del Decreto 352 de 2002:</w:t>
      </w:r>
    </w:p>
    <w:p w14:paraId="67164BFF"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5D6E7025" w14:textId="77777777" w:rsidR="00C54FE8" w:rsidRPr="00C54FE8" w:rsidRDefault="00C54FE8" w:rsidP="00C54FE8">
      <w:pPr>
        <w:ind w:left="709"/>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2"/>
          <w:szCs w:val="22"/>
          <w:lang w:val="es-CO" w:eastAsia="es-MX"/>
          <w14:ligatures w14:val="none"/>
        </w:rPr>
        <w:t>5. Su base gravable estará conformada por los ingresos netos del contribuyente obtenidos durante el período gravable. Para determinarlos, se restará de la totalidad de los ingresos ordinarios y extraordinarios, los correspondientes a actividades exentas y no sujetas, así como las devoluciones, rebajas y descuentos, exportaciones y la venta de activos fijos. Hacen parte de la base gravable los ingresos obtenidos por rendimientos financieros, comisiones y en general todos los que no estén expresamente excluidos en esta disposición. Con base en estudios y factores objetivos, el concejo podrá establecer presunciones de ingresos mensuales netos para determinadas actividades. La base gravable para el sector financiero continuará rigiéndose por las normas vigentes para él. (Se subraya)</w:t>
      </w:r>
    </w:p>
    <w:p w14:paraId="70D1149A"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20105DFF"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Las actividades de inversión son catalogadas como actividades comerciales por el artículo 20 del Código de Comercio. No obstante, el Consejo de Estado en Sentencia de Unificación de fecha dos (02) de diciembre de dos mil veintiuno (2021), estableció la siguiente regla de derecho, para determinar si una actividad se entiende como comercial en los términos del hecho generador del impuesto de industria y comercio:</w:t>
      </w:r>
    </w:p>
    <w:p w14:paraId="2EF2B177" w14:textId="77777777" w:rsidR="00C54FE8" w:rsidRPr="00C54FE8" w:rsidRDefault="00C54FE8" w:rsidP="00C54FE8">
      <w:pPr>
        <w:rPr>
          <w:rFonts w:ascii="Times New Roman" w:eastAsia="Times New Roman" w:hAnsi="Times New Roman" w:cs="Times New Roman"/>
          <w:kern w:val="0"/>
          <w:lang w:val="es-CO" w:eastAsia="es-MX"/>
          <w14:ligatures w14:val="none"/>
        </w:rPr>
      </w:pPr>
      <w:r w:rsidRPr="00C54FE8">
        <w:rPr>
          <w:rFonts w:ascii="Times New Roman" w:eastAsia="Times New Roman" w:hAnsi="Times New Roman" w:cs="Times New Roman"/>
          <w:kern w:val="0"/>
          <w:lang w:val="es-CO" w:eastAsia="es-MX"/>
          <w14:ligatures w14:val="none"/>
        </w:rPr>
        <w:br/>
      </w:r>
    </w:p>
    <w:p w14:paraId="2F8EF40E" w14:textId="77777777" w:rsidR="00C54FE8" w:rsidRPr="00C54FE8" w:rsidRDefault="00C54FE8" w:rsidP="00C54FE8">
      <w:pPr>
        <w:numPr>
          <w:ilvl w:val="0"/>
          <w:numId w:val="1"/>
        </w:numPr>
        <w:ind w:left="1069"/>
        <w:jc w:val="both"/>
        <w:textAlignment w:val="baseline"/>
        <w:rPr>
          <w:rFonts w:ascii="Verdana" w:eastAsia="Times New Roman" w:hAnsi="Verdana" w:cs="Times New Roman"/>
          <w:color w:val="000000"/>
          <w:kern w:val="0"/>
          <w:sz w:val="22"/>
          <w:szCs w:val="22"/>
          <w:lang w:val="es-CO" w:eastAsia="es-MX"/>
          <w14:ligatures w14:val="none"/>
        </w:rPr>
      </w:pPr>
      <w:r w:rsidRPr="00C54FE8">
        <w:rPr>
          <w:rFonts w:ascii="Verdana" w:eastAsia="Times New Roman" w:hAnsi="Verdana" w:cs="Times New Roman"/>
          <w:color w:val="000000"/>
          <w:kern w:val="0"/>
          <w:sz w:val="22"/>
          <w:szCs w:val="22"/>
          <w:lang w:val="es-CO" w:eastAsia="es-MX"/>
          <w14:ligatures w14:val="none"/>
        </w:rPr>
        <w:t>Unificar la jurisprudencia del Consejo de Estado sobre el alcance del concepto de «actividad comercial» a efectos del impuesto de industria y comercio, para adoptar las siguientes reglas:</w:t>
      </w:r>
    </w:p>
    <w:p w14:paraId="1A357E0D" w14:textId="77777777" w:rsidR="00C54FE8" w:rsidRPr="00C54FE8" w:rsidRDefault="00C54FE8" w:rsidP="00C54FE8">
      <w:pPr>
        <w:rPr>
          <w:rFonts w:ascii="Times New Roman" w:eastAsia="Times New Roman" w:hAnsi="Times New Roman" w:cs="Times New Roman"/>
          <w:kern w:val="0"/>
          <w:lang w:val="es-CO" w:eastAsia="es-MX"/>
          <w14:ligatures w14:val="none"/>
        </w:rPr>
      </w:pPr>
      <w:r w:rsidRPr="00C54FE8">
        <w:rPr>
          <w:rFonts w:ascii="Times New Roman" w:eastAsia="Times New Roman" w:hAnsi="Times New Roman" w:cs="Times New Roman"/>
          <w:kern w:val="0"/>
          <w:lang w:val="es-CO" w:eastAsia="es-MX"/>
          <w14:ligatures w14:val="none"/>
        </w:rPr>
        <w:br/>
      </w:r>
    </w:p>
    <w:p w14:paraId="11317EB5" w14:textId="77777777" w:rsidR="00C54FE8" w:rsidRPr="00C54FE8" w:rsidRDefault="00C54FE8" w:rsidP="00C54FE8">
      <w:pPr>
        <w:numPr>
          <w:ilvl w:val="0"/>
          <w:numId w:val="2"/>
        </w:numPr>
        <w:ind w:left="1069"/>
        <w:jc w:val="both"/>
        <w:textAlignment w:val="baseline"/>
        <w:rPr>
          <w:rFonts w:ascii="Verdana" w:eastAsia="Times New Roman" w:hAnsi="Verdana" w:cs="Times New Roman"/>
          <w:b/>
          <w:bCs/>
          <w:color w:val="000000"/>
          <w:kern w:val="0"/>
          <w:lang w:val="es-CO" w:eastAsia="es-MX"/>
          <w14:ligatures w14:val="none"/>
        </w:rPr>
      </w:pPr>
      <w:r w:rsidRPr="00C54FE8">
        <w:rPr>
          <w:rFonts w:ascii="Verdana" w:eastAsia="Times New Roman" w:hAnsi="Verdana" w:cs="Times New Roman"/>
          <w:color w:val="000000"/>
          <w:kern w:val="0"/>
          <w:sz w:val="22"/>
          <w:szCs w:val="22"/>
          <w:lang w:val="es-CO" w:eastAsia="es-MX"/>
          <w14:ligatures w14:val="none"/>
        </w:rPr>
        <w:t xml:space="preserve">En el caso de la remisión al Código de Comercio efectuada por los artículos 32 de la Ley 14 de 1983, 198 del Decreto Ley 1333 de 1986 y 34 del Decreto Distrital 352 de 2002, se considera que una operación constituye actividad comercial gravada con el ICA </w:t>
      </w:r>
      <w:r w:rsidRPr="00C54FE8">
        <w:rPr>
          <w:rFonts w:ascii="Verdana" w:eastAsia="Times New Roman" w:hAnsi="Verdana" w:cs="Times New Roman"/>
          <w:b/>
          <w:bCs/>
          <w:color w:val="000000"/>
          <w:kern w:val="0"/>
          <w:sz w:val="22"/>
          <w:szCs w:val="22"/>
          <w:lang w:val="es-CO" w:eastAsia="es-MX"/>
          <w14:ligatures w14:val="none"/>
        </w:rPr>
        <w:t xml:space="preserve">cuando la misma la ejerce el sujeto pasivo con carácter empresarial, de </w:t>
      </w:r>
      <w:r w:rsidRPr="00C54FE8">
        <w:rPr>
          <w:rFonts w:ascii="Verdana" w:eastAsia="Times New Roman" w:hAnsi="Verdana" w:cs="Times New Roman"/>
          <w:b/>
          <w:bCs/>
          <w:color w:val="000000"/>
          <w:kern w:val="0"/>
          <w:sz w:val="22"/>
          <w:szCs w:val="22"/>
          <w:lang w:val="es-CO" w:eastAsia="es-MX"/>
          <w14:ligatures w14:val="none"/>
        </w:rPr>
        <w:lastRenderedPageBreak/>
        <w:t>conformidad con lo expuesto en la parte motiva de este proveído.</w:t>
      </w:r>
    </w:p>
    <w:p w14:paraId="32D6B242" w14:textId="77777777" w:rsidR="00C54FE8" w:rsidRPr="00C54FE8" w:rsidRDefault="00C54FE8" w:rsidP="00C54FE8">
      <w:pPr>
        <w:numPr>
          <w:ilvl w:val="0"/>
          <w:numId w:val="2"/>
        </w:numPr>
        <w:ind w:left="1069"/>
        <w:jc w:val="both"/>
        <w:textAlignment w:val="baseline"/>
        <w:rPr>
          <w:rFonts w:ascii="Verdana" w:eastAsia="Times New Roman" w:hAnsi="Verdana" w:cs="Times New Roman"/>
          <w:color w:val="000000"/>
          <w:kern w:val="0"/>
          <w:sz w:val="22"/>
          <w:szCs w:val="22"/>
          <w:lang w:val="es-CO" w:eastAsia="es-MX"/>
          <w14:ligatures w14:val="none"/>
        </w:rPr>
      </w:pPr>
      <w:r w:rsidRPr="00C54FE8">
        <w:rPr>
          <w:rFonts w:ascii="Verdana" w:eastAsia="Times New Roman" w:hAnsi="Verdana" w:cs="Times New Roman"/>
          <w:color w:val="000000"/>
          <w:kern w:val="0"/>
          <w:sz w:val="22"/>
          <w:szCs w:val="22"/>
          <w:lang w:val="es-CO" w:eastAsia="es-MX"/>
          <w14:ligatures w14:val="none"/>
        </w:rPr>
        <w:t>La anterior regla jurisprudencial de unificación rige para los trámites pendientes de resolver en vía administrativa y judicial. No podrá aplicarse a conflictos previamente decididos.</w:t>
      </w:r>
    </w:p>
    <w:p w14:paraId="718152E8"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095692AF" w14:textId="77777777" w:rsidR="00C54FE8" w:rsidRPr="00C54FE8" w:rsidRDefault="00C54FE8" w:rsidP="00C54FE8">
      <w:pPr>
        <w:ind w:left="709"/>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sz w:val="22"/>
          <w:szCs w:val="22"/>
          <w:lang w:val="es-CO" w:eastAsia="es-MX"/>
          <w14:ligatures w14:val="none"/>
        </w:rPr>
        <w:t>(Negrilla fuera de texto)</w:t>
      </w:r>
    </w:p>
    <w:p w14:paraId="5945F58D"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6BEA01FB"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 xml:space="preserve">De esta forma, los ingresos por inversión en </w:t>
      </w:r>
      <w:proofErr w:type="spellStart"/>
      <w:r w:rsidRPr="00C54FE8">
        <w:rPr>
          <w:rFonts w:ascii="Verdana" w:eastAsia="Times New Roman" w:hAnsi="Verdana" w:cs="Times New Roman"/>
          <w:color w:val="000000"/>
          <w:kern w:val="0"/>
          <w:lang w:val="es-CO" w:eastAsia="es-MX"/>
          <w14:ligatures w14:val="none"/>
        </w:rPr>
        <w:t>CDTs</w:t>
      </w:r>
      <w:proofErr w:type="spellEnd"/>
      <w:r w:rsidRPr="00C54FE8">
        <w:rPr>
          <w:rFonts w:ascii="Verdana" w:eastAsia="Times New Roman" w:hAnsi="Verdana" w:cs="Times New Roman"/>
          <w:color w:val="000000"/>
          <w:kern w:val="0"/>
          <w:lang w:val="es-CO" w:eastAsia="es-MX"/>
          <w14:ligatures w14:val="none"/>
        </w:rPr>
        <w:t xml:space="preserve"> harán parte de la base gravable para liquidar el tributo en la medida que se den las condiciones fijadas por el Consejo de Estado en la sentencia de unificación referida.</w:t>
      </w:r>
    </w:p>
    <w:p w14:paraId="0B5AD945"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374DF2E0"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Si se dan las circunstancias descritas por el Consejo de Estado para configurar la actividad como empresarial, la persona que realice la actividad deberá declarar y pagar impuesto de industria y comercio bajo el código de actividad 6613 “Otras actividades relacionadas con el mercado de valores” a la tarifa del 9.66 por mil.</w:t>
      </w:r>
    </w:p>
    <w:p w14:paraId="446B47CD"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62AE67CD"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 </w:t>
      </w:r>
    </w:p>
    <w:p w14:paraId="57D105A1"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Cordial saludo,</w:t>
      </w:r>
    </w:p>
    <w:p w14:paraId="08D1C962" w14:textId="77777777" w:rsidR="00C54FE8" w:rsidRPr="00C54FE8" w:rsidRDefault="00C54FE8" w:rsidP="00C54FE8">
      <w:pPr>
        <w:spacing w:after="240"/>
        <w:rPr>
          <w:rFonts w:ascii="Times New Roman" w:eastAsia="Times New Roman" w:hAnsi="Times New Roman" w:cs="Times New Roman"/>
          <w:kern w:val="0"/>
          <w:lang w:val="es-CO" w:eastAsia="es-MX"/>
          <w14:ligatures w14:val="none"/>
        </w:rPr>
      </w:pPr>
      <w:r w:rsidRPr="00C54FE8">
        <w:rPr>
          <w:rFonts w:ascii="Times New Roman" w:eastAsia="Times New Roman" w:hAnsi="Times New Roman" w:cs="Times New Roman"/>
          <w:kern w:val="0"/>
          <w:lang w:val="es-CO" w:eastAsia="es-MX"/>
          <w14:ligatures w14:val="none"/>
        </w:rPr>
        <w:br/>
      </w:r>
    </w:p>
    <w:p w14:paraId="73276A8C"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b/>
          <w:bCs/>
          <w:color w:val="000000"/>
          <w:kern w:val="0"/>
          <w:lang w:val="es-CO" w:eastAsia="es-MX"/>
          <w14:ligatures w14:val="none"/>
        </w:rPr>
        <w:t>ELENA LUCIA ORTIZ HENAO</w:t>
      </w:r>
    </w:p>
    <w:p w14:paraId="4A2F74AB"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Subdirectora</w:t>
      </w:r>
    </w:p>
    <w:p w14:paraId="199BAF0C"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Subdirección Jurídico Tributaria</w:t>
      </w:r>
    </w:p>
    <w:p w14:paraId="04971A8F" w14:textId="77777777" w:rsidR="00C54FE8" w:rsidRPr="00C54FE8" w:rsidRDefault="00C54FE8" w:rsidP="00C54FE8">
      <w:pPr>
        <w:jc w:val="both"/>
        <w:rPr>
          <w:rFonts w:ascii="Times New Roman" w:eastAsia="Times New Roman" w:hAnsi="Times New Roman" w:cs="Times New Roman"/>
          <w:kern w:val="0"/>
          <w:lang w:val="es-CO" w:eastAsia="es-MX"/>
          <w14:ligatures w14:val="none"/>
        </w:rPr>
      </w:pPr>
      <w:r w:rsidRPr="00C54FE8">
        <w:rPr>
          <w:rFonts w:ascii="Verdana" w:eastAsia="Times New Roman" w:hAnsi="Verdana" w:cs="Times New Roman"/>
          <w:color w:val="000000"/>
          <w:kern w:val="0"/>
          <w:lang w:val="es-CO" w:eastAsia="es-MX"/>
          <w14:ligatures w14:val="none"/>
        </w:rPr>
        <w:t>Dirección de Impuestos de Bogotá</w:t>
      </w:r>
    </w:p>
    <w:p w14:paraId="33E28018" w14:textId="77777777" w:rsidR="00C54FE8" w:rsidRPr="00C54FE8" w:rsidRDefault="00C54FE8" w:rsidP="00C54FE8">
      <w:pPr>
        <w:rPr>
          <w:rFonts w:ascii="Times New Roman" w:eastAsia="Times New Roman" w:hAnsi="Times New Roman" w:cs="Times New Roman"/>
          <w:kern w:val="0"/>
          <w:lang w:val="es-CO" w:eastAsia="es-MX"/>
          <w14:ligatures w14:val="none"/>
        </w:rPr>
      </w:pPr>
    </w:p>
    <w:p w14:paraId="5945869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6E407F"/>
    <w:multiLevelType w:val="multilevel"/>
    <w:tmpl w:val="38F81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715E79"/>
    <w:multiLevelType w:val="multilevel"/>
    <w:tmpl w:val="1C7C3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39807873">
    <w:abstractNumId w:val="1"/>
  </w:num>
  <w:num w:numId="2" w16cid:durableId="1253271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FE8"/>
    <w:rsid w:val="000B2285"/>
    <w:rsid w:val="002D5847"/>
    <w:rsid w:val="00537D8F"/>
    <w:rsid w:val="00B83A7B"/>
    <w:rsid w:val="00C54FE8"/>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0442BAB"/>
  <w14:defaultImageDpi w14:val="32767"/>
  <w15:chartTrackingRefBased/>
  <w15:docId w15:val="{5944FD2A-8534-E441-B45C-1E65C2B9B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54F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54F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54FE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54FE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54FE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54FE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54FE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54FE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54FE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54FE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54FE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54FE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54FE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54FE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54FE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54FE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54FE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54FE8"/>
    <w:rPr>
      <w:rFonts w:eastAsiaTheme="majorEastAsia" w:cstheme="majorBidi"/>
      <w:color w:val="272727" w:themeColor="text1" w:themeTint="D8"/>
    </w:rPr>
  </w:style>
  <w:style w:type="paragraph" w:styleId="Ttulo">
    <w:name w:val="Title"/>
    <w:basedOn w:val="Normal"/>
    <w:next w:val="Normal"/>
    <w:link w:val="TtuloCar"/>
    <w:uiPriority w:val="10"/>
    <w:qFormat/>
    <w:rsid w:val="00C54FE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54FE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54FE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54FE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54FE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54FE8"/>
    <w:rPr>
      <w:i/>
      <w:iCs/>
      <w:color w:val="404040" w:themeColor="text1" w:themeTint="BF"/>
    </w:rPr>
  </w:style>
  <w:style w:type="paragraph" w:styleId="Prrafodelista">
    <w:name w:val="List Paragraph"/>
    <w:basedOn w:val="Normal"/>
    <w:uiPriority w:val="34"/>
    <w:qFormat/>
    <w:rsid w:val="00C54FE8"/>
    <w:pPr>
      <w:ind w:left="720"/>
      <w:contextualSpacing/>
    </w:pPr>
  </w:style>
  <w:style w:type="character" w:styleId="nfasisintenso">
    <w:name w:val="Intense Emphasis"/>
    <w:basedOn w:val="Fuentedeprrafopredeter"/>
    <w:uiPriority w:val="21"/>
    <w:qFormat/>
    <w:rsid w:val="00C54FE8"/>
    <w:rPr>
      <w:i/>
      <w:iCs/>
      <w:color w:val="2F5496" w:themeColor="accent1" w:themeShade="BF"/>
    </w:rPr>
  </w:style>
  <w:style w:type="paragraph" w:styleId="Citadestacada">
    <w:name w:val="Intense Quote"/>
    <w:basedOn w:val="Normal"/>
    <w:next w:val="Normal"/>
    <w:link w:val="CitadestacadaCar"/>
    <w:uiPriority w:val="30"/>
    <w:qFormat/>
    <w:rsid w:val="00C54F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54FE8"/>
    <w:rPr>
      <w:i/>
      <w:iCs/>
      <w:color w:val="2F5496" w:themeColor="accent1" w:themeShade="BF"/>
    </w:rPr>
  </w:style>
  <w:style w:type="character" w:styleId="Referenciaintensa">
    <w:name w:val="Intense Reference"/>
    <w:basedOn w:val="Fuentedeprrafopredeter"/>
    <w:uiPriority w:val="32"/>
    <w:qFormat/>
    <w:rsid w:val="00C54FE8"/>
    <w:rPr>
      <w:b/>
      <w:bCs/>
      <w:smallCaps/>
      <w:color w:val="2F5496" w:themeColor="accent1" w:themeShade="BF"/>
      <w:spacing w:val="5"/>
    </w:rPr>
  </w:style>
  <w:style w:type="paragraph" w:styleId="NormalWeb">
    <w:name w:val="Normal (Web)"/>
    <w:basedOn w:val="Normal"/>
    <w:uiPriority w:val="99"/>
    <w:semiHidden/>
    <w:unhideWhenUsed/>
    <w:rsid w:val="00C54FE8"/>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809</Words>
  <Characters>4453</Characters>
  <Application>Microsoft Office Word</Application>
  <DocSecurity>0</DocSecurity>
  <Lines>37</Lines>
  <Paragraphs>10</Paragraphs>
  <ScaleCrop>false</ScaleCrop>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2026-05-12T21:45:00Z</dcterms:created>
  <dcterms:modified xsi:type="dcterms:W3CDTF">2026-05-12T21:47:00Z</dcterms:modified>
</cp:coreProperties>
</file>