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D8ADD" w14:textId="77777777" w:rsidR="00E82D14" w:rsidRPr="00E82D14" w:rsidRDefault="00E82D14" w:rsidP="00E82D14">
      <w:pPr>
        <w:jc w:val="center"/>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RESOLUCIÓN 662 DEL 30 DE ABRIL DE 2026</w:t>
      </w:r>
    </w:p>
    <w:p w14:paraId="1F05121C" w14:textId="77777777" w:rsidR="00E82D14" w:rsidRPr="00E82D14" w:rsidRDefault="00E82D14" w:rsidP="00E82D14">
      <w:pPr>
        <w:jc w:val="center"/>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SUPERINTENDENCIA FINANCIERA DE COLOMBIA</w:t>
      </w:r>
    </w:p>
    <w:p w14:paraId="20947D23"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7B916DB2"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color w:val="000000"/>
          <w:kern w:val="0"/>
          <w:lang w:val="es-CO" w:eastAsia="es-MX"/>
          <w14:ligatures w14:val="none"/>
        </w:rPr>
        <w:t>Por la cual se certifica el Interés Bancario Corriente para las modalidades de crédito de consumo y ordinario, crédito productivo de mayor monto, crédito productivo rural, crédito productivo urbano, crédito popular productivo rural y crédito popular productivo urbano.</w:t>
      </w:r>
    </w:p>
    <w:p w14:paraId="152A3888"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0FC77E6B"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EL DIRECTOR DE INVESTIGACIÓN, INNOVACIÓN Y DESARROLLO DE LA SUPERINTENDENCIA FINANCIERA DE COLOMBIA</w:t>
      </w:r>
    </w:p>
    <w:p w14:paraId="73498D82"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67C6AEBB"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color w:val="000000"/>
          <w:kern w:val="0"/>
          <w:lang w:val="es-CO" w:eastAsia="es-MX"/>
          <w14:ligatures w14:val="none"/>
        </w:rPr>
        <w:t>En ejercicio de las atribuciones conferidas por el artículo 884 del Código de Comercio, en concordancia con los artículos 11.2.1.4.15 y 11.2.5.1.1 y siguientes del Decreto 2555 de 2010, y</w:t>
      </w:r>
    </w:p>
    <w:p w14:paraId="4C2A3B89"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0B3ADD6D"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CONSIDERANDO:</w:t>
      </w:r>
    </w:p>
    <w:p w14:paraId="6C4D4C3A"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6C723EA9"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PRIMERO:</w:t>
      </w:r>
      <w:r w:rsidRPr="00E82D14">
        <w:rPr>
          <w:rFonts w:ascii="Verdana" w:eastAsia="Times New Roman" w:hAnsi="Verdana" w:cs="Times New Roman"/>
          <w:color w:val="000000"/>
          <w:kern w:val="0"/>
          <w:lang w:val="es-CO" w:eastAsia="es-MX"/>
          <w14:ligatures w14:val="none"/>
        </w:rPr>
        <w:t xml:space="preserve"> Que el artículo 884 del Código de Comercio establece que cuando en los negocios mercantiles haya de pagarse réditos de un capital, sin que se especifique por convenio el interés, éste será el bancario corriente, el cual se probará con certificado expedido por la Superintendencia Bancaria.</w:t>
      </w:r>
    </w:p>
    <w:p w14:paraId="75DAC151"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64373E3A"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SEGUNDO:</w:t>
      </w:r>
      <w:r w:rsidRPr="00E82D14">
        <w:rPr>
          <w:rFonts w:ascii="Verdana" w:eastAsia="Times New Roman" w:hAnsi="Verdana" w:cs="Times New Roman"/>
          <w:color w:val="000000"/>
          <w:kern w:val="0"/>
          <w:lang w:val="es-CO" w:eastAsia="es-MX"/>
          <w14:ligatures w14:val="none"/>
        </w:rPr>
        <w:t xml:space="preserve"> Que el artículo 93 del Decreto 4327 de 2005 señala que, a partir de la entrada en vigencia de dicho decreto, todas las referencias que hagan las disposiciones legales vigentes a la Superintendencia Bancaria, a la Superintendencia Bancaria de Colombia o a la Superintendencia de Valores se entenderán efectuadas a la Superintendencia Financiera de Colombia.</w:t>
      </w:r>
    </w:p>
    <w:p w14:paraId="365B3660"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6441CBA7"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TERCERO:</w:t>
      </w:r>
      <w:r w:rsidRPr="00E82D14">
        <w:rPr>
          <w:rFonts w:ascii="Verdana" w:eastAsia="Times New Roman" w:hAnsi="Verdana" w:cs="Times New Roman"/>
          <w:color w:val="000000"/>
          <w:kern w:val="0"/>
          <w:lang w:val="es-CO" w:eastAsia="es-MX"/>
          <w14:ligatures w14:val="none"/>
        </w:rPr>
        <w:t xml:space="preserve"> Que según lo establecido en el artículo 11.2.5.1.1 del Decreto 2555 de 2010, modificado por el Decreto 455 de 2023, le corresponde a la Superintendencia Financiera de Colombia certificar el interés bancario corriente correspondiente a las modalidades de crédito popular productivo rural, crédito popular productivo urbano, crédito productivo rural, crédito productivo urbano, crédito productivo de mayor monto, crédito de consumo y ordinario, y crédito de consumo de bajo monto, conforme a las definiciones consagradas en el artículo 11.2.5.1.2 ibidem.</w:t>
      </w:r>
    </w:p>
    <w:p w14:paraId="4B2EAA25"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58423D88"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CUARTO:</w:t>
      </w:r>
      <w:r w:rsidRPr="00E82D14">
        <w:rPr>
          <w:rFonts w:ascii="Verdana" w:eastAsia="Times New Roman" w:hAnsi="Verdana" w:cs="Times New Roman"/>
          <w:color w:val="000000"/>
          <w:kern w:val="0"/>
          <w:lang w:val="es-CO" w:eastAsia="es-MX"/>
          <w14:ligatures w14:val="none"/>
        </w:rPr>
        <w:t xml:space="preserve"> Que para el desarrollo de la citada función, el artículo 11.2.5.1.1 del Decreto 2555 de 2010, modificado por el Decreto 455 de 2023, dispone que la Superintendencia Financiera contará con la información financiera y contable que le sea suministrada por los establecimientos de crédito y podrá emplear fuentes alternativas de información relevantes del mercado de crédito pudiendo ser exceptuadas </w:t>
      </w:r>
      <w:r w:rsidRPr="00E82D14">
        <w:rPr>
          <w:rFonts w:ascii="Verdana" w:eastAsia="Times New Roman" w:hAnsi="Verdana" w:cs="Times New Roman"/>
          <w:color w:val="000000"/>
          <w:kern w:val="0"/>
          <w:lang w:val="es-CO" w:eastAsia="es-MX"/>
          <w14:ligatures w14:val="none"/>
        </w:rPr>
        <w:lastRenderedPageBreak/>
        <w:t>aquellas operaciones que, por sus condiciones particulares o por mandato legal, no resulten representativas del conjunto de créditos correspondientes a cada modalidad.</w:t>
      </w:r>
    </w:p>
    <w:p w14:paraId="003F806C"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1F2E65EF"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QUINTO:</w:t>
      </w:r>
      <w:r w:rsidRPr="00E82D14">
        <w:rPr>
          <w:rFonts w:ascii="Verdana" w:eastAsia="Times New Roman" w:hAnsi="Verdana" w:cs="Times New Roman"/>
          <w:color w:val="000000"/>
          <w:kern w:val="0"/>
          <w:lang w:val="es-CO" w:eastAsia="es-MX"/>
          <w14:ligatures w14:val="none"/>
        </w:rPr>
        <w:t xml:space="preserve"> Que en cumplimiento de lo establecido en el artículo 11.2.5.1.1 del Decreto 2555 de 2010, modificado por el Decreto 455 de 2023, la metodología para el cálculo del interés bancario corriente que mediante la presente resolución se certifica, fue publicada previamente en la página de internet de la Superintendencia Financiera de Colombia.</w:t>
      </w:r>
    </w:p>
    <w:p w14:paraId="52094C3B"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49BE4375"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color w:val="000000"/>
          <w:kern w:val="0"/>
          <w:lang w:val="es-CO" w:eastAsia="es-MX"/>
          <w14:ligatures w14:val="none"/>
        </w:rPr>
        <w:t>En mérito de lo expuesto,</w:t>
      </w:r>
    </w:p>
    <w:p w14:paraId="232EB90C"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527DB728"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RESUELVE:</w:t>
      </w:r>
    </w:p>
    <w:p w14:paraId="3BE86368"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5D3A5982"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ARTÍCULO PRIMERO:</w:t>
      </w:r>
      <w:r w:rsidRPr="00E82D14">
        <w:rPr>
          <w:rFonts w:ascii="Verdana" w:eastAsia="Times New Roman" w:hAnsi="Verdana" w:cs="Times New Roman"/>
          <w:color w:val="000000"/>
          <w:kern w:val="0"/>
          <w:lang w:val="es-CO" w:eastAsia="es-MX"/>
          <w14:ligatures w14:val="none"/>
        </w:rPr>
        <w:t xml:space="preserve"> Certificar en un 18.78% efectivo anual el interés bancario corriente para la modalidad de crédito de consumo y ordinario.</w:t>
      </w:r>
    </w:p>
    <w:p w14:paraId="2288AA11"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6FF11FD8"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color w:val="000000"/>
          <w:kern w:val="0"/>
          <w:lang w:val="es-CO" w:eastAsia="es-MX"/>
          <w14:ligatures w14:val="none"/>
        </w:rPr>
        <w:t>La tasa certificada para crédito de consumo y ordinario regirá para el periodo comprendido entre el 1 de mayo y el 31 de mayo de 2026.</w:t>
      </w:r>
    </w:p>
    <w:p w14:paraId="105FA13A"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3FB8D602"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ARTÍCULO SEGUNDO:</w:t>
      </w:r>
      <w:r w:rsidRPr="00E82D14">
        <w:rPr>
          <w:rFonts w:ascii="Verdana" w:eastAsia="Times New Roman" w:hAnsi="Verdana" w:cs="Times New Roman"/>
          <w:color w:val="000000"/>
          <w:kern w:val="0"/>
          <w:lang w:val="es-CO" w:eastAsia="es-MX"/>
          <w14:ligatures w14:val="none"/>
        </w:rPr>
        <w:t xml:space="preserve"> Certificar en un 43.46% efectivo anual el interés bancario corriente para la modalidad de crédito de consumo de bajo monto.</w:t>
      </w:r>
    </w:p>
    <w:p w14:paraId="30F6DD73"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099A4CA3"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color w:val="000000"/>
          <w:kern w:val="0"/>
          <w:lang w:val="es-CO" w:eastAsia="es-MX"/>
          <w14:ligatures w14:val="none"/>
        </w:rPr>
        <w:t>La tasa certificada para crédito de consumo de bajo monto regirá para el periodo comprendido entre el 1 de mayo y el 31 de mayo de 2026.</w:t>
      </w:r>
    </w:p>
    <w:p w14:paraId="7F7AC41B"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23C2372C"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ARTÍCULO TERCERO:</w:t>
      </w:r>
      <w:r w:rsidRPr="00E82D14">
        <w:rPr>
          <w:rFonts w:ascii="Verdana" w:eastAsia="Times New Roman" w:hAnsi="Verdana" w:cs="Times New Roman"/>
          <w:color w:val="000000"/>
          <w:kern w:val="0"/>
          <w:lang w:val="es-CO" w:eastAsia="es-MX"/>
          <w14:ligatures w14:val="none"/>
        </w:rPr>
        <w:t xml:space="preserve"> Certificar en un 28.24% efectivo anual el interés bancario corriente para la modalidad de crédito productivo de mayor monto.</w:t>
      </w:r>
    </w:p>
    <w:p w14:paraId="6CCB5418"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4F661700"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color w:val="000000"/>
          <w:kern w:val="0"/>
          <w:lang w:val="es-CO" w:eastAsia="es-MX"/>
          <w14:ligatures w14:val="none"/>
        </w:rPr>
        <w:t>La tasa certificada para crédito productivo de mayor monto regirá para el periodo comprendido entre el 1 de mayo y el 31 de mayo de 2026.</w:t>
      </w:r>
    </w:p>
    <w:p w14:paraId="1A8D45A0"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38B4D0CF"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ARTÍCULO CUARTO:</w:t>
      </w:r>
      <w:r w:rsidRPr="00E82D14">
        <w:rPr>
          <w:rFonts w:ascii="Verdana" w:eastAsia="Times New Roman" w:hAnsi="Verdana" w:cs="Times New Roman"/>
          <w:color w:val="000000"/>
          <w:kern w:val="0"/>
          <w:lang w:val="es-CO" w:eastAsia="es-MX"/>
          <w14:ligatures w14:val="none"/>
        </w:rPr>
        <w:t xml:space="preserve"> Certificar en un 23.26% efectivo anual el interés bancario corriente para la modalidad de crédito productivo rural.</w:t>
      </w:r>
    </w:p>
    <w:p w14:paraId="0BBB6C32"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30326938"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color w:val="000000"/>
          <w:kern w:val="0"/>
          <w:lang w:val="es-CO" w:eastAsia="es-MX"/>
          <w14:ligatures w14:val="none"/>
        </w:rPr>
        <w:t>La tasa certificada para crédito productivo rural regirá para el periodo comprendido entre el 1 de mayo y el 31 de mayo de 2026.</w:t>
      </w:r>
    </w:p>
    <w:p w14:paraId="18FB65E2"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7F804F16"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ARTÍCULO QUINTO:</w:t>
      </w:r>
      <w:r w:rsidRPr="00E82D14">
        <w:rPr>
          <w:rFonts w:ascii="Verdana" w:eastAsia="Times New Roman" w:hAnsi="Verdana" w:cs="Times New Roman"/>
          <w:color w:val="000000"/>
          <w:kern w:val="0"/>
          <w:lang w:val="es-CO" w:eastAsia="es-MX"/>
          <w14:ligatures w14:val="none"/>
        </w:rPr>
        <w:t xml:space="preserve"> Certificar en un 40.57% efectivo anual el interés bancario corriente para la modalidad de crédito productivo urbano.</w:t>
      </w:r>
    </w:p>
    <w:p w14:paraId="786703D6"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230B2AE5"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color w:val="000000"/>
          <w:kern w:val="0"/>
          <w:lang w:val="es-CO" w:eastAsia="es-MX"/>
          <w14:ligatures w14:val="none"/>
        </w:rPr>
        <w:t>La tasa certificada para crédito productivo urbano regirá para el periodo comprendido entre el 1 de mayo y el 31 de mayo de 2026.</w:t>
      </w:r>
    </w:p>
    <w:p w14:paraId="7E795A4B"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1089FDEA"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ARTÍCULO SEXTO:</w:t>
      </w:r>
      <w:r w:rsidRPr="00E82D14">
        <w:rPr>
          <w:rFonts w:ascii="Verdana" w:eastAsia="Times New Roman" w:hAnsi="Verdana" w:cs="Times New Roman"/>
          <w:color w:val="000000"/>
          <w:kern w:val="0"/>
          <w:lang w:val="es-CO" w:eastAsia="es-MX"/>
          <w14:ligatures w14:val="none"/>
        </w:rPr>
        <w:t xml:space="preserve"> Certificar en un 48.73% efectivo anual el interés bancario corriente para la modalidad de crédito popular productivo rural.</w:t>
      </w:r>
    </w:p>
    <w:p w14:paraId="18DEA77E"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30CC4A11"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color w:val="000000"/>
          <w:kern w:val="0"/>
          <w:lang w:val="es-CO" w:eastAsia="es-MX"/>
          <w14:ligatures w14:val="none"/>
        </w:rPr>
        <w:t>La tasa certificada para crédito popular productivo rural regirá para el periodo comprendido entre el 1 de mayo y el 31 de mayo de 2026.</w:t>
      </w:r>
    </w:p>
    <w:p w14:paraId="284237FB"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0F6A6ECE"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ARTÍCULO SEPTIMO:</w:t>
      </w:r>
      <w:r w:rsidRPr="00E82D14">
        <w:rPr>
          <w:rFonts w:ascii="Verdana" w:eastAsia="Times New Roman" w:hAnsi="Verdana" w:cs="Times New Roman"/>
          <w:color w:val="000000"/>
          <w:kern w:val="0"/>
          <w:lang w:val="es-CO" w:eastAsia="es-MX"/>
          <w14:ligatures w14:val="none"/>
        </w:rPr>
        <w:t xml:space="preserve"> Certificar en un 59.26% efectivo anual el interés bancario corriente para la modalidad de crédito popular productivo urbano.</w:t>
      </w:r>
    </w:p>
    <w:p w14:paraId="0129876B"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313CB84A"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color w:val="000000"/>
          <w:kern w:val="0"/>
          <w:lang w:val="es-CO" w:eastAsia="es-MX"/>
          <w14:ligatures w14:val="none"/>
        </w:rPr>
        <w:t>La tasa certificada para crédito popular productivo urbano regirá para el periodo comprendido entre el 1 de mayo y el 31 de mayo de 2026.</w:t>
      </w:r>
    </w:p>
    <w:p w14:paraId="0176AD01"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40D7AE3B"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ARTÍCULO OCTAVO:</w:t>
      </w:r>
      <w:r w:rsidRPr="00E82D14">
        <w:rPr>
          <w:rFonts w:ascii="Verdana" w:eastAsia="Times New Roman" w:hAnsi="Verdana" w:cs="Times New Roman"/>
          <w:color w:val="000000"/>
          <w:kern w:val="0"/>
          <w:lang w:val="es-CO" w:eastAsia="es-MX"/>
          <w14:ligatures w14:val="none"/>
        </w:rPr>
        <w:t xml:space="preserve"> Para efectos de lo dispuesto en el artículo 29 del Decreto 019 de 2012, publíquese la presente certificación en la página de internet de la Superintendencia Financiera de Colombia.</w:t>
      </w:r>
    </w:p>
    <w:p w14:paraId="2D43EBBC"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21B74DE9"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ARTÍCULO NOVENO:</w:t>
      </w:r>
      <w:r w:rsidRPr="00E82D14">
        <w:rPr>
          <w:rFonts w:ascii="Verdana" w:eastAsia="Times New Roman" w:hAnsi="Verdana" w:cs="Times New Roman"/>
          <w:color w:val="000000"/>
          <w:kern w:val="0"/>
          <w:lang w:val="es-CO" w:eastAsia="es-MX"/>
          <w14:ligatures w14:val="none"/>
        </w:rPr>
        <w:t xml:space="preserve"> La presente resolución rige a partir de la fecha de su publicación.</w:t>
      </w:r>
    </w:p>
    <w:p w14:paraId="1034A97B"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4F569240"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PUBLÍQUESE Y CÚMPLASE</w:t>
      </w:r>
    </w:p>
    <w:p w14:paraId="47356E6D"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67DA28E2"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color w:val="000000"/>
          <w:kern w:val="0"/>
          <w:lang w:val="es-CO" w:eastAsia="es-MX"/>
          <w14:ligatures w14:val="none"/>
        </w:rPr>
        <w:t>Dada en Bogotá, D.C. a los treinta (30) días del mes de abril de 2026.</w:t>
      </w:r>
    </w:p>
    <w:p w14:paraId="375F4569" w14:textId="77777777" w:rsidR="00E82D14" w:rsidRPr="00E82D14" w:rsidRDefault="00E82D14" w:rsidP="00E82D14">
      <w:pPr>
        <w:spacing w:after="240"/>
        <w:rPr>
          <w:rFonts w:ascii="Times New Roman" w:eastAsia="Times New Roman" w:hAnsi="Times New Roman" w:cs="Times New Roman"/>
          <w:kern w:val="0"/>
          <w:lang w:val="es-CO" w:eastAsia="es-MX"/>
          <w14:ligatures w14:val="none"/>
        </w:rPr>
      </w:pPr>
      <w:r w:rsidRPr="00E82D14">
        <w:rPr>
          <w:rFonts w:ascii="Times New Roman" w:eastAsia="Times New Roman" w:hAnsi="Times New Roman" w:cs="Times New Roman"/>
          <w:kern w:val="0"/>
          <w:lang w:val="es-CO" w:eastAsia="es-MX"/>
          <w14:ligatures w14:val="none"/>
        </w:rPr>
        <w:br/>
      </w:r>
    </w:p>
    <w:p w14:paraId="5CF6A8C8"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color w:val="000000"/>
          <w:kern w:val="0"/>
          <w:lang w:val="es-CO" w:eastAsia="es-MX"/>
          <w14:ligatures w14:val="none"/>
        </w:rPr>
        <w:t>EL DIRECTOR DE INVESTIGACIÓN, INNOVACIÓN Y DESARROLLO</w:t>
      </w:r>
    </w:p>
    <w:p w14:paraId="7DB5E01D"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b/>
          <w:bCs/>
          <w:color w:val="000000"/>
          <w:kern w:val="0"/>
          <w:lang w:val="es-CO" w:eastAsia="es-MX"/>
          <w14:ligatures w14:val="none"/>
        </w:rPr>
        <w:t>FRANCISCO JAVIER DUQUE SANDOVAL</w:t>
      </w:r>
    </w:p>
    <w:p w14:paraId="4563A21C"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color w:val="000000"/>
          <w:kern w:val="0"/>
          <w:lang w:val="es-CO" w:eastAsia="es-MX"/>
          <w14:ligatures w14:val="none"/>
        </w:rPr>
        <w:t>50000-Director de Investigación, Innovación y Desarrollo</w:t>
      </w:r>
    </w:p>
    <w:p w14:paraId="1A4EE377" w14:textId="77777777" w:rsidR="00E82D14" w:rsidRPr="00E82D14" w:rsidRDefault="00E82D14" w:rsidP="00E82D14">
      <w:pPr>
        <w:jc w:val="both"/>
        <w:rPr>
          <w:rFonts w:ascii="Times New Roman" w:eastAsia="Times New Roman" w:hAnsi="Times New Roman" w:cs="Times New Roman"/>
          <w:kern w:val="0"/>
          <w:lang w:val="es-CO" w:eastAsia="es-MX"/>
          <w14:ligatures w14:val="none"/>
        </w:rPr>
      </w:pPr>
      <w:r w:rsidRPr="00E82D14">
        <w:rPr>
          <w:rFonts w:ascii="Verdana" w:eastAsia="Times New Roman" w:hAnsi="Verdana" w:cs="Times New Roman"/>
          <w:color w:val="000000"/>
          <w:kern w:val="0"/>
          <w:lang w:val="es-CO" w:eastAsia="es-MX"/>
          <w14:ligatures w14:val="none"/>
        </w:rPr>
        <w:t>50000-DIRECCIÓN DE INVESTIGACIÓN, INNOVACION Y DESARROLLO</w:t>
      </w:r>
    </w:p>
    <w:p w14:paraId="5F791728" w14:textId="77777777" w:rsidR="00E82D14" w:rsidRPr="00E82D14" w:rsidRDefault="00E82D14" w:rsidP="00E82D14">
      <w:pPr>
        <w:rPr>
          <w:rFonts w:ascii="Times New Roman" w:eastAsia="Times New Roman" w:hAnsi="Times New Roman" w:cs="Times New Roman"/>
          <w:kern w:val="0"/>
          <w:lang w:val="es-CO" w:eastAsia="es-MX"/>
          <w14:ligatures w14:val="none"/>
        </w:rPr>
      </w:pPr>
    </w:p>
    <w:p w14:paraId="23DE43F2"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D14"/>
    <w:rsid w:val="000B2285"/>
    <w:rsid w:val="002D5847"/>
    <w:rsid w:val="00537D8F"/>
    <w:rsid w:val="00B83A7B"/>
    <w:rsid w:val="00E82D14"/>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57A0A7C"/>
  <w14:defaultImageDpi w14:val="32767"/>
  <w15:chartTrackingRefBased/>
  <w15:docId w15:val="{DB3CC5E0-1C0E-EC4D-ACE0-CBBAB3610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82D1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82D1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82D1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82D1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82D1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82D1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82D1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82D1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82D1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82D14"/>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82D14"/>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82D1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82D1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82D14"/>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82D1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82D1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82D1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82D14"/>
    <w:rPr>
      <w:rFonts w:eastAsiaTheme="majorEastAsia" w:cstheme="majorBidi"/>
      <w:color w:val="272727" w:themeColor="text1" w:themeTint="D8"/>
    </w:rPr>
  </w:style>
  <w:style w:type="paragraph" w:styleId="Ttulo">
    <w:name w:val="Title"/>
    <w:basedOn w:val="Normal"/>
    <w:next w:val="Normal"/>
    <w:link w:val="TtuloCar"/>
    <w:uiPriority w:val="10"/>
    <w:qFormat/>
    <w:rsid w:val="00E82D1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82D1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82D14"/>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82D1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82D1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82D14"/>
    <w:rPr>
      <w:i/>
      <w:iCs/>
      <w:color w:val="404040" w:themeColor="text1" w:themeTint="BF"/>
    </w:rPr>
  </w:style>
  <w:style w:type="paragraph" w:styleId="Prrafodelista">
    <w:name w:val="List Paragraph"/>
    <w:basedOn w:val="Normal"/>
    <w:uiPriority w:val="34"/>
    <w:qFormat/>
    <w:rsid w:val="00E82D14"/>
    <w:pPr>
      <w:ind w:left="720"/>
      <w:contextualSpacing/>
    </w:pPr>
  </w:style>
  <w:style w:type="character" w:styleId="nfasisintenso">
    <w:name w:val="Intense Emphasis"/>
    <w:basedOn w:val="Fuentedeprrafopredeter"/>
    <w:uiPriority w:val="21"/>
    <w:qFormat/>
    <w:rsid w:val="00E82D14"/>
    <w:rPr>
      <w:i/>
      <w:iCs/>
      <w:color w:val="2F5496" w:themeColor="accent1" w:themeShade="BF"/>
    </w:rPr>
  </w:style>
  <w:style w:type="paragraph" w:styleId="Citadestacada">
    <w:name w:val="Intense Quote"/>
    <w:basedOn w:val="Normal"/>
    <w:next w:val="Normal"/>
    <w:link w:val="CitadestacadaCar"/>
    <w:uiPriority w:val="30"/>
    <w:qFormat/>
    <w:rsid w:val="00E82D1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82D14"/>
    <w:rPr>
      <w:i/>
      <w:iCs/>
      <w:color w:val="2F5496" w:themeColor="accent1" w:themeShade="BF"/>
    </w:rPr>
  </w:style>
  <w:style w:type="character" w:styleId="Referenciaintensa">
    <w:name w:val="Intense Reference"/>
    <w:basedOn w:val="Fuentedeprrafopredeter"/>
    <w:uiPriority w:val="32"/>
    <w:qFormat/>
    <w:rsid w:val="00E82D14"/>
    <w:rPr>
      <w:b/>
      <w:bCs/>
      <w:smallCaps/>
      <w:color w:val="2F5496" w:themeColor="accent1" w:themeShade="BF"/>
      <w:spacing w:val="5"/>
    </w:rPr>
  </w:style>
  <w:style w:type="paragraph" w:styleId="NormalWeb">
    <w:name w:val="Normal (Web)"/>
    <w:basedOn w:val="Normal"/>
    <w:uiPriority w:val="99"/>
    <w:semiHidden/>
    <w:unhideWhenUsed/>
    <w:rsid w:val="00E82D14"/>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824</Words>
  <Characters>4537</Characters>
  <Application>Microsoft Office Word</Application>
  <DocSecurity>0</DocSecurity>
  <Lines>37</Lines>
  <Paragraphs>10</Paragraphs>
  <ScaleCrop>false</ScaleCrop>
  <Company/>
  <LinksUpToDate>false</LinksUpToDate>
  <CharactersWithSpaces>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2026-05-12T21:51:00Z</dcterms:created>
  <dcterms:modified xsi:type="dcterms:W3CDTF">2026-05-12T21:52:00Z</dcterms:modified>
</cp:coreProperties>
</file>