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9DE1878" w14:textId="1E57FD18" w:rsidR="00537D8F" w:rsidRDefault="00E45DB6">
      <w:r>
        <w:fldChar w:fldCharType="begin"/>
      </w:r>
      <w:r>
        <w:instrText xml:space="preserve"> INCLUDEPICTURE "https://fonts.gstatic.com/s/e/notoemoji/17.0/1f7e3/72.png" \* MERGEFORMATINET </w:instrText>
      </w:r>
      <w:r>
        <w:fldChar w:fldCharType="separate"/>
      </w:r>
      <w:r>
        <w:rPr>
          <w:noProof/>
        </w:rPr>
        <w:drawing>
          <wp:inline distT="0" distB="0" distL="0" distR="0" wp14:anchorId="4E2831D2" wp14:editId="462F4432">
            <wp:extent cx="914400" cy="914400"/>
            <wp:effectExtent l="0" t="0" r="0" b="0"/>
            <wp:docPr id="48302943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r>
        <w:fldChar w:fldCharType="end"/>
      </w:r>
      <w:r>
        <w:rPr>
          <w:rFonts w:ascii="Arial" w:hAnsi="Arial" w:cs="Arial"/>
          <w:color w:val="222222"/>
          <w:shd w:val="clear" w:color="auto" w:fill="FFFFFF"/>
        </w:rPr>
        <w:t> *FLASH DIGITAL DE LA SALA PLENA #* 21</w:t>
      </w:r>
      <w:r>
        <w:rPr>
          <w:rFonts w:ascii="Arial" w:hAnsi="Arial" w:cs="Arial"/>
          <w:color w:val="222222"/>
        </w:rPr>
        <w:br/>
      </w:r>
      <w:r>
        <w:rPr>
          <w:rFonts w:ascii="Arial" w:hAnsi="Arial" w:cs="Arial"/>
          <w:color w:val="222222"/>
          <w:shd w:val="clear" w:color="auto" w:fill="FFFFFF"/>
        </w:rPr>
        <w:t>Sentencia C-191/26</w:t>
      </w:r>
      <w:r>
        <w:rPr>
          <w:rFonts w:ascii="Arial" w:hAnsi="Arial" w:cs="Arial"/>
          <w:color w:val="222222"/>
        </w:rPr>
        <w:br/>
      </w:r>
      <w:r>
        <w:rPr>
          <w:rFonts w:ascii="Arial" w:hAnsi="Arial" w:cs="Arial"/>
          <w:color w:val="222222"/>
          <w:shd w:val="clear" w:color="auto" w:fill="FFFFFF"/>
        </w:rPr>
        <w:t>Expediente: RE-390</w:t>
      </w:r>
      <w:r>
        <w:rPr>
          <w:rFonts w:ascii="Arial" w:hAnsi="Arial" w:cs="Arial"/>
          <w:color w:val="222222"/>
        </w:rPr>
        <w:br/>
      </w:r>
      <w:r>
        <w:rPr>
          <w:rFonts w:ascii="Arial" w:hAnsi="Arial" w:cs="Arial"/>
          <w:color w:val="222222"/>
          <w:shd w:val="clear" w:color="auto" w:fill="FFFFFF"/>
        </w:rPr>
        <w:t>M.P. Miguel Polo Rosero</w:t>
      </w:r>
      <w:r>
        <w:rPr>
          <w:rFonts w:ascii="Arial" w:hAnsi="Arial" w:cs="Arial"/>
          <w:color w:val="222222"/>
        </w:rPr>
        <w:br/>
      </w:r>
      <w:r>
        <w:rPr>
          <w:rFonts w:ascii="Arial" w:hAnsi="Arial" w:cs="Arial"/>
          <w:color w:val="222222"/>
        </w:rPr>
        <w:br/>
      </w:r>
      <w:r>
        <w:rPr>
          <w:rFonts w:ascii="Arial" w:hAnsi="Arial" w:cs="Arial"/>
          <w:color w:val="222222"/>
          <w:shd w:val="clear" w:color="auto" w:fill="FFFFFF"/>
        </w:rPr>
        <w:t>La Sala Plena de la Corte declara la EXEQUIBILIDAD del artículo 1 del Decreto 150 de 2026, “[p]</w:t>
      </w:r>
      <w:proofErr w:type="spellStart"/>
      <w:r>
        <w:rPr>
          <w:rFonts w:ascii="Arial" w:hAnsi="Arial" w:cs="Arial"/>
          <w:color w:val="222222"/>
          <w:shd w:val="clear" w:color="auto" w:fill="FFFFFF"/>
        </w:rPr>
        <w:t>or</w:t>
      </w:r>
      <w:proofErr w:type="spellEnd"/>
      <w:r>
        <w:rPr>
          <w:rFonts w:ascii="Arial" w:hAnsi="Arial" w:cs="Arial"/>
          <w:color w:val="222222"/>
          <w:shd w:val="clear" w:color="auto" w:fill="FFFFFF"/>
        </w:rPr>
        <w:t xml:space="preserve"> el cual se declara el Estado de Emergencia Económica, Social y Ecológica en parte del territorio nacional”, salvo en lo relativo a los hechos y consideraciones relacionados (i) con la atención de la crisis financiera de las empresas de servicios públicos de energía eléctrica y el riesgo sistémico para la continuidad del servicio público domiciliario de energía en el territorio nacional; (</w:t>
      </w:r>
      <w:proofErr w:type="spellStart"/>
      <w:r>
        <w:rPr>
          <w:rFonts w:ascii="Arial" w:hAnsi="Arial" w:cs="Arial"/>
          <w:color w:val="222222"/>
          <w:shd w:val="clear" w:color="auto" w:fill="FFFFFF"/>
        </w:rPr>
        <w:t>ii</w:t>
      </w:r>
      <w:proofErr w:type="spellEnd"/>
      <w:r>
        <w:rPr>
          <w:rFonts w:ascii="Arial" w:hAnsi="Arial" w:cs="Arial"/>
          <w:color w:val="222222"/>
          <w:shd w:val="clear" w:color="auto" w:fill="FFFFFF"/>
        </w:rPr>
        <w:t>) las facultades de la Agencia Nacional de Tierras en materia de deslinde de tierras de la Nación y la recuperación de bienes de uso público y baldíos, así como en otros procedimientos agrarios; y (</w:t>
      </w:r>
      <w:proofErr w:type="spellStart"/>
      <w:r>
        <w:rPr>
          <w:rFonts w:ascii="Arial" w:hAnsi="Arial" w:cs="Arial"/>
          <w:color w:val="222222"/>
          <w:shd w:val="clear" w:color="auto" w:fill="FFFFFF"/>
        </w:rPr>
        <w:t>iii</w:t>
      </w:r>
      <w:proofErr w:type="spellEnd"/>
      <w:r>
        <w:rPr>
          <w:rFonts w:ascii="Arial" w:hAnsi="Arial" w:cs="Arial"/>
          <w:color w:val="222222"/>
          <w:shd w:val="clear" w:color="auto" w:fill="FFFFFF"/>
        </w:rPr>
        <w:t>) la actualización de los Planes de Manejo de Cuencas Hidrográficas –POMCA–, los procesos de acotamiento de rondas hídricas y su incorporación como determinantes ambientales en los instrumentos de ordenamiento territorial, que se declaran INEXEQUIBLES.</w:t>
      </w:r>
      <w:r>
        <w:rPr>
          <w:rFonts w:ascii="Arial" w:hAnsi="Arial" w:cs="Arial"/>
          <w:color w:val="222222"/>
        </w:rPr>
        <w:br/>
      </w:r>
      <w:r>
        <w:rPr>
          <w:rFonts w:ascii="Arial" w:hAnsi="Arial" w:cs="Arial"/>
          <w:color w:val="222222"/>
        </w:rPr>
        <w:br/>
      </w:r>
      <w:r>
        <w:rPr>
          <w:rFonts w:ascii="Arial" w:hAnsi="Arial" w:cs="Arial"/>
          <w:color w:val="222222"/>
          <w:shd w:val="clear" w:color="auto" w:fill="FFFFFF"/>
        </w:rPr>
        <w:t xml:space="preserve">La </w:t>
      </w:r>
      <w:proofErr w:type="spellStart"/>
      <w:r>
        <w:rPr>
          <w:rFonts w:ascii="Arial" w:hAnsi="Arial" w:cs="Arial"/>
          <w:color w:val="222222"/>
          <w:shd w:val="clear" w:color="auto" w:fill="FFFFFF"/>
        </w:rPr>
        <w:t>exequibilidad</w:t>
      </w:r>
      <w:proofErr w:type="spellEnd"/>
      <w:r>
        <w:rPr>
          <w:rFonts w:ascii="Arial" w:hAnsi="Arial" w:cs="Arial"/>
          <w:color w:val="222222"/>
          <w:shd w:val="clear" w:color="auto" w:fill="FFFFFF"/>
        </w:rPr>
        <w:t xml:space="preserve"> previamente declarada se condiciona a que se entienda que el ámbito territorial definido en el artículo 1, únicamente comprende (i) a los 181 municipios que, según el reporte de la Unidad Nacional para la Gestión del Riesgo de Desastres –UNGRD–, registraron afectaciones por el fenómeno meteorológico atípico ocurrido entre enero y febrero de 2026, y (</w:t>
      </w:r>
      <w:proofErr w:type="spellStart"/>
      <w:r>
        <w:rPr>
          <w:rFonts w:ascii="Arial" w:hAnsi="Arial" w:cs="Arial"/>
          <w:color w:val="222222"/>
          <w:shd w:val="clear" w:color="auto" w:fill="FFFFFF"/>
        </w:rPr>
        <w:t>ii</w:t>
      </w:r>
      <w:proofErr w:type="spellEnd"/>
      <w:r>
        <w:rPr>
          <w:rFonts w:ascii="Arial" w:hAnsi="Arial" w:cs="Arial"/>
          <w:color w:val="222222"/>
          <w:shd w:val="clear" w:color="auto" w:fill="FFFFFF"/>
        </w:rPr>
        <w:t>) a los demás municipios respecto de los cuales pueda demostrarse, de manera precisa, una afectación concreta derivada del fenómeno que originó la declaratoria del estado de excepción.</w:t>
      </w:r>
      <w:r>
        <w:rPr>
          <w:rFonts w:ascii="Arial" w:hAnsi="Arial" w:cs="Arial"/>
          <w:color w:val="222222"/>
        </w:rPr>
        <w:br/>
      </w:r>
      <w:r>
        <w:rPr>
          <w:rFonts w:ascii="Arial" w:hAnsi="Arial" w:cs="Arial"/>
          <w:color w:val="222222"/>
        </w:rPr>
        <w:br/>
      </w:r>
      <w:r>
        <w:rPr>
          <w:rFonts w:ascii="Arial" w:hAnsi="Arial" w:cs="Arial"/>
          <w:color w:val="222222"/>
          <w:shd w:val="clear" w:color="auto" w:fill="FFFFFF"/>
        </w:rPr>
        <w:t>Asimismo, declara la EXEQUIBILIDAD de los artículos 2 y 3 del Decreto 150 de 2026, “[p]</w:t>
      </w:r>
      <w:proofErr w:type="spellStart"/>
      <w:r>
        <w:rPr>
          <w:rFonts w:ascii="Arial" w:hAnsi="Arial" w:cs="Arial"/>
          <w:color w:val="222222"/>
          <w:shd w:val="clear" w:color="auto" w:fill="FFFFFF"/>
        </w:rPr>
        <w:t>or</w:t>
      </w:r>
      <w:proofErr w:type="spellEnd"/>
      <w:r>
        <w:rPr>
          <w:rFonts w:ascii="Arial" w:hAnsi="Arial" w:cs="Arial"/>
          <w:color w:val="222222"/>
          <w:shd w:val="clear" w:color="auto" w:fill="FFFFFF"/>
        </w:rPr>
        <w:t xml:space="preserve"> el cual se declara el Estado de Emergencia Económica, Social y Ecológica en parte del territorio nacional”, bajo las siguientes condiciones cuya implementación deberá iniciarse tan pronto se publique el comunicado de esta decisión:</w:t>
      </w:r>
      <w:r>
        <w:rPr>
          <w:rFonts w:ascii="Arial" w:hAnsi="Arial" w:cs="Arial"/>
          <w:color w:val="222222"/>
        </w:rPr>
        <w:br/>
      </w:r>
      <w:r>
        <w:rPr>
          <w:rFonts w:ascii="Arial" w:hAnsi="Arial" w:cs="Arial"/>
          <w:color w:val="222222"/>
        </w:rPr>
        <w:br/>
      </w:r>
      <w:r>
        <w:rPr>
          <w:rFonts w:ascii="Arial" w:hAnsi="Arial" w:cs="Arial"/>
          <w:color w:val="222222"/>
          <w:shd w:val="clear" w:color="auto" w:fill="FFFFFF"/>
        </w:rPr>
        <w:t>a) El estado de emergencia no habilita la adopción de medidas estructurales, ni de aquellas que tengan por objeto ejecutar acciones de reconstrucción, a menos que, respecto de estas últimas, el Gobierno Nacional demuestre que se encuentran directa y estrechamente relacionadas con la fase de rehabilitación, en los términos que han quedado indicados en la parte motiva de esta providencia.</w:t>
      </w:r>
      <w:r>
        <w:rPr>
          <w:rFonts w:ascii="Arial" w:hAnsi="Arial" w:cs="Arial"/>
          <w:color w:val="222222"/>
        </w:rPr>
        <w:br/>
      </w:r>
      <w:r>
        <w:rPr>
          <w:rFonts w:ascii="Arial" w:hAnsi="Arial" w:cs="Arial"/>
          <w:color w:val="222222"/>
        </w:rPr>
        <w:br/>
      </w:r>
      <w:r>
        <w:rPr>
          <w:rFonts w:ascii="Arial" w:hAnsi="Arial" w:cs="Arial"/>
          <w:color w:val="222222"/>
          <w:shd w:val="clear" w:color="auto" w:fill="FFFFFF"/>
        </w:rPr>
        <w:t>b) La configuración y ejecución de las medidas de financiación extraordinarias deberá sujetarse a las siguientes exigencias:</w:t>
      </w:r>
      <w:r>
        <w:rPr>
          <w:rFonts w:ascii="Arial" w:hAnsi="Arial" w:cs="Arial"/>
          <w:color w:val="222222"/>
        </w:rPr>
        <w:br/>
      </w:r>
      <w:r>
        <w:rPr>
          <w:rFonts w:ascii="Arial" w:hAnsi="Arial" w:cs="Arial"/>
          <w:color w:val="222222"/>
        </w:rPr>
        <w:br/>
      </w:r>
      <w:r>
        <w:rPr>
          <w:rFonts w:ascii="Arial" w:hAnsi="Arial" w:cs="Arial"/>
          <w:color w:val="222222"/>
          <w:shd w:val="clear" w:color="auto" w:fill="FFFFFF"/>
        </w:rPr>
        <w:lastRenderedPageBreak/>
        <w:t>i. Las competencias para financiar (recaudo, crédito, distribuciones, entre otras) y ejecutar recursos al amparo del estado de excepción no pueden extenderse, en ningún caso, a gastos no relacionados directamente con el estado de emergencia declarado y en las condiciones indicadas en esta sentencia. A la mayor brevedad posible, el Ministerio de Hacienda deberá recalcular el costo total de la emergencia y de las adiciones presupuestales necesarias para financiarlo, teniendo en cuenta el contenido de esta sentencia y los principios y reglas que guían la gestión de los recursos públicos.</w:t>
      </w:r>
      <w:r>
        <w:rPr>
          <w:rFonts w:ascii="Arial" w:hAnsi="Arial" w:cs="Arial"/>
          <w:color w:val="222222"/>
        </w:rPr>
        <w:br/>
      </w:r>
      <w:r>
        <w:rPr>
          <w:rFonts w:ascii="Arial" w:hAnsi="Arial" w:cs="Arial"/>
          <w:color w:val="222222"/>
        </w:rPr>
        <w:br/>
      </w:r>
      <w:proofErr w:type="spellStart"/>
      <w:r>
        <w:rPr>
          <w:rFonts w:ascii="Arial" w:hAnsi="Arial" w:cs="Arial"/>
          <w:color w:val="222222"/>
          <w:shd w:val="clear" w:color="auto" w:fill="FFFFFF"/>
        </w:rPr>
        <w:t>ii</w:t>
      </w:r>
      <w:proofErr w:type="spellEnd"/>
      <w:r>
        <w:rPr>
          <w:rFonts w:ascii="Arial" w:hAnsi="Arial" w:cs="Arial"/>
          <w:color w:val="222222"/>
          <w:shd w:val="clear" w:color="auto" w:fill="FFFFFF"/>
        </w:rPr>
        <w:t>. La entidad con competencia para ordenar el gasto en cada sector deberá indicar en un acto administrativo, las razones por las cuales, en función de la oportunidad del gasto y la disponibilidad de los recursos, no es posible acudir a medios ordinarios de financiación. Esta obligación se extenderá a los recursos que todavía no se hayan comprometido o ejecutado.</w:t>
      </w:r>
      <w:r>
        <w:rPr>
          <w:rFonts w:ascii="Arial" w:hAnsi="Arial" w:cs="Arial"/>
          <w:color w:val="222222"/>
        </w:rPr>
        <w:br/>
      </w:r>
      <w:r>
        <w:rPr>
          <w:rFonts w:ascii="Arial" w:hAnsi="Arial" w:cs="Arial"/>
          <w:color w:val="222222"/>
        </w:rPr>
        <w:br/>
      </w:r>
      <w:proofErr w:type="spellStart"/>
      <w:r>
        <w:rPr>
          <w:rFonts w:ascii="Arial" w:hAnsi="Arial" w:cs="Arial"/>
          <w:color w:val="222222"/>
          <w:shd w:val="clear" w:color="auto" w:fill="FFFFFF"/>
        </w:rPr>
        <w:t>iii</w:t>
      </w:r>
      <w:proofErr w:type="spellEnd"/>
      <w:r>
        <w:rPr>
          <w:rFonts w:ascii="Arial" w:hAnsi="Arial" w:cs="Arial"/>
          <w:color w:val="222222"/>
          <w:shd w:val="clear" w:color="auto" w:fill="FFFFFF"/>
        </w:rPr>
        <w:t>. El Gobierno Nacional, en coordinación con las entidades territoriales afectadas, deberá establecer mecanismos que, con pleno respeto de su autonomía, permitan distribuir las tareas de financiación de las medidas de emergencia entre la Nación y dichas entidades.</w:t>
      </w:r>
      <w:r>
        <w:rPr>
          <w:rFonts w:ascii="Arial" w:hAnsi="Arial" w:cs="Arial"/>
          <w:color w:val="222222"/>
        </w:rPr>
        <w:br/>
      </w:r>
      <w:r>
        <w:rPr>
          <w:rFonts w:ascii="Arial" w:hAnsi="Arial" w:cs="Arial"/>
          <w:color w:val="222222"/>
        </w:rPr>
        <w:br/>
      </w:r>
      <w:proofErr w:type="spellStart"/>
      <w:r>
        <w:rPr>
          <w:rFonts w:ascii="Arial" w:hAnsi="Arial" w:cs="Arial"/>
          <w:color w:val="222222"/>
          <w:shd w:val="clear" w:color="auto" w:fill="FFFFFF"/>
        </w:rPr>
        <w:t>iv</w:t>
      </w:r>
      <w:proofErr w:type="spellEnd"/>
      <w:r>
        <w:rPr>
          <w:rFonts w:ascii="Arial" w:hAnsi="Arial" w:cs="Arial"/>
          <w:color w:val="222222"/>
          <w:shd w:val="clear" w:color="auto" w:fill="FFFFFF"/>
        </w:rPr>
        <w:t>. El Gobierno Nacional deberá prever, según los instrumentos actualmente existentes, un mecanismo para la administración y ejecución de los recursos obtenidos al amparo del estado de emergencia, absolutamente separado de otras fuentes, que permita un seguimiento adecuado de su destinación y que haga posible que los organismos de control dispongan de información permanente sobre los diferentes compromisos que se asuman. Esta obligación se extenderá a los recursos que todavía no se hayan comprometido o ejecutado.</w:t>
      </w:r>
      <w:r>
        <w:rPr>
          <w:rFonts w:ascii="Arial" w:hAnsi="Arial" w:cs="Arial"/>
          <w:color w:val="222222"/>
        </w:rPr>
        <w:br/>
      </w:r>
      <w:r>
        <w:rPr>
          <w:rFonts w:ascii="Arial" w:hAnsi="Arial" w:cs="Arial"/>
          <w:color w:val="222222"/>
        </w:rPr>
        <w:br/>
      </w:r>
      <w:r>
        <w:rPr>
          <w:rFonts w:ascii="Arial" w:hAnsi="Arial" w:cs="Arial"/>
          <w:color w:val="222222"/>
          <w:shd w:val="clear" w:color="auto" w:fill="FFFFFF"/>
        </w:rPr>
        <w:t>Igualmente, declara la EXEQUIBILIDAD de los artículos 4 y 5 del Decreto 150 de 2026, “[p]</w:t>
      </w:r>
      <w:proofErr w:type="spellStart"/>
      <w:r>
        <w:rPr>
          <w:rFonts w:ascii="Arial" w:hAnsi="Arial" w:cs="Arial"/>
          <w:color w:val="222222"/>
          <w:shd w:val="clear" w:color="auto" w:fill="FFFFFF"/>
        </w:rPr>
        <w:t>or</w:t>
      </w:r>
      <w:proofErr w:type="spellEnd"/>
      <w:r>
        <w:rPr>
          <w:rFonts w:ascii="Arial" w:hAnsi="Arial" w:cs="Arial"/>
          <w:color w:val="222222"/>
          <w:shd w:val="clear" w:color="auto" w:fill="FFFFFF"/>
        </w:rPr>
        <w:t xml:space="preserve"> el cual se declara el Estado de Emergencia Económica, Social y Ecológica en parte del territorio nacional”.</w:t>
      </w:r>
      <w:r>
        <w:rPr>
          <w:rFonts w:ascii="Arial" w:hAnsi="Arial" w:cs="Arial"/>
          <w:color w:val="222222"/>
        </w:rPr>
        <w:br/>
      </w:r>
      <w:r>
        <w:rPr>
          <w:rFonts w:ascii="Arial" w:hAnsi="Arial" w:cs="Arial"/>
          <w:color w:val="222222"/>
        </w:rPr>
        <w:br/>
      </w:r>
      <w:r>
        <w:rPr>
          <w:rFonts w:ascii="Arial" w:hAnsi="Arial" w:cs="Arial"/>
          <w:color w:val="222222"/>
          <w:shd w:val="clear" w:color="auto" w:fill="FFFFFF"/>
        </w:rPr>
        <w:t>Y ORDENA al Gobierno Nacional y al Congreso de la República que, en adelante y desde sus competencias respectivas, incluyan un análisis de impacto climático en la preparación y aprobación de las leyes del Plan Nacional de Desarrollo, con el fin de optimizar la capacidad de respuesta del Estado frente a los desastres o calamidades vinculadas con el cambio climático, y para contrarrestar las causas humanas vinculadas con el mismo, protegiendo a todas las personas, en particular aquellas que se encuentran en una situación de mayor vulnerabilidad.</w:t>
      </w:r>
      <w:r>
        <w:rPr>
          <w:rFonts w:ascii="Arial" w:hAnsi="Arial" w:cs="Arial"/>
          <w:color w:val="222222"/>
        </w:rPr>
        <w:br/>
      </w:r>
      <w:r>
        <w:rPr>
          <w:rFonts w:ascii="Arial" w:hAnsi="Arial" w:cs="Arial"/>
          <w:color w:val="222222"/>
        </w:rPr>
        <w:br/>
      </w:r>
      <w:r>
        <w:rPr>
          <w:rFonts w:ascii="Arial" w:hAnsi="Arial" w:cs="Arial"/>
          <w:color w:val="222222"/>
          <w:shd w:val="clear" w:color="auto" w:fill="FFFFFF"/>
        </w:rPr>
        <w:t>Por último, EXHORTA al presidente de la República para que, en su condición de conductor del Sistema Nacional de Gestión del Riesgo de Desastres (SNGRD) y con el propósito de fortalecer todas las fases de gestión del riesgo (conocimiento, reducción y manejo de desastres), adopte e impulse, en el marco de sus competencias, las medidas que se requieran para (i) asegurar su financiación permanente, continua y ascendente; y (</w:t>
      </w:r>
      <w:proofErr w:type="spellStart"/>
      <w:r>
        <w:rPr>
          <w:rFonts w:ascii="Arial" w:hAnsi="Arial" w:cs="Arial"/>
          <w:color w:val="222222"/>
          <w:shd w:val="clear" w:color="auto" w:fill="FFFFFF"/>
        </w:rPr>
        <w:t>ii</w:t>
      </w:r>
      <w:proofErr w:type="spellEnd"/>
      <w:r>
        <w:rPr>
          <w:rFonts w:ascii="Arial" w:hAnsi="Arial" w:cs="Arial"/>
          <w:color w:val="222222"/>
          <w:shd w:val="clear" w:color="auto" w:fill="FFFFFF"/>
        </w:rPr>
        <w:t xml:space="preserve">) para optimizar su capacidad de respuesta frente a todos los desastres o calamidades vinculadas con el cambio </w:t>
      </w:r>
      <w:r>
        <w:rPr>
          <w:rFonts w:ascii="Arial" w:hAnsi="Arial" w:cs="Arial"/>
          <w:color w:val="222222"/>
          <w:shd w:val="clear" w:color="auto" w:fill="FFFFFF"/>
        </w:rPr>
        <w:lastRenderedPageBreak/>
        <w:t>climático. El fin de estas medidas deberá consistir en asegurar recursos suficientes para enfrentar la variabilidad climática y la clase de fenómenos meteorológicos evaluados en esta sentencia.</w:t>
      </w:r>
      <w:r>
        <w:rPr>
          <w:rFonts w:ascii="Arial" w:hAnsi="Arial" w:cs="Arial"/>
          <w:color w:val="222222"/>
        </w:rPr>
        <w:br/>
      </w:r>
      <w:r>
        <w:rPr>
          <w:rFonts w:ascii="Arial" w:hAnsi="Arial" w:cs="Arial"/>
          <w:color w:val="222222"/>
        </w:rPr>
        <w:br/>
      </w:r>
      <w:r>
        <w:rPr>
          <w:rFonts w:ascii="Arial" w:hAnsi="Arial" w:cs="Arial"/>
          <w:color w:val="222222"/>
          <w:shd w:val="clear" w:color="auto" w:fill="FFFFFF"/>
        </w:rPr>
        <w:t>*</w:t>
      </w:r>
      <w:proofErr w:type="gramStart"/>
      <w:r>
        <w:rPr>
          <w:rFonts w:ascii="Arial" w:hAnsi="Arial" w:cs="Arial"/>
          <w:color w:val="222222"/>
          <w:shd w:val="clear" w:color="auto" w:fill="FFFFFF"/>
        </w:rPr>
        <w:t>Votación:*</w:t>
      </w:r>
      <w:proofErr w:type="gramEnd"/>
      <w:r>
        <w:rPr>
          <w:rFonts w:ascii="Arial" w:hAnsi="Arial" w:cs="Arial"/>
          <w:color w:val="222222"/>
          <w:shd w:val="clear" w:color="auto" w:fill="FFFFFF"/>
        </w:rPr>
        <w:t xml:space="preserve"> 8-1. Salvamento parcial de voto del magistrado Jorge Enrique Ibáñez Najar y aclaración de voto del magistrado Carlos Camargo Assis.</w:t>
      </w:r>
      <w:r>
        <w:rPr>
          <w:rFonts w:ascii="Arial" w:hAnsi="Arial" w:cs="Arial"/>
          <w:color w:val="222222"/>
        </w:rPr>
        <w:br/>
      </w:r>
      <w:r>
        <w:rPr>
          <w:rFonts w:ascii="Arial" w:hAnsi="Arial" w:cs="Arial"/>
          <w:color w:val="222222"/>
        </w:rPr>
        <w:br/>
      </w:r>
      <w:r>
        <w:rPr>
          <w:rFonts w:ascii="Arial" w:hAnsi="Arial" w:cs="Arial"/>
          <w:color w:val="222222"/>
          <w:shd w:val="clear" w:color="auto" w:fill="FFFFFF"/>
        </w:rPr>
        <w:t>*Link del expediente:* </w:t>
      </w:r>
      <w:hyperlink r:id="rId5" w:tgtFrame="_blank" w:history="1">
        <w:r>
          <w:rPr>
            <w:rStyle w:val="Hipervnculo"/>
            <w:rFonts w:ascii="Arial" w:hAnsi="Arial" w:cs="Arial"/>
            <w:color w:val="1155CC"/>
            <w:shd w:val="clear" w:color="auto" w:fill="FFFFFF"/>
          </w:rPr>
          <w:t>https://www.corteconstitucional.gov.co/secretaria/expediente?proceso=11&amp;expediente=RE0000390&amp;lista=datosExpedientes_1781283742212</w:t>
        </w:r>
      </w:hyperlink>
      <w:r>
        <w:rPr>
          <w:rFonts w:ascii="Arial" w:hAnsi="Arial" w:cs="Arial"/>
          <w:color w:val="222222"/>
        </w:rPr>
        <w:br/>
      </w:r>
      <w:r>
        <w:rPr>
          <w:rFonts w:ascii="Arial" w:hAnsi="Arial" w:cs="Arial"/>
          <w:color w:val="222222"/>
        </w:rPr>
        <w:br/>
      </w:r>
      <w:r>
        <w:rPr>
          <w:rFonts w:ascii="Arial" w:hAnsi="Arial" w:cs="Arial"/>
          <w:color w:val="222222"/>
          <w:shd w:val="clear" w:color="auto" w:fill="FFFFFF"/>
        </w:rPr>
        <w:t>*NOTA ACLARATORIA:* Este flash informativo no sustituye el comunicado oficial de la Corporación, ni la sentencia del expediente estudiado. Tiene como objetivo comunicar e informar, en términos de igualdad de condiciones y de acceso oportuno a la información pública, sobre la decisión proferida, en su parte resolutiva, por la Sala Plena de la Corte, en el asunto de la referencia. Los fundamentos de esta decisión se harán públicos a través de los medios inicialmente señalados, conforme se dispone en los Decretos 2067 y 2591 de 1991, y la Ley Estatutaria de Administración de Justicia.</w:t>
      </w:r>
    </w:p>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DB6"/>
    <w:rsid w:val="000B2285"/>
    <w:rsid w:val="00537D8F"/>
    <w:rsid w:val="00796344"/>
    <w:rsid w:val="00B83A7B"/>
    <w:rsid w:val="00E45DB6"/>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DEF4706"/>
  <w14:defaultImageDpi w14:val="32767"/>
  <w15:chartTrackingRefBased/>
  <w15:docId w15:val="{28950DEA-6C1C-974F-9033-41B14F9FA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45DB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45DB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45DB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45DB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45DB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45DB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45DB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45DB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45DB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5DB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45DB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45DB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45DB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45DB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45DB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45DB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45DB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45DB6"/>
    <w:rPr>
      <w:rFonts w:eastAsiaTheme="majorEastAsia" w:cstheme="majorBidi"/>
      <w:color w:val="272727" w:themeColor="text1" w:themeTint="D8"/>
    </w:rPr>
  </w:style>
  <w:style w:type="paragraph" w:styleId="Ttulo">
    <w:name w:val="Title"/>
    <w:basedOn w:val="Normal"/>
    <w:next w:val="Normal"/>
    <w:link w:val="TtuloCar"/>
    <w:uiPriority w:val="10"/>
    <w:qFormat/>
    <w:rsid w:val="00E45DB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45DB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45DB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45DB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45DB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45DB6"/>
    <w:rPr>
      <w:i/>
      <w:iCs/>
      <w:color w:val="404040" w:themeColor="text1" w:themeTint="BF"/>
    </w:rPr>
  </w:style>
  <w:style w:type="paragraph" w:styleId="Prrafodelista">
    <w:name w:val="List Paragraph"/>
    <w:basedOn w:val="Normal"/>
    <w:uiPriority w:val="34"/>
    <w:qFormat/>
    <w:rsid w:val="00E45DB6"/>
    <w:pPr>
      <w:ind w:left="720"/>
      <w:contextualSpacing/>
    </w:pPr>
  </w:style>
  <w:style w:type="character" w:styleId="nfasisintenso">
    <w:name w:val="Intense Emphasis"/>
    <w:basedOn w:val="Fuentedeprrafopredeter"/>
    <w:uiPriority w:val="21"/>
    <w:qFormat/>
    <w:rsid w:val="00E45DB6"/>
    <w:rPr>
      <w:i/>
      <w:iCs/>
      <w:color w:val="2F5496" w:themeColor="accent1" w:themeShade="BF"/>
    </w:rPr>
  </w:style>
  <w:style w:type="paragraph" w:styleId="Citadestacada">
    <w:name w:val="Intense Quote"/>
    <w:basedOn w:val="Normal"/>
    <w:next w:val="Normal"/>
    <w:link w:val="CitadestacadaCar"/>
    <w:uiPriority w:val="30"/>
    <w:qFormat/>
    <w:rsid w:val="00E45DB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45DB6"/>
    <w:rPr>
      <w:i/>
      <w:iCs/>
      <w:color w:val="2F5496" w:themeColor="accent1" w:themeShade="BF"/>
    </w:rPr>
  </w:style>
  <w:style w:type="character" w:styleId="Referenciaintensa">
    <w:name w:val="Intense Reference"/>
    <w:basedOn w:val="Fuentedeprrafopredeter"/>
    <w:uiPriority w:val="32"/>
    <w:qFormat/>
    <w:rsid w:val="00E45DB6"/>
    <w:rPr>
      <w:b/>
      <w:bCs/>
      <w:smallCaps/>
      <w:color w:val="2F5496" w:themeColor="accent1" w:themeShade="BF"/>
      <w:spacing w:val="5"/>
    </w:rPr>
  </w:style>
  <w:style w:type="character" w:styleId="Hipervnculo">
    <w:name w:val="Hyperlink"/>
    <w:basedOn w:val="Fuentedeprrafopredeter"/>
    <w:uiPriority w:val="99"/>
    <w:semiHidden/>
    <w:unhideWhenUsed/>
    <w:rsid w:val="00E45DB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orteconstitucional.gov.co/secretaria/expediente?proceso=11&amp;expediente=RE0000390&amp;lista=datosExpedientes_1781283742212" TargetMode="Externa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1049</Words>
  <Characters>5773</Characters>
  <Application>Microsoft Office Word</Application>
  <DocSecurity>0</DocSecurity>
  <Lines>48</Lines>
  <Paragraphs>13</Paragraphs>
  <ScaleCrop>false</ScaleCrop>
  <Company/>
  <LinksUpToDate>false</LinksUpToDate>
  <CharactersWithSpaces>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2026-06-25T13:36:00Z</dcterms:created>
  <dcterms:modified xsi:type="dcterms:W3CDTF">2026-06-25T13:37:00Z</dcterms:modified>
</cp:coreProperties>
</file>