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480402A6"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CONCEPTO 137 DEL 12 DE MAYO DE 2026</w:t>
      </w:r>
    </w:p>
    <w:p w14:paraId="5CE687C6"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CONSEJO TÉCNICO DE LA CONTADURÍA PÚBLICA</w:t>
      </w:r>
    </w:p>
    <w:p w14:paraId="12F39F3C"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27306E48"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Bogotá, D.C.,</w:t>
      </w:r>
    </w:p>
    <w:p w14:paraId="08037D74"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08F06E96"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Señor(a)</w:t>
      </w:r>
    </w:p>
    <w:p w14:paraId="0ACF20C0"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47281854"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REFERENCIA</w:t>
      </w:r>
    </w:p>
    <w:p w14:paraId="683A194B"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No. del Radicado</w:t>
      </w:r>
      <w:r w:rsidRPr="00D544A4">
        <w:rPr>
          <w:rFonts w:ascii="Verdana" w:eastAsia="Times New Roman" w:hAnsi="Verdana" w:cs="Times New Roman"/>
          <w:b/>
          <w:bCs/>
          <w:color w:val="000000"/>
          <w:kern w:val="0"/>
          <w:lang w:val="es-CO" w:eastAsia="es-MX"/>
          <w14:ligatures w14:val="none"/>
        </w:rPr>
        <w:tab/>
      </w:r>
      <w:r w:rsidRPr="00D544A4">
        <w:rPr>
          <w:rFonts w:ascii="Verdana" w:eastAsia="Times New Roman" w:hAnsi="Verdana" w:cs="Times New Roman"/>
          <w:b/>
          <w:bCs/>
          <w:color w:val="000000"/>
          <w:kern w:val="0"/>
          <w:lang w:val="es-CO" w:eastAsia="es-MX"/>
          <w14:ligatures w14:val="none"/>
        </w:rPr>
        <w:tab/>
      </w:r>
      <w:r w:rsidRPr="00D544A4">
        <w:rPr>
          <w:rFonts w:ascii="Verdana" w:eastAsia="Times New Roman" w:hAnsi="Verdana" w:cs="Times New Roman"/>
          <w:color w:val="000000"/>
          <w:kern w:val="0"/>
          <w:lang w:val="es-CO" w:eastAsia="es-MX"/>
          <w14:ligatures w14:val="none"/>
        </w:rPr>
        <w:t>1-2026-015864</w:t>
      </w:r>
    </w:p>
    <w:p w14:paraId="17E936BA"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Fecha de Radicado</w:t>
      </w:r>
      <w:r w:rsidRPr="00D544A4">
        <w:rPr>
          <w:rFonts w:ascii="Verdana" w:eastAsia="Times New Roman" w:hAnsi="Verdana" w:cs="Times New Roman"/>
          <w:b/>
          <w:bCs/>
          <w:color w:val="000000"/>
          <w:kern w:val="0"/>
          <w:lang w:val="es-CO" w:eastAsia="es-MX"/>
          <w14:ligatures w14:val="none"/>
        </w:rPr>
        <w:tab/>
      </w:r>
      <w:r w:rsidRPr="00D544A4">
        <w:rPr>
          <w:rFonts w:ascii="Verdana" w:eastAsia="Times New Roman" w:hAnsi="Verdana" w:cs="Times New Roman"/>
          <w:b/>
          <w:bCs/>
          <w:color w:val="000000"/>
          <w:kern w:val="0"/>
          <w:lang w:val="es-CO" w:eastAsia="es-MX"/>
          <w14:ligatures w14:val="none"/>
        </w:rPr>
        <w:tab/>
      </w:r>
      <w:r w:rsidRPr="00D544A4">
        <w:rPr>
          <w:rFonts w:ascii="Verdana" w:eastAsia="Times New Roman" w:hAnsi="Verdana" w:cs="Times New Roman"/>
          <w:color w:val="000000"/>
          <w:kern w:val="0"/>
          <w:lang w:val="es-CO" w:eastAsia="es-MX"/>
          <w14:ligatures w14:val="none"/>
        </w:rPr>
        <w:t>12 de mayo de 2026</w:t>
      </w:r>
    </w:p>
    <w:p w14:paraId="68E5474C"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No. Radicación CTCP</w:t>
      </w:r>
      <w:r w:rsidRPr="00D544A4">
        <w:rPr>
          <w:rFonts w:ascii="Verdana" w:eastAsia="Times New Roman" w:hAnsi="Verdana" w:cs="Times New Roman"/>
          <w:b/>
          <w:bCs/>
          <w:color w:val="000000"/>
          <w:kern w:val="0"/>
          <w:lang w:val="es-CO" w:eastAsia="es-MX"/>
          <w14:ligatures w14:val="none"/>
        </w:rPr>
        <w:tab/>
      </w:r>
      <w:r w:rsidRPr="00D544A4">
        <w:rPr>
          <w:rFonts w:ascii="Verdana" w:eastAsia="Times New Roman" w:hAnsi="Verdana" w:cs="Times New Roman"/>
          <w:b/>
          <w:bCs/>
          <w:color w:val="000000"/>
          <w:kern w:val="0"/>
          <w:lang w:val="es-CO" w:eastAsia="es-MX"/>
          <w14:ligatures w14:val="none"/>
        </w:rPr>
        <w:tab/>
      </w:r>
      <w:r w:rsidRPr="00D544A4">
        <w:rPr>
          <w:rFonts w:ascii="Verdana" w:eastAsia="Times New Roman" w:hAnsi="Verdana" w:cs="Times New Roman"/>
          <w:color w:val="000000"/>
          <w:kern w:val="0"/>
          <w:lang w:val="es-CO" w:eastAsia="es-MX"/>
          <w14:ligatures w14:val="none"/>
        </w:rPr>
        <w:t>2026-0137</w:t>
      </w:r>
    </w:p>
    <w:p w14:paraId="3EED249F" w14:textId="77777777" w:rsidR="00D544A4" w:rsidRPr="00D544A4" w:rsidRDefault="00D544A4" w:rsidP="00D544A4">
      <w:pPr>
        <w:ind w:hanging="3540"/>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Tema</w:t>
      </w:r>
      <w:r w:rsidRPr="00D544A4">
        <w:rPr>
          <w:rFonts w:ascii="Verdana" w:eastAsia="Times New Roman" w:hAnsi="Verdana" w:cs="Times New Roman"/>
          <w:b/>
          <w:bCs/>
          <w:color w:val="000000"/>
          <w:kern w:val="0"/>
          <w:lang w:val="es-CO" w:eastAsia="es-MX"/>
          <w14:ligatures w14:val="none"/>
        </w:rPr>
        <w:tab/>
      </w:r>
      <w:r w:rsidRPr="00D544A4">
        <w:rPr>
          <w:rFonts w:ascii="Verdana" w:eastAsia="Times New Roman" w:hAnsi="Verdana" w:cs="Times New Roman"/>
          <w:b/>
          <w:bCs/>
          <w:color w:val="000000"/>
          <w:kern w:val="0"/>
          <w:lang w:val="es-CO" w:eastAsia="es-MX"/>
          <w14:ligatures w14:val="none"/>
        </w:rPr>
        <w:tab/>
      </w:r>
      <w:r w:rsidRPr="00D544A4">
        <w:rPr>
          <w:rFonts w:ascii="Verdana" w:eastAsia="Times New Roman" w:hAnsi="Verdana" w:cs="Times New Roman"/>
          <w:color w:val="000000"/>
          <w:kern w:val="0"/>
          <w:lang w:val="es-CO" w:eastAsia="es-MX"/>
          <w14:ligatures w14:val="none"/>
        </w:rPr>
        <w:t>Revisor Fiscal – Limite y actuaciones posteriores al cargo</w:t>
      </w:r>
    </w:p>
    <w:p w14:paraId="2AA2C4D3"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41659D0E"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CONSULTA (TEXTUAL)</w:t>
      </w:r>
    </w:p>
    <w:p w14:paraId="72470A15"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2A5ACC54"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i/>
          <w:iCs/>
          <w:color w:val="000000"/>
          <w:kern w:val="0"/>
          <w:sz w:val="22"/>
          <w:szCs w:val="22"/>
          <w:lang w:val="es-CO" w:eastAsia="es-MX"/>
          <w14:ligatures w14:val="none"/>
        </w:rPr>
        <w:t xml:space="preserve">“(…) Un revisor fiscal esta designado en 5 sociedades para ejercer funciones de revisoría, en todas las designaciones se cuenta con su debido nombramiento desde el 31/03/2026, si en </w:t>
      </w:r>
      <w:proofErr w:type="spellStart"/>
      <w:r w:rsidRPr="00D544A4">
        <w:rPr>
          <w:rFonts w:ascii="Verdana" w:eastAsia="Times New Roman" w:hAnsi="Verdana" w:cs="Times New Roman"/>
          <w:i/>
          <w:iCs/>
          <w:color w:val="000000"/>
          <w:kern w:val="0"/>
          <w:sz w:val="22"/>
          <w:szCs w:val="22"/>
          <w:lang w:val="es-CO" w:eastAsia="es-MX"/>
          <w14:ligatures w14:val="none"/>
        </w:rPr>
        <w:t>el</w:t>
      </w:r>
      <w:proofErr w:type="spellEnd"/>
      <w:r w:rsidRPr="00D544A4">
        <w:rPr>
          <w:rFonts w:ascii="Verdana" w:eastAsia="Times New Roman" w:hAnsi="Verdana" w:cs="Times New Roman"/>
          <w:i/>
          <w:iCs/>
          <w:color w:val="000000"/>
          <w:kern w:val="0"/>
          <w:sz w:val="22"/>
          <w:szCs w:val="22"/>
          <w:lang w:val="es-CO" w:eastAsia="es-MX"/>
          <w14:ligatures w14:val="none"/>
        </w:rPr>
        <w:t xml:space="preserve"> </w:t>
      </w:r>
      <w:proofErr w:type="spellStart"/>
      <w:r w:rsidRPr="00D544A4">
        <w:rPr>
          <w:rFonts w:ascii="Verdana" w:eastAsia="Times New Roman" w:hAnsi="Verdana" w:cs="Times New Roman"/>
          <w:i/>
          <w:iCs/>
          <w:color w:val="000000"/>
          <w:kern w:val="0"/>
          <w:sz w:val="22"/>
          <w:szCs w:val="22"/>
          <w:lang w:val="es-CO" w:eastAsia="es-MX"/>
          <w14:ligatures w14:val="none"/>
        </w:rPr>
        <w:t>es</w:t>
      </w:r>
      <w:proofErr w:type="spellEnd"/>
      <w:r w:rsidRPr="00D544A4">
        <w:rPr>
          <w:rFonts w:ascii="Verdana" w:eastAsia="Times New Roman" w:hAnsi="Verdana" w:cs="Times New Roman"/>
          <w:i/>
          <w:iCs/>
          <w:color w:val="000000"/>
          <w:kern w:val="0"/>
          <w:sz w:val="22"/>
          <w:szCs w:val="22"/>
          <w:lang w:val="es-CO" w:eastAsia="es-MX"/>
          <w14:ligatures w14:val="none"/>
        </w:rPr>
        <w:t xml:space="preserve"> de mayo de 2026 este revisor debe firmar una declaración de renta del año gravable 2025 por una sociedad donde figuraba para el año gravable 2025 como revisor fiscal, pero que a partir del 31/01/2026 fue removido debido a que la compañía no cumple los topes para estar obligado a nombrarlo, la firma de esta declaración le suma para el límite del art. 215 del Código de comercio y por lo tanto se entiende que el revisor estaría desempeñando sus actividades de revisoría en 6 sociedades o por el contrario se entiende qué su firma en la declaración es por las funciones que desempeño durante el 2025 y por lo tanto no suma para el cálculo de dicho limite? (…)”</w:t>
      </w:r>
    </w:p>
    <w:p w14:paraId="785D805D"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3612656C"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RESUMEN:</w:t>
      </w:r>
    </w:p>
    <w:p w14:paraId="7AC9C0D0"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28F6F0F0"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La suscripción de una declaración tributaria correspondiente a un período durante el cual el profesional ejerció válidamente como revisor fiscal no constituye, por sí misma, el ejercicio simultaneo de una revisoría fiscal adicional ni se computa para efectos del límite previsto en el artículo 215 del Código de Comercio.</w:t>
      </w:r>
    </w:p>
    <w:p w14:paraId="2485E6F4"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3FF9E838"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CONSIDERACIONES Y CONCEPTO</w:t>
      </w:r>
    </w:p>
    <w:p w14:paraId="714E946B"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6EA0B22C"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25E03201"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24EB191F"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lastRenderedPageBreak/>
        <w:t>De conformidad con el artículo 215 del Código de Comercio, la limitación allí prevista se refiere al ejercicio simultáneo del cargo de revisor fiscal en más de cinco sociedades por acciones. En consecuencia, para efectos del cómputo de dicho límite debe analizarse respecto a la existencia de nombramientos vigentes y al ejercicio concurrente de las funciones propias del cargo.</w:t>
      </w:r>
    </w:p>
    <w:p w14:paraId="6A2F7C0C"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3AB6C4A2"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Si el nombramiento del revisor fiscal en la sociedad consultada cesó el 31 de enero de 2026 por decisión válida del máximo órgano social y no subsiste obligación legal o estatutaria de contar con revisor fiscal, no se entendería que, desde esa fecha, el profesional continúe ejerciendo el cargo de revisor fiscal en dicha entidad.</w:t>
      </w:r>
    </w:p>
    <w:p w14:paraId="10A24063"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3B8CDF05"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En ese contexto, la suscripción posterior de una declaración tributaria correspondiente a un período durante el cual el profesional ejerció válidamente como revisor fiscal constituye una actuación derivada de las responsabilidades asociadas al período auditado durante la vigencia de su nombramiento y, por sí sola, no implicaría el ejercicio simultáneo de una revisoría fiscal adicional para efectos del límite previsto en el artículo mencionado.</w:t>
      </w:r>
    </w:p>
    <w:p w14:paraId="2654A07B"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179D441C"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Para ampliar el análisis sobre este asunto, podría resultar de utilidad revisar los siguientes conceptos:</w:t>
      </w:r>
    </w:p>
    <w:p w14:paraId="074AAD35" w14:textId="77777777" w:rsidR="00D544A4" w:rsidRPr="00D544A4" w:rsidRDefault="00D544A4" w:rsidP="00D544A4">
      <w:pPr>
        <w:rPr>
          <w:rFonts w:ascii="Times New Roman" w:eastAsia="Times New Roman" w:hAnsi="Times New Roman" w:cs="Times New Roman"/>
          <w:kern w:val="0"/>
          <w:lang w:val="es-CO" w:eastAsia="es-MX"/>
          <w14:ligatures w14:val="none"/>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150"/>
        <w:gridCol w:w="5890"/>
        <w:gridCol w:w="1237"/>
      </w:tblGrid>
      <w:tr w:rsidR="00D544A4" w:rsidRPr="00D544A4" w14:paraId="71C91C9A" w14:textId="77777777">
        <w:trPr>
          <w:trHeight w:val="253"/>
          <w:jc w:val="center"/>
        </w:trPr>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56E38539" w14:textId="77777777" w:rsidR="00D544A4" w:rsidRPr="00D544A4" w:rsidRDefault="00D544A4" w:rsidP="00D544A4">
            <w:pPr>
              <w:spacing w:before="5"/>
              <w:ind w:left="11" w:right="3"/>
              <w:jc w:val="center"/>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i/>
                <w:iCs/>
                <w:color w:val="000000"/>
                <w:kern w:val="0"/>
                <w:sz w:val="20"/>
                <w:szCs w:val="20"/>
                <w:lang w:val="es-CO" w:eastAsia="es-MX"/>
                <w14:ligatures w14:val="none"/>
              </w:rPr>
              <w:t>No.</w:t>
            </w:r>
          </w:p>
        </w:tc>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717AB3AC" w14:textId="77777777" w:rsidR="00D544A4" w:rsidRPr="00D544A4" w:rsidRDefault="00D544A4" w:rsidP="00D544A4">
            <w:pPr>
              <w:spacing w:before="5"/>
              <w:jc w:val="center"/>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i/>
                <w:iCs/>
                <w:color w:val="000000"/>
                <w:kern w:val="0"/>
                <w:sz w:val="20"/>
                <w:szCs w:val="20"/>
                <w:lang w:val="es-CO" w:eastAsia="es-MX"/>
                <w14:ligatures w14:val="none"/>
              </w:rPr>
              <w:t>CONCEPTO</w:t>
            </w:r>
          </w:p>
        </w:tc>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0B4BB0C5" w14:textId="77777777" w:rsidR="00D544A4" w:rsidRPr="00D544A4" w:rsidRDefault="00D544A4" w:rsidP="00D544A4">
            <w:pPr>
              <w:spacing w:before="5"/>
              <w:ind w:left="8"/>
              <w:jc w:val="center"/>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i/>
                <w:iCs/>
                <w:color w:val="000000"/>
                <w:kern w:val="0"/>
                <w:sz w:val="20"/>
                <w:szCs w:val="20"/>
                <w:lang w:val="es-CO" w:eastAsia="es-MX"/>
                <w14:ligatures w14:val="none"/>
              </w:rPr>
              <w:t>FECHA</w:t>
            </w:r>
          </w:p>
        </w:tc>
      </w:tr>
      <w:tr w:rsidR="00D544A4" w:rsidRPr="00D544A4" w14:paraId="57A6966D" w14:textId="77777777">
        <w:trPr>
          <w:trHeight w:val="256"/>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B5B3223" w14:textId="77777777" w:rsidR="00D544A4" w:rsidRPr="00D544A4" w:rsidRDefault="00D544A4" w:rsidP="00D544A4">
            <w:pPr>
              <w:spacing w:before="7"/>
              <w:ind w:left="11"/>
              <w:jc w:val="center"/>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i/>
                <w:iCs/>
                <w:color w:val="000000"/>
                <w:kern w:val="0"/>
                <w:sz w:val="20"/>
                <w:szCs w:val="20"/>
                <w:u w:val="single"/>
                <w:lang w:val="es-CO" w:eastAsia="es-MX"/>
                <w14:ligatures w14:val="none"/>
              </w:rPr>
              <w:t>2024-0293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49F3BAA" w14:textId="77777777" w:rsidR="00D544A4" w:rsidRPr="00D544A4" w:rsidRDefault="00D544A4" w:rsidP="00D544A4">
            <w:pPr>
              <w:spacing w:before="7"/>
              <w:ind w:left="68"/>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i/>
                <w:iCs/>
                <w:color w:val="000000"/>
                <w:kern w:val="0"/>
                <w:sz w:val="20"/>
                <w:szCs w:val="20"/>
                <w:lang w:val="es-CO" w:eastAsia="es-MX"/>
                <w14:ligatures w14:val="none"/>
              </w:rPr>
              <w:t>Límite en el ejercicio de revisorías fiscales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BC09F27" w14:textId="77777777" w:rsidR="00D544A4" w:rsidRPr="00D544A4" w:rsidRDefault="00D544A4" w:rsidP="00D544A4">
            <w:pPr>
              <w:spacing w:before="7"/>
              <w:ind w:left="8"/>
              <w:jc w:val="center"/>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i/>
                <w:iCs/>
                <w:color w:val="000000"/>
                <w:kern w:val="0"/>
                <w:sz w:val="20"/>
                <w:szCs w:val="20"/>
                <w:lang w:val="es-CO" w:eastAsia="es-MX"/>
                <w14:ligatures w14:val="none"/>
              </w:rPr>
              <w:t>06/08/2024</w:t>
            </w:r>
          </w:p>
        </w:tc>
      </w:tr>
      <w:tr w:rsidR="00D544A4" w:rsidRPr="00D544A4" w14:paraId="09112A1C" w14:textId="77777777">
        <w:trPr>
          <w:trHeight w:val="254"/>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CE5A5CC" w14:textId="77777777" w:rsidR="00D544A4" w:rsidRPr="00D544A4" w:rsidRDefault="00D544A4" w:rsidP="00D544A4">
            <w:pPr>
              <w:spacing w:before="5"/>
              <w:ind w:left="11"/>
              <w:jc w:val="center"/>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i/>
                <w:iCs/>
                <w:color w:val="000000"/>
                <w:kern w:val="0"/>
                <w:sz w:val="20"/>
                <w:szCs w:val="20"/>
                <w:u w:val="single"/>
                <w:lang w:val="es-CO" w:eastAsia="es-MX"/>
                <w14:ligatures w14:val="none"/>
              </w:rPr>
              <w:t>2022-0062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116408E" w14:textId="77777777" w:rsidR="00D544A4" w:rsidRPr="00D544A4" w:rsidRDefault="00D544A4" w:rsidP="00D544A4">
            <w:pPr>
              <w:spacing w:before="5"/>
              <w:ind w:left="68"/>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i/>
                <w:iCs/>
                <w:color w:val="000000"/>
                <w:kern w:val="0"/>
                <w:sz w:val="20"/>
                <w:szCs w:val="20"/>
                <w:lang w:val="es-CO" w:eastAsia="es-MX"/>
                <w14:ligatures w14:val="none"/>
              </w:rPr>
              <w:t>Límite de revisorías fiscales que puede llevar un contador</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DB738F7" w14:textId="77777777" w:rsidR="00D544A4" w:rsidRPr="00D544A4" w:rsidRDefault="00D544A4" w:rsidP="00D544A4">
            <w:pPr>
              <w:spacing w:before="5"/>
              <w:ind w:left="8"/>
              <w:jc w:val="center"/>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i/>
                <w:iCs/>
                <w:color w:val="000000"/>
                <w:kern w:val="0"/>
                <w:sz w:val="20"/>
                <w:szCs w:val="20"/>
                <w:lang w:val="es-CO" w:eastAsia="es-MX"/>
                <w14:ligatures w14:val="none"/>
              </w:rPr>
              <w:t>17/02/2022</w:t>
            </w:r>
          </w:p>
        </w:tc>
      </w:tr>
    </w:tbl>
    <w:p w14:paraId="728932F6"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1474E974"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Es importante precisar que la presente respuesta se circunscribe al análisis del límite previsto en el artículo 215 del Código de Comercio y no constituye un pronunciamiento sobre los requisitos tributarios aplicables a la suscripción de declaraciones tributarias, materia cuya interpretación corresponde a la autoridad competente.</w:t>
      </w:r>
    </w:p>
    <w:p w14:paraId="642CB1C6"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21ACE055"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0026E9D6" w14:textId="77777777" w:rsidR="00D544A4" w:rsidRPr="00D544A4" w:rsidRDefault="00D544A4" w:rsidP="00D544A4">
      <w:pPr>
        <w:spacing w:after="240"/>
        <w:rPr>
          <w:rFonts w:ascii="Times New Roman" w:eastAsia="Times New Roman" w:hAnsi="Times New Roman" w:cs="Times New Roman"/>
          <w:kern w:val="0"/>
          <w:lang w:val="es-CO" w:eastAsia="es-MX"/>
          <w14:ligatures w14:val="none"/>
        </w:rPr>
      </w:pPr>
    </w:p>
    <w:p w14:paraId="6FE558C2"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Cordialmente,</w:t>
      </w:r>
    </w:p>
    <w:p w14:paraId="4C8AF626"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b/>
          <w:bCs/>
          <w:color w:val="000000"/>
          <w:kern w:val="0"/>
          <w:lang w:val="es-CO" w:eastAsia="es-MX"/>
          <w14:ligatures w14:val="none"/>
        </w:rPr>
        <w:t>Sandra Consuelo Muñoz Moreno</w:t>
      </w:r>
    </w:p>
    <w:p w14:paraId="0A11F8A2" w14:textId="77777777" w:rsidR="00D544A4" w:rsidRPr="00D544A4" w:rsidRDefault="00D544A4" w:rsidP="00D544A4">
      <w:pPr>
        <w:jc w:val="both"/>
        <w:rPr>
          <w:rFonts w:ascii="Times New Roman" w:eastAsia="Times New Roman" w:hAnsi="Times New Roman" w:cs="Times New Roman"/>
          <w:kern w:val="0"/>
          <w:lang w:val="es-CO" w:eastAsia="es-MX"/>
          <w14:ligatures w14:val="none"/>
        </w:rPr>
      </w:pPr>
      <w:r w:rsidRPr="00D544A4">
        <w:rPr>
          <w:rFonts w:ascii="Verdana" w:eastAsia="Times New Roman" w:hAnsi="Verdana" w:cs="Times New Roman"/>
          <w:color w:val="000000"/>
          <w:kern w:val="0"/>
          <w:lang w:val="es-CO" w:eastAsia="es-MX"/>
          <w14:ligatures w14:val="none"/>
        </w:rPr>
        <w:t>Consejera – CTCP</w:t>
      </w:r>
    </w:p>
    <w:p w14:paraId="6E7C16BF" w14:textId="77777777" w:rsidR="00D544A4" w:rsidRPr="00D544A4" w:rsidRDefault="00D544A4" w:rsidP="00D544A4">
      <w:pPr>
        <w:rPr>
          <w:rFonts w:ascii="Times New Roman" w:eastAsia="Times New Roman" w:hAnsi="Times New Roman" w:cs="Times New Roman"/>
          <w:kern w:val="0"/>
          <w:lang w:val="es-CO" w:eastAsia="es-MX"/>
          <w14:ligatures w14:val="none"/>
        </w:rPr>
      </w:pPr>
    </w:p>
    <w:p w14:paraId="7B91C2A5"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4A4"/>
    <w:rsid w:val="000B2285"/>
    <w:rsid w:val="00537D8F"/>
    <w:rsid w:val="00796344"/>
    <w:rsid w:val="00B83A7B"/>
    <w:rsid w:val="00D544A4"/>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7B3039D"/>
  <w14:defaultImageDpi w14:val="32767"/>
  <w15:chartTrackingRefBased/>
  <w15:docId w15:val="{F0FBA8BA-1987-A74A-8F29-EE46F8037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544A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544A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544A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544A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544A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544A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544A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544A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544A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544A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544A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544A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544A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544A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544A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544A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544A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544A4"/>
    <w:rPr>
      <w:rFonts w:eastAsiaTheme="majorEastAsia" w:cstheme="majorBidi"/>
      <w:color w:val="272727" w:themeColor="text1" w:themeTint="D8"/>
    </w:rPr>
  </w:style>
  <w:style w:type="paragraph" w:styleId="Ttulo">
    <w:name w:val="Title"/>
    <w:basedOn w:val="Normal"/>
    <w:next w:val="Normal"/>
    <w:link w:val="TtuloCar"/>
    <w:uiPriority w:val="10"/>
    <w:qFormat/>
    <w:rsid w:val="00D544A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544A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544A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544A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544A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544A4"/>
    <w:rPr>
      <w:i/>
      <w:iCs/>
      <w:color w:val="404040" w:themeColor="text1" w:themeTint="BF"/>
    </w:rPr>
  </w:style>
  <w:style w:type="paragraph" w:styleId="Prrafodelista">
    <w:name w:val="List Paragraph"/>
    <w:basedOn w:val="Normal"/>
    <w:uiPriority w:val="34"/>
    <w:qFormat/>
    <w:rsid w:val="00D544A4"/>
    <w:pPr>
      <w:ind w:left="720"/>
      <w:contextualSpacing/>
    </w:pPr>
  </w:style>
  <w:style w:type="character" w:styleId="nfasisintenso">
    <w:name w:val="Intense Emphasis"/>
    <w:basedOn w:val="Fuentedeprrafopredeter"/>
    <w:uiPriority w:val="21"/>
    <w:qFormat/>
    <w:rsid w:val="00D544A4"/>
    <w:rPr>
      <w:i/>
      <w:iCs/>
      <w:color w:val="2F5496" w:themeColor="accent1" w:themeShade="BF"/>
    </w:rPr>
  </w:style>
  <w:style w:type="paragraph" w:styleId="Citadestacada">
    <w:name w:val="Intense Quote"/>
    <w:basedOn w:val="Normal"/>
    <w:next w:val="Normal"/>
    <w:link w:val="CitadestacadaCar"/>
    <w:uiPriority w:val="30"/>
    <w:qFormat/>
    <w:rsid w:val="00D544A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544A4"/>
    <w:rPr>
      <w:i/>
      <w:iCs/>
      <w:color w:val="2F5496" w:themeColor="accent1" w:themeShade="BF"/>
    </w:rPr>
  </w:style>
  <w:style w:type="character" w:styleId="Referenciaintensa">
    <w:name w:val="Intense Reference"/>
    <w:basedOn w:val="Fuentedeprrafopredeter"/>
    <w:uiPriority w:val="32"/>
    <w:qFormat/>
    <w:rsid w:val="00D544A4"/>
    <w:rPr>
      <w:b/>
      <w:bCs/>
      <w:smallCaps/>
      <w:color w:val="2F5496" w:themeColor="accent1" w:themeShade="BF"/>
      <w:spacing w:val="5"/>
    </w:rPr>
  </w:style>
  <w:style w:type="paragraph" w:styleId="NormalWeb">
    <w:name w:val="Normal (Web)"/>
    <w:basedOn w:val="Normal"/>
    <w:uiPriority w:val="99"/>
    <w:semiHidden/>
    <w:unhideWhenUsed/>
    <w:rsid w:val="00D544A4"/>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D54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638</Words>
  <Characters>3511</Characters>
  <Application>Microsoft Office Word</Application>
  <DocSecurity>0</DocSecurity>
  <Lines>29</Lines>
  <Paragraphs>8</Paragraphs>
  <ScaleCrop>false</ScaleCrop>
  <Company/>
  <LinksUpToDate>false</LinksUpToDate>
  <CharactersWithSpaces>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2026-07-02T17:17:00Z</dcterms:created>
  <dcterms:modified xsi:type="dcterms:W3CDTF">2026-07-02T17:18:00Z</dcterms:modified>
</cp:coreProperties>
</file>