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E4592B5"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CONCEPTO 3712 DEL 20 DE ENERO DE 2026</w:t>
      </w:r>
    </w:p>
    <w:p w14:paraId="3E19F07D"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DIRECCIÓN DE APOYO FISCAL -DAF-</w:t>
      </w:r>
    </w:p>
    <w:p w14:paraId="042BB0DF"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1B2D1D1A"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Bogotá, D.C.</w:t>
      </w:r>
    </w:p>
    <w:p w14:paraId="2CC229DD"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2FCCDEB3"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Señor</w:t>
      </w:r>
    </w:p>
    <w:p w14:paraId="61884394"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JUAN FERNANDO MARTINEZ CONTRERAS</w:t>
      </w:r>
    </w:p>
    <w:p w14:paraId="43957AB4"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Secretario de Planeación Municipal</w:t>
      </w:r>
    </w:p>
    <w:p w14:paraId="5891217B"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MUNICIPIO DE NECHI – ANTIOQUIA</w:t>
      </w:r>
    </w:p>
    <w:p w14:paraId="52BE6092"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C8BA8AA" w14:textId="77777777" w:rsidR="00E117B3" w:rsidRPr="00E117B3" w:rsidRDefault="00E117B3" w:rsidP="00E117B3">
      <w:pPr>
        <w:jc w:val="right"/>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Radicado entrada 1-2025-129003</w:t>
      </w:r>
    </w:p>
    <w:p w14:paraId="44D2639D" w14:textId="77777777" w:rsidR="00E117B3" w:rsidRPr="00E117B3" w:rsidRDefault="00E117B3" w:rsidP="00E117B3">
      <w:pPr>
        <w:jc w:val="right"/>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No. Expediente 686/2026/GEA</w:t>
      </w:r>
    </w:p>
    <w:p w14:paraId="5644606A"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w:t>
      </w:r>
    </w:p>
    <w:p w14:paraId="1833AF4E"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Asunto:</w:t>
      </w:r>
      <w:r w:rsidRPr="00E117B3">
        <w:rPr>
          <w:rFonts w:ascii="Verdana" w:eastAsia="Times New Roman" w:hAnsi="Verdana" w:cs="Times New Roman"/>
          <w:b/>
          <w:bCs/>
          <w:color w:val="000000"/>
          <w:kern w:val="0"/>
          <w:lang w:val="es-CO" w:eastAsia="es-MX"/>
          <w14:ligatures w14:val="none"/>
        </w:rPr>
        <w:tab/>
      </w:r>
      <w:r w:rsidRPr="00E117B3">
        <w:rPr>
          <w:rFonts w:ascii="Verdana" w:eastAsia="Times New Roman" w:hAnsi="Verdana" w:cs="Times New Roman"/>
          <w:color w:val="000000"/>
          <w:kern w:val="0"/>
          <w:lang w:val="es-CO" w:eastAsia="es-MX"/>
          <w14:ligatures w14:val="none"/>
        </w:rPr>
        <w:t>Oficios –</w:t>
      </w:r>
    </w:p>
    <w:p w14:paraId="11D9134A"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Tema:</w:t>
      </w:r>
      <w:r w:rsidRPr="00E117B3">
        <w:rPr>
          <w:rFonts w:ascii="Verdana" w:eastAsia="Times New Roman" w:hAnsi="Verdana" w:cs="Times New Roman"/>
          <w:b/>
          <w:bCs/>
          <w:color w:val="000000"/>
          <w:kern w:val="0"/>
          <w:lang w:val="es-CO" w:eastAsia="es-MX"/>
          <w14:ligatures w14:val="none"/>
        </w:rPr>
        <w:tab/>
      </w:r>
      <w:r w:rsidRPr="00E117B3">
        <w:rPr>
          <w:rFonts w:ascii="Verdana" w:eastAsia="Times New Roman" w:hAnsi="Verdana" w:cs="Times New Roman"/>
          <w:color w:val="000000"/>
          <w:kern w:val="0"/>
          <w:lang w:val="es-CO" w:eastAsia="es-MX"/>
          <w14:ligatures w14:val="none"/>
        </w:rPr>
        <w:t>Estampillas - Impuestos</w:t>
      </w:r>
    </w:p>
    <w:p w14:paraId="4FC5AA1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Subtema:</w:t>
      </w:r>
      <w:r w:rsidRPr="00E117B3">
        <w:rPr>
          <w:rFonts w:ascii="Verdana" w:eastAsia="Times New Roman" w:hAnsi="Verdana" w:cs="Times New Roman"/>
          <w:b/>
          <w:bCs/>
          <w:color w:val="000000"/>
          <w:kern w:val="0"/>
          <w:lang w:val="es-CO" w:eastAsia="es-MX"/>
          <w14:ligatures w14:val="none"/>
        </w:rPr>
        <w:tab/>
      </w:r>
      <w:r w:rsidRPr="00E117B3">
        <w:rPr>
          <w:rFonts w:ascii="Verdana" w:eastAsia="Times New Roman" w:hAnsi="Verdana" w:cs="Times New Roman"/>
          <w:color w:val="000000"/>
          <w:kern w:val="0"/>
          <w:lang w:val="es-CO" w:eastAsia="es-MX"/>
          <w14:ligatures w14:val="none"/>
        </w:rPr>
        <w:t>Recursos del Sistema General de Regalías</w:t>
      </w:r>
    </w:p>
    <w:p w14:paraId="6D1B14A3"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2F39AB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xml:space="preserve">Cordial saludo, Dr. </w:t>
      </w:r>
      <w:proofErr w:type="spellStart"/>
      <w:r w:rsidRPr="00E117B3">
        <w:rPr>
          <w:rFonts w:ascii="Verdana" w:eastAsia="Times New Roman" w:hAnsi="Verdana" w:cs="Times New Roman"/>
          <w:color w:val="000000"/>
          <w:kern w:val="0"/>
          <w:lang w:val="es-CO" w:eastAsia="es-MX"/>
          <w14:ligatures w14:val="none"/>
        </w:rPr>
        <w:t>Martinez</w:t>
      </w:r>
      <w:proofErr w:type="spellEnd"/>
    </w:p>
    <w:p w14:paraId="16832EBB"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1A48404"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Mediante escrito radicado en este Ministerio con los números 1-2025-129003, 1-2025-130379 y 1-2026-000053, se remite a esta Dirección por parte de la Procuraduría General de la Nación, Colombia Compra Eficiente y Departamento Nacional de Planeación la consulta en la que presente una serie de interrogantes respecto a la aplicación de estampillas a proyectos ejecutados con recursos del Sistema General de Regalías.</w:t>
      </w:r>
    </w:p>
    <w:p w14:paraId="5F695D40"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82B4B3F"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Sea lo primero anotar que si bien dentro de las funciones asignadas a esta Dirección por el Decreto 4712 de 2008, se encuentra la de prestar asesoría a las entidades territoriales, ésta no se extiende a la solución directa de casos específicos, por lo que las respuestas emitidas por este Despacho se dan en los términos y con los estrictos alcances de los artículos 14-2 y 28 del Código de Procedimiento Administrativo y de lo Contencioso Administrativo, por lo que la respuesta será general, no tendrá efectos obligatorios ni vinculantes, y no comprometerá la responsabilidad de este Ministerio.</w:t>
      </w:r>
    </w:p>
    <w:p w14:paraId="5FF29869"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78CDDCE4"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Consulta usted lo siguiente:</w:t>
      </w:r>
    </w:p>
    <w:p w14:paraId="0CA0147D"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743EA40C" w14:textId="77777777" w:rsidR="00E117B3" w:rsidRPr="00E117B3" w:rsidRDefault="00E117B3" w:rsidP="00E117B3">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 xml:space="preserve">¿Los proyectos de obra financiados con recursos del Sistema General De Regalías del Municipio, los cuales son llevados a cabo por un tercero ejecutor designado mediante acto administrativo y responsable del mismo, no perteneciente al nivel central o descentralizado del municipio (entidad pública ejecutora), son objeto de estampillas municipales </w:t>
      </w:r>
      <w:r w:rsidRPr="00E117B3">
        <w:rPr>
          <w:rFonts w:ascii="Verdana" w:eastAsia="Times New Roman" w:hAnsi="Verdana" w:cs="Times New Roman"/>
          <w:b/>
          <w:bCs/>
          <w:i/>
          <w:iCs/>
          <w:color w:val="000000"/>
          <w:kern w:val="0"/>
          <w:lang w:val="es-CO" w:eastAsia="es-MX"/>
          <w14:ligatures w14:val="none"/>
        </w:rPr>
        <w:lastRenderedPageBreak/>
        <w:t>como, por ejemplo, estampilla adulto mayor, pro- cultura, pro-deporte, entre otras? En caso de que la respuesta sea positiva, ¿Cuál es el fundamento legal?</w:t>
      </w:r>
    </w:p>
    <w:p w14:paraId="222859BF"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0107B1C2"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Entrando en el tema objeto de consulta es de señalar que de manera general, para establecer si una obra, convenio, contrato, acto o negocio jurídico, pago o transacción genera el pago de tributos, entendidos en sentido genérico, es decir, impuestos, tasas, contribuciones, estampillas, etc., debe remitirse a las normas propias de cada entidad territorial por cuanto municipios y departamentos, en ejercicio de la autonomía que les otorga la Constitución Política, adoptan los impuestos creados y autorizados por la ley, además de reglamentar o complementar los elementos no desarrollados por ésta. De esta forma, los impuestos municipales o departamentales con los cuales se grava una actividad o contrato o asunto están establecidos en los Acuerdos u Ordenanzas de los entes territoriales en donde se ejecuten o sucedan.</w:t>
      </w:r>
    </w:p>
    <w:p w14:paraId="1F3B09E3"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6F71BF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Ahora bien, es pertinente señalar que las estampillas, son de aquellos tributos que por sus características han de ser adoptados y desarrollados por parte de las respectivas corporaciones administrativas territoriales atendiendo, claro está, a la ley que las crea. Esto para señalar que, el fundamento normativo es en principio una ley de la República, y consecuentemente, para este caso, una ordenanza expedida por la asamblea departamental o un acuerdo municipal expedido por el concejo municipal en la que se establezcan tanto los elementos estructurales (hecho generador, base gravable, tarifa, etc.), como los tratamientos preferenciales (exenciones, exclusiones, prohibiciones, etc.) a partir de los cuales deben analizarse cada una de las situaciones particulares que se presenten alrededor de su aplicación.</w:t>
      </w:r>
    </w:p>
    <w:p w14:paraId="40F8912F"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1AE68E05"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Es de señalar que la jurisprudencia ha definido, en términos generales, que la regalía es una contraprestación económica que percibe el Estado de las personas a quienes se les concede el derecho a explotar los recursos naturales no renovables en determinado porcentaje sobre producto bruto explotado. Las regalías pertenecen a la categoría de las fuentes exógenas de financiación, que no son de su propiedad sino del Estado y, sobre esos recursos, dichas entidades tienen sólo un derecho de participación en los términos que fije la ley, al igual que los artículos 360 y 361 de la Constitución Política.</w:t>
      </w:r>
    </w:p>
    <w:p w14:paraId="19E31668"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7DF5D49"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xml:space="preserve">Ahora bien, es de precisar que esta Dirección en Oficio </w:t>
      </w:r>
      <w:proofErr w:type="spellStart"/>
      <w:r w:rsidRPr="00E117B3">
        <w:rPr>
          <w:rFonts w:ascii="Verdana" w:eastAsia="Times New Roman" w:hAnsi="Verdana" w:cs="Times New Roman"/>
          <w:color w:val="000000"/>
          <w:kern w:val="0"/>
          <w:lang w:val="es-CO" w:eastAsia="es-MX"/>
          <w14:ligatures w14:val="none"/>
        </w:rPr>
        <w:t>n°</w:t>
      </w:r>
      <w:proofErr w:type="spellEnd"/>
      <w:r w:rsidRPr="00E117B3">
        <w:rPr>
          <w:rFonts w:ascii="Verdana" w:eastAsia="Times New Roman" w:hAnsi="Verdana" w:cs="Times New Roman"/>
          <w:color w:val="000000"/>
          <w:kern w:val="0"/>
          <w:lang w:val="es-CO" w:eastAsia="es-MX"/>
          <w14:ligatures w14:val="none"/>
        </w:rPr>
        <w:t xml:space="preserve"> 2-2024-022990, se pronunció respecto al tema objeto de consulta, concluyendo que:</w:t>
      </w:r>
    </w:p>
    <w:p w14:paraId="0F0A9AA1"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24DAD58D"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lastRenderedPageBreak/>
        <w:t>Para dar respuesta a su inquietud, en primer término conviene señalar que el examen de la Ley 2056 de 2020 “por la cual se regula la organización y el funcionamiento del Sistema General de Regalías” y de sus reglamentos, la excepción hecha de la exención del gravamen a los movimientos financieros y de la calificación de ingresos no constitutivos de renta aplicable a los recursos del Sistema General de Regalías y a los gastos que realicen las entidades territoriales y los ejecutores de los proyectos de inversión con cargo a esos recursos, de que trata el artículo 184 ibidem, no se evidencia ningún otro tratamiento exceptivo en materia tributaria ligado a que la fuente del recurso sea el Sistema General de Regalías.</w:t>
      </w:r>
    </w:p>
    <w:p w14:paraId="7A3F4B80"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9406010"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Sin perjuicio de lo anterior, es necesario ahora referirnos a los supuestos de hecho que a propósito de las estampillas como tributo ha señalado de manera uniforme y reiterada el Consejo de Estado como requisitos para el establecimiento de los hechos generadores respecto de esta clase de tributos, dada su propia naturaleza, así:</w:t>
      </w:r>
    </w:p>
    <w:p w14:paraId="65B23BAC"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01A82AFA"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 xml:space="preserve">“[…] De lo expuesto, </w:t>
      </w:r>
      <w:r w:rsidRPr="00E117B3">
        <w:rPr>
          <w:rFonts w:ascii="Verdana" w:eastAsia="Times New Roman" w:hAnsi="Verdana" w:cs="Times New Roman"/>
          <w:b/>
          <w:bCs/>
          <w:i/>
          <w:iCs/>
          <w:color w:val="000000"/>
          <w:kern w:val="0"/>
          <w:lang w:val="es-CO" w:eastAsia="es-MX"/>
          <w14:ligatures w14:val="none"/>
        </w:rPr>
        <w:t xml:space="preserve">para que se configure el hecho generador de la estampilla, se requiere que el acto, contrato u operación se realice en el territorio del departamento, y que cuente con la intervención de esta autoridad, </w:t>
      </w:r>
      <w:r w:rsidRPr="00E117B3">
        <w:rPr>
          <w:rFonts w:ascii="Verdana" w:eastAsia="Times New Roman" w:hAnsi="Verdana" w:cs="Times New Roman"/>
          <w:b/>
          <w:bCs/>
          <w:i/>
          <w:iCs/>
          <w:color w:val="000000"/>
          <w:kern w:val="0"/>
          <w:u w:val="single"/>
          <w:lang w:val="es-CO" w:eastAsia="es-MX"/>
          <w14:ligatures w14:val="none"/>
        </w:rPr>
        <w:t>no solo como sujeto activo de la relación tributaria, sino como un interviniente real en la operación que se grava con la estampilla.</w:t>
      </w:r>
    </w:p>
    <w:p w14:paraId="2B85651B"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7847DB3"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 xml:space="preserve">Resulta ajeno a la estructura impositiva de las tasas parafiscales, como la “estampilla </w:t>
      </w:r>
      <w:proofErr w:type="spellStart"/>
      <w:r w:rsidRPr="00E117B3">
        <w:rPr>
          <w:rFonts w:ascii="Verdana" w:eastAsia="Times New Roman" w:hAnsi="Verdana" w:cs="Times New Roman"/>
          <w:b/>
          <w:bCs/>
          <w:i/>
          <w:iCs/>
          <w:color w:val="000000"/>
          <w:kern w:val="0"/>
          <w:lang w:val="es-CO" w:eastAsia="es-MX"/>
          <w14:ligatures w14:val="none"/>
        </w:rPr>
        <w:t>probienestar</w:t>
      </w:r>
      <w:proofErr w:type="spellEnd"/>
      <w:r w:rsidRPr="00E117B3">
        <w:rPr>
          <w:rFonts w:ascii="Verdana" w:eastAsia="Times New Roman" w:hAnsi="Verdana" w:cs="Times New Roman"/>
          <w:b/>
          <w:bCs/>
          <w:i/>
          <w:iCs/>
          <w:color w:val="000000"/>
          <w:kern w:val="0"/>
          <w:lang w:val="es-CO" w:eastAsia="es-MX"/>
          <w14:ligatures w14:val="none"/>
        </w:rPr>
        <w:t xml:space="preserve"> del anciano”, que se pretenda gravar operaciones entre particulares </w:t>
      </w:r>
      <w:r w:rsidRPr="00E117B3">
        <w:rPr>
          <w:rFonts w:ascii="Verdana" w:eastAsia="Times New Roman" w:hAnsi="Verdana" w:cs="Times New Roman"/>
          <w:b/>
          <w:bCs/>
          <w:i/>
          <w:iCs/>
          <w:color w:val="000000"/>
          <w:kern w:val="0"/>
          <w:u w:val="single"/>
          <w:lang w:val="es-CO" w:eastAsia="es-MX"/>
          <w14:ligatures w14:val="none"/>
        </w:rPr>
        <w:t>sin la participación de la entidad territorial, o entre entidades de derecho público que no pertenecen al sector central o descentralizado del respectivo departamento.</w:t>
      </w:r>
      <w:r w:rsidRPr="00E117B3">
        <w:rPr>
          <w:rFonts w:ascii="Verdana" w:eastAsia="Times New Roman" w:hAnsi="Verdana" w:cs="Times New Roman"/>
          <w:b/>
          <w:bCs/>
          <w:i/>
          <w:iCs/>
          <w:color w:val="000000"/>
          <w:kern w:val="0"/>
          <w:lang w:val="es-CO" w:eastAsia="es-MX"/>
          <w14:ligatures w14:val="none"/>
        </w:rPr>
        <w:t xml:space="preserve"> Además, porque con ello se viola el artículo 71(5) del Decreto Ley 1222 de 1986, que prohíbe a las asambleas departamentales, “imponer gravámenes sobre objetos o industrias gravados por la ley,” como sería el caso del </w:t>
      </w:r>
      <w:r w:rsidRPr="00E117B3">
        <w:rPr>
          <w:rFonts w:ascii="Verdana" w:eastAsia="Times New Roman" w:hAnsi="Verdana" w:cs="Times New Roman"/>
          <w:i/>
          <w:iCs/>
          <w:color w:val="000000"/>
          <w:kern w:val="0"/>
          <w:lang w:val="es-CO" w:eastAsia="es-MX"/>
          <w14:ligatures w14:val="none"/>
        </w:rPr>
        <w:t>impuesto de industria y comercio que además, de ser municipal recae sobre las actividades comerciales, industriales o de servicios realizadas en el respectivo municipio.</w:t>
      </w:r>
    </w:p>
    <w:p w14:paraId="70D7068A"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En consecuencia se confirma el fallo pero por las razones expuestas en este acápite.</w:t>
      </w:r>
    </w:p>
    <w:p w14:paraId="0422E1CF"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93D7779"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 (Énfasis fuera del texto)</w:t>
      </w:r>
    </w:p>
    <w:p w14:paraId="561D3C6A"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AA39815"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En esa misma línea expresó el Consejo de Estado:</w:t>
      </w:r>
    </w:p>
    <w:p w14:paraId="310E34D9"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090E2CCC"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 xml:space="preserve">“[…] Lo anterior significa que el hecho generador del tributo denominado Estampilla Pro Hospitales Universitarios de que trata la Ley 645 de 2001, lo constituyen las “actividades y operaciones” que se deban realizar en la jurisdicción del departamento, </w:t>
      </w:r>
      <w:r w:rsidRPr="00E117B3">
        <w:rPr>
          <w:rFonts w:ascii="Verdana" w:eastAsia="Times New Roman" w:hAnsi="Verdana" w:cs="Times New Roman"/>
          <w:b/>
          <w:bCs/>
          <w:i/>
          <w:iCs/>
          <w:color w:val="000000"/>
          <w:kern w:val="0"/>
          <w:u w:val="single"/>
          <w:lang w:val="es-CO" w:eastAsia="es-MX"/>
          <w14:ligatures w14:val="none"/>
        </w:rPr>
        <w:t>siempre que impliquen la realización de “actos” en los cuales intervengan funcionarios departamentales o municipales.</w:t>
      </w:r>
      <w:r w:rsidRPr="00E117B3">
        <w:rPr>
          <w:rFonts w:ascii="Verdana" w:eastAsia="Times New Roman" w:hAnsi="Verdana" w:cs="Times New Roman"/>
          <w:i/>
          <w:iCs/>
          <w:color w:val="000000"/>
          <w:kern w:val="0"/>
          <w:lang w:val="es-CO" w:eastAsia="es-MX"/>
          <w14:ligatures w14:val="none"/>
        </w:rPr>
        <w:t xml:space="preserve"> Según la Corte Constitucional, la especificación de los “actos” que son objeto de gravamen corresponderá a las asambleas departamentales en virtud del principio de autonomía de las entidades territoriales.</w:t>
      </w:r>
    </w:p>
    <w:p w14:paraId="7FD937EA"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B4319D9"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La especificación del hecho generador por parte de las asambleas departamentales debe sujetarse a los mencionados parámetros legales, así como a las características del tributo de las estampillas, siendo una de las principales que es un gravamen documental, cuyo hecho económico objeto de gravamen puede ser la circulación o transferencia de la riqueza, como también la obtención de un servicio a cargo del Estado.</w:t>
      </w:r>
    </w:p>
    <w:p w14:paraId="68436DD3"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7DD9293D"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w:t>
      </w:r>
    </w:p>
    <w:p w14:paraId="0F101774"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77606E37"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Así las cosas, le correspondía a la Asamblea del Departamento de Norte de Santander establecer el hecho generador sobre las operaciones y actividades en las que intervinieran los funcionarios, y no en las que realizaran los particulares, aun cuando ejercieran funciones administrativas, porque dicha situación fáctica no fue prevista en la norma para dar nacimiento a la obligación tributaria. […]” (Énfasis fuera del texto)</w:t>
      </w:r>
    </w:p>
    <w:p w14:paraId="49713335"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16C6626E"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w:t>
      </w:r>
    </w:p>
    <w:p w14:paraId="53BAD832"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204E5E2"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Siendo ello de esa manera, en relación con su interrogante, si en la suscripción de contratos por parte de entidades designadas como ejecutorias de proyectos financiados con recursos del SGR, no participa como un interviniente real en la operación que se grava con la estampilla un funcionario de la Administración Municipal, dicha operación no sería susceptible de ser gravada con las estampillas</w:t>
      </w:r>
      <w:r w:rsidRPr="00E117B3">
        <w:rPr>
          <w:rFonts w:ascii="Verdana" w:eastAsia="Times New Roman" w:hAnsi="Verdana" w:cs="Times New Roman"/>
          <w:i/>
          <w:iCs/>
          <w:color w:val="000000"/>
          <w:kern w:val="0"/>
          <w:lang w:val="es-CO" w:eastAsia="es-MX"/>
          <w14:ligatures w14:val="none"/>
        </w:rPr>
        <w:tab/>
        <w:t>municipales, puesto que no se cumplirían los supuestos establecidos por el Consejo de Estado en la jurisprudencia supra.”</w:t>
      </w:r>
    </w:p>
    <w:p w14:paraId="50F3E245"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373C62BC" w14:textId="77777777" w:rsidR="00E117B3" w:rsidRPr="00E117B3" w:rsidRDefault="00E117B3" w:rsidP="00E117B3">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 xml:space="preserve">¿Pueden estas entidades designadas como ejecutoras de proyectos financiados con recursos del Sistema General De </w:t>
      </w:r>
      <w:r w:rsidRPr="00E117B3">
        <w:rPr>
          <w:rFonts w:ascii="Verdana" w:eastAsia="Times New Roman" w:hAnsi="Verdana" w:cs="Times New Roman"/>
          <w:b/>
          <w:bCs/>
          <w:i/>
          <w:iCs/>
          <w:color w:val="000000"/>
          <w:kern w:val="0"/>
          <w:lang w:val="es-CO" w:eastAsia="es-MX"/>
          <w14:ligatures w14:val="none"/>
        </w:rPr>
        <w:lastRenderedPageBreak/>
        <w:t>Regalías del Municipio, efectuar las deducciones y retenciones a los contratistas de los proyectos de obra por concepto estampillas municipales como, por ejemplo, estampilla adulto mayor, pro- cultura, pro-deporte, entre otras? ¿Cuál es el fundamento legal?</w:t>
      </w:r>
    </w:p>
    <w:p w14:paraId="22A48ED4"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1E082E43"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En relación con la obligación de efectuar retenciones, debe tenerse en cuenta que la retención en la fuente es un mecanismo de recaudo anticipado que se rige por las mismas reglas sustanciales del respectivo impuesto, por lo que corresponde a cada entidad territorial adoptar el mecanismo y reglamentar su aplicación.</w:t>
      </w:r>
    </w:p>
    <w:p w14:paraId="3AE3929D"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77C5572"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Así las cosas, y en la medida que la retención en la fuente, al ser practicada, se constituye en el pago anticipado del impuesto, debe ser trasladada por el agente retenedor al respectivo municipio donde se realizó la actividad gravada, conforme la regulación del impuesto y del sistema de retenciones allí vigente.</w:t>
      </w:r>
    </w:p>
    <w:p w14:paraId="07E6CA0A"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BE18A05"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En este orden de ideas, los descuentos por impuestos nacionales o territoriales, aplicados a los contratos de obra suscritos por entidades territoriales o sus entidades descentralizadas, deben ser aquellos que tengan sustento en la normatividad vigente. Para el efecto será necesario remitirse en cada caso a la regulación propia del respectivo impuesto.</w:t>
      </w:r>
    </w:p>
    <w:p w14:paraId="5678B7FC"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7037140A" w14:textId="77777777" w:rsidR="00E117B3" w:rsidRPr="00E117B3" w:rsidRDefault="00E117B3" w:rsidP="00E117B3">
      <w:pPr>
        <w:numPr>
          <w:ilvl w:val="0"/>
          <w:numId w:val="3"/>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En relación con lo anterior, conforme la normativa aplicable, los sujetos activos de las estampillas, como por ejemplo la estampilla pro- deporte, la causa es la suscripción de contratos con la entidad territorial, el sujeto pasivo son los suscriptores de los mismos, y el sujeto activo es exclusivamente la respectiva entidad territorial y sus entidades descentralizadas, es decir, departamento o municipio (artículo 5° de la ley 2023 de 2020). En ese sentido, se reitera ¿Pueden estas terceras entidades designadas como ejecutoras de proyectos financiados con recursos del Sistema General De Regalías del Municipio, efectuar las deducciones y retenciones a los contratistas de los proyectos de obra por concepto de estampillas municipales? ¿Cuál es el fundamento legal?</w:t>
      </w:r>
    </w:p>
    <w:p w14:paraId="0C08A724"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4300CBF2"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xml:space="preserve">En cuanto a la Tasa Pro Deporte el artículo 4° de la Ley 2023 de 2020 establece el hecho generador desde dos supuestos, uno objetivo, consistente en la suscripción del contrato o convenio, y uno subjetivo, consistente en que el extremo contratante sea una entidad del nivel central o descentralizado de la entidad territorial. De tal manera, desde la convergencia de esos dos supuestos deberá analizarse el acaecimiento </w:t>
      </w:r>
      <w:r w:rsidRPr="00E117B3">
        <w:rPr>
          <w:rFonts w:ascii="Verdana" w:eastAsia="Times New Roman" w:hAnsi="Verdana" w:cs="Times New Roman"/>
          <w:color w:val="000000"/>
          <w:kern w:val="0"/>
          <w:lang w:val="es-CO" w:eastAsia="es-MX"/>
          <w14:ligatures w14:val="none"/>
        </w:rPr>
        <w:lastRenderedPageBreak/>
        <w:t>del hecho generador del tributo. En ese contexto, válido se hace señalar que los contratos o convenios estarán sujetos a la Tasa Pro-Deporte y Recreación siempre y cuando sean suscritos por una entidad del nivel central o descentralizado de la entidad territorial como extremo contratante y no se haya establecido ningún tratamiento exceptivo respecto de ese tipo de contratos.</w:t>
      </w:r>
    </w:p>
    <w:p w14:paraId="109CE1C7"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D8E411E"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A partir de las definiciones de la Ley 2023 de 2020, la Tasa Pro Deporte y Recreación grava los contratos y convenios suscritos con la Administración Central del Departamento, Municipio y Distrito y sus entidades descentralizadas, siendo el sujeto pasivo la persona natural o jurídica que suscribe el respectivo contrato o convenio. Conforme a ello la Administración Central o a la entidad descentralizada del departamento deberá realizar la respectiva retención, conforme lo ordena el parágrafo del artículo 6°.</w:t>
      </w:r>
    </w:p>
    <w:p w14:paraId="05651416"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11C050F5" w14:textId="77777777" w:rsidR="00E117B3" w:rsidRPr="00E117B3" w:rsidRDefault="00E117B3" w:rsidP="00E117B3">
      <w:pPr>
        <w:numPr>
          <w:ilvl w:val="0"/>
          <w:numId w:val="4"/>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Con ocasión de lo anterior, dentro de los presupuestos de proyectos de obra pública en donde el municipio no seleccionara al contratista de obra directamente por los procedimientos de selección previstos en la norma, sino que designara mediante acto administrativo a una entidad tercera ejecutora de estos proyectos y esta seleccionara al contratista de obra ¿Es viable o no, incorporar dentro de la matriz de gastos o costos indirectos lo relacionado con estampillas municipales? Lo dicho, se pregunta, por cuanto la entidad ejecutora, en el supuesto de que no sea sujeto activo, no podrá cobrársele o deducírsele al contratista de obra las estampillas incorporadas en el contrato.</w:t>
      </w:r>
    </w:p>
    <w:p w14:paraId="19EE8CFD"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FA39269"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En general, la inclusión del AIU en los procesos de contratación no obedece al cumplimiento de una disposición legal, corresponde más bien a la necesidad de discriminar en el total del costo de la obra, el de los costos directos e indirectos, principalmente con fines de evaluación de las propuestas, verificación de su ejecución y resolver posibles discusiones que surjan en torno, por ejemplo, del equilibrio contractual y las indemnizaciones. El AIU forma parte de los llamados costos indirectos del contrato y no incluye los Costos Directos, esto es, aquellos que tienen relación directa con la ejecución del objeto del contrato.</w:t>
      </w:r>
    </w:p>
    <w:p w14:paraId="7134B170"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0D881A1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xml:space="preserve">En la doctrina se ha entendido que el concepto del AIU corresponde al componente del valor del contrato, referido a gastos de Administración (A), Imprevistos (I) y Utilidades (U), donde: Administración: comprende los gastos para la operación del contrato, tales como los de disponibilidad de la organización del contratista, servicio de mensajería, secretaría, etc.; </w:t>
      </w:r>
      <w:r w:rsidRPr="00E117B3">
        <w:rPr>
          <w:rFonts w:ascii="Verdana" w:eastAsia="Times New Roman" w:hAnsi="Verdana" w:cs="Times New Roman"/>
          <w:color w:val="000000"/>
          <w:kern w:val="0"/>
          <w:lang w:val="es-CO" w:eastAsia="es-MX"/>
          <w14:ligatures w14:val="none"/>
        </w:rPr>
        <w:lastRenderedPageBreak/>
        <w:t>Imprevistos: El valor destinado a cubrir los gastos que se presenten durante la ejecución del contrato por los riesgos en que se incurre por el contratista y Utilidad: la ganancia que espera recibir el contratista.</w:t>
      </w:r>
    </w:p>
    <w:p w14:paraId="395D9655"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565D1AA3"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Debemos precisar que si bien la discriminación de los costos del contrato es una práctica útil y necesaria en el proceso de contratación, tanto para la entidad contratante como para el contratista, esta discriminación es independiente de otros procedimientos como la contabilidad o la determinación de la base gravable de los impuestos, los cuales se rigen por las normas aplicables a cada operación, con independencia de la forma como se discrimine el AIU y los demás costos en la estructura de costos del contrato. Así, aun cuando en un contrato de obra se discrimine el AIU, el ingreso del constructor, para efectos contables y fiscales puede ser el total del valor del contrato, dependiendo de la forma como se pacte el mismo. En consecuencia, es de señalar que en cuanto al pago derivados por razón de impuestos y/o estampillas, estarán a cargo del sujeto pasivo del tributo, que para el caso en estudio, es el contratista, dado que es una obligación que se genera a partir del desarrollo del hecho generador del tributo.</w:t>
      </w:r>
    </w:p>
    <w:p w14:paraId="4CD3BE4C"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723856B4" w14:textId="77777777" w:rsidR="00E117B3" w:rsidRPr="00E117B3" w:rsidRDefault="00E117B3" w:rsidP="00E117B3">
      <w:pPr>
        <w:numPr>
          <w:ilvl w:val="0"/>
          <w:numId w:val="5"/>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En el caso, de que NO se incorporen en la matriz de gastos o costos indirectos lo relacionado con las estampillas dentro de un presupuesto de proyecto de obra pública en donde el municipio no seleccionara al contratista de obra directamente por los procedimientos de selección previstos en la norma, y la entidad ejecutora que no es sujeto activo efectúa la retención o deducción de las estampillas al contratista, ¿Debe devolverle esos recursos deducidos o retenidos en exceso al contratista, ya que eventualmente se convertiría en un detrimento patrimonial para el contratista, y un enriquecimiento sin causa para la entidad ejecutora? ¿Puede o debe la entidad ejecutora girar o transferir dichos recursos deducidos o retenidos por concepto de estampillas al municipio? ¿Puede exigir el municipio la transferencia de dichos recursos por parte de la entidad ejecutora a sabiendas que no fueron incorporados en la matriz de gastos o costos indirectos del presupuesto, ni tampoco la entidad ejecutora es sujeto activo del impuesto? Fundamento Legal.</w:t>
      </w:r>
    </w:p>
    <w:p w14:paraId="76632336"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 </w:t>
      </w:r>
    </w:p>
    <w:p w14:paraId="544AB724"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5160C8E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En relación con las solicitudes de devolución es pertinente indicar que excede de nuestras competencias determinar la viabilidad de realizar las actuaciones correspondientes a la devolución; no obstante, traemos a colación lo señalado por el Consejo de Estado al respecto:</w:t>
      </w:r>
    </w:p>
    <w:p w14:paraId="0908242E"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1860BF85"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“Se presentan tres eventos generadores de saldos a favor, que permiten al particular ejercer el derecho a solicitar su devolución o compensación: En las declaraciones, en pagos en excesos y en pagos de lo no debido.</w:t>
      </w:r>
    </w:p>
    <w:p w14:paraId="52A01DBE"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63A1E65A"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Los saldos a favor se refieren a una cantidad líquida de dinero en beneficio del contribuyente, resultante de la aplicación en el denuncio fiscal de retenciones, anticipos, descontables, saldos a favor de períodos anteriores, frente a lo cual la Ley otorga responsabilidad de utilizarla para cubrir obligaciones tributarias (compensación) u obtener su reintegro (devolución).</w:t>
      </w:r>
    </w:p>
    <w:p w14:paraId="550EECDA"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8A13F16"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Se configuran “pagos en exceso” cuando se cancelan por impuestos sumas mayores a las que corresponden legalmente, y existe “pago de lo no debido”, en el evento de realizar pagos “sin que exista causa legal para hacer exigible su cumplimiento”.</w:t>
      </w:r>
    </w:p>
    <w:p w14:paraId="1CFE0B4E"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590480C8" w14:textId="77777777" w:rsidR="00E117B3" w:rsidRPr="00E117B3" w:rsidRDefault="00E117B3" w:rsidP="00E117B3">
      <w:pPr>
        <w:ind w:left="709"/>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i/>
          <w:iCs/>
          <w:color w:val="000000"/>
          <w:kern w:val="0"/>
          <w:lang w:val="es-CO" w:eastAsia="es-MX"/>
          <w14:ligatures w14:val="none"/>
        </w:rPr>
        <w:t>Los pagos en exceso o de lo no debido se originan en las declaraciones, actos administrativos o providencias judiciales, cuando comportan un valor pagado de más o la ausencia de obligación, lo que da derecho a solicitar su compensación o devolución.”</w:t>
      </w:r>
    </w:p>
    <w:p w14:paraId="1CCD6382"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0E6F2674"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Así las cosas, para determinar si hay lugar a solicitar la devolución lo primero que debe verificarse es si se configuró un pago de lo no debido, teniendo en cuenta las pautas contenidas en la jurisprudencia del Consejo de Estado y verificando en cada caso las circunstancias en las que se realizó el pago.</w:t>
      </w:r>
    </w:p>
    <w:p w14:paraId="5922FAC5" w14:textId="77777777" w:rsidR="00E117B3" w:rsidRPr="00E117B3" w:rsidRDefault="00E117B3" w:rsidP="00E117B3">
      <w:pPr>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2DFB2E1C" w14:textId="77777777" w:rsidR="00E117B3" w:rsidRPr="00E117B3" w:rsidRDefault="00E117B3" w:rsidP="00E117B3">
      <w:pPr>
        <w:numPr>
          <w:ilvl w:val="0"/>
          <w:numId w:val="6"/>
        </w:numPr>
        <w:jc w:val="both"/>
        <w:textAlignment w:val="baseline"/>
        <w:rPr>
          <w:rFonts w:ascii="Verdana" w:eastAsia="Times New Roman" w:hAnsi="Verdana" w:cs="Times New Roman"/>
          <w:b/>
          <w:bCs/>
          <w:i/>
          <w:iCs/>
          <w:color w:val="000000"/>
          <w:kern w:val="0"/>
          <w:lang w:val="es-CO" w:eastAsia="es-MX"/>
          <w14:ligatures w14:val="none"/>
        </w:rPr>
      </w:pPr>
      <w:r w:rsidRPr="00E117B3">
        <w:rPr>
          <w:rFonts w:ascii="Verdana" w:eastAsia="Times New Roman" w:hAnsi="Verdana" w:cs="Times New Roman"/>
          <w:b/>
          <w:bCs/>
          <w:i/>
          <w:iCs/>
          <w:color w:val="000000"/>
          <w:kern w:val="0"/>
          <w:lang w:val="es-CO" w:eastAsia="es-MX"/>
          <w14:ligatures w14:val="none"/>
        </w:rPr>
        <w:t>¿Puede el municipio nombrar o designar como agente retenedor de las estampillas a una entidad tercera ejecutora de proyectos de obra financiados con recursos del Sistema General De Regalías del municipio, teniendo en cuenta que, conforme al principio de legalidad tributaria, esta figura solo aplica a unos impuestos en específico como son RENTA, IVA e ICA?”</w:t>
      </w:r>
    </w:p>
    <w:p w14:paraId="1824BA25"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5405EC57"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Cuando una entidad territorial dicta mediante acto administrativo de su corporación político-administrativa de elección popular una ordenanza o un acuerdo y señala quiénes son los agentes retenedores, está estableciendo una obligación legal de colaboración en el control tributario, la cual no requiere convenio para su cumplimiento ni retribución alguna.</w:t>
      </w:r>
    </w:p>
    <w:p w14:paraId="0248A9B7"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38A3785E"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lastRenderedPageBreak/>
        <w:t>Podemos afirmar que la definición de los agentes retenedores es un acto que se origina en el ejercicio de la autonomía constitucional de la entidad territorial, en asocio con la naturaleza del tributo y su dinámica económica; así mismo, la periodicidad, presentación de declaraciones y demás asuntos relativos al recaudo, son establecidos por la administración departamental o municipal, según el caso.</w:t>
      </w:r>
    </w:p>
    <w:p w14:paraId="724D9267"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24F66B9C"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Por último, es de señalar que todos los oficios emitidos por esta Dirección, pueden ser</w:t>
      </w:r>
      <w:r w:rsidRPr="00E117B3">
        <w:rPr>
          <w:rFonts w:ascii="Verdana" w:eastAsia="Times New Roman" w:hAnsi="Verdana" w:cs="Times New Roman"/>
          <w:color w:val="000000"/>
          <w:kern w:val="0"/>
          <w:lang w:val="es-CO" w:eastAsia="es-MX"/>
          <w14:ligatures w14:val="none"/>
        </w:rPr>
        <w:tab/>
        <w:t>consultados</w:t>
      </w:r>
      <w:r w:rsidRPr="00E117B3">
        <w:rPr>
          <w:rFonts w:ascii="Verdana" w:eastAsia="Times New Roman" w:hAnsi="Verdana" w:cs="Times New Roman"/>
          <w:color w:val="000000"/>
          <w:kern w:val="0"/>
          <w:lang w:val="es-CO" w:eastAsia="es-MX"/>
          <w14:ligatures w14:val="none"/>
        </w:rPr>
        <w:tab/>
        <w:t>en</w:t>
      </w:r>
      <w:r w:rsidRPr="00E117B3">
        <w:rPr>
          <w:rFonts w:ascii="Verdana" w:eastAsia="Times New Roman" w:hAnsi="Verdana" w:cs="Times New Roman"/>
          <w:color w:val="000000"/>
          <w:kern w:val="0"/>
          <w:lang w:val="es-CO" w:eastAsia="es-MX"/>
          <w14:ligatures w14:val="none"/>
        </w:rPr>
        <w:tab/>
        <w:t>el</w:t>
      </w:r>
      <w:r w:rsidRPr="00E117B3">
        <w:rPr>
          <w:rFonts w:ascii="Verdana" w:eastAsia="Times New Roman" w:hAnsi="Verdana" w:cs="Times New Roman"/>
          <w:color w:val="000000"/>
          <w:kern w:val="0"/>
          <w:lang w:val="es-CO" w:eastAsia="es-MX"/>
          <w14:ligatures w14:val="none"/>
        </w:rPr>
        <w:tab/>
        <w:t>link: https://www.minhacienda.gov.co/webcenter/portal/EntidadesdeOrdenTerritorial/pages_asesorasyconceptos.</w:t>
      </w:r>
    </w:p>
    <w:p w14:paraId="1C8B129F" w14:textId="77777777" w:rsidR="00E117B3" w:rsidRPr="00E117B3" w:rsidRDefault="00E117B3" w:rsidP="00E117B3">
      <w:pPr>
        <w:spacing w:after="240"/>
        <w:rPr>
          <w:rFonts w:ascii="Times New Roman" w:eastAsia="Times New Roman" w:hAnsi="Times New Roman" w:cs="Times New Roman"/>
          <w:kern w:val="0"/>
          <w:lang w:val="es-CO" w:eastAsia="es-MX"/>
          <w14:ligatures w14:val="none"/>
        </w:rPr>
      </w:pPr>
    </w:p>
    <w:p w14:paraId="1E561429"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Cordialmente,</w:t>
      </w:r>
    </w:p>
    <w:p w14:paraId="67503DC9" w14:textId="77777777" w:rsidR="00E117B3" w:rsidRPr="00E117B3" w:rsidRDefault="00E117B3" w:rsidP="00E117B3">
      <w:pPr>
        <w:spacing w:after="240"/>
        <w:rPr>
          <w:rFonts w:ascii="Times New Roman" w:eastAsia="Times New Roman" w:hAnsi="Times New Roman" w:cs="Times New Roman"/>
          <w:kern w:val="0"/>
          <w:lang w:val="es-CO" w:eastAsia="es-MX"/>
          <w14:ligatures w14:val="none"/>
        </w:rPr>
      </w:pPr>
      <w:r w:rsidRPr="00E117B3">
        <w:rPr>
          <w:rFonts w:ascii="Times New Roman" w:eastAsia="Times New Roman" w:hAnsi="Times New Roman" w:cs="Times New Roman"/>
          <w:kern w:val="0"/>
          <w:lang w:val="es-CO" w:eastAsia="es-MX"/>
          <w14:ligatures w14:val="none"/>
        </w:rPr>
        <w:br/>
      </w:r>
    </w:p>
    <w:p w14:paraId="0C5F4082"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b/>
          <w:bCs/>
          <w:color w:val="000000"/>
          <w:kern w:val="0"/>
          <w:lang w:val="es-CO" w:eastAsia="es-MX"/>
          <w14:ligatures w14:val="none"/>
        </w:rPr>
        <w:t>CLAUDIA HELENA OTALORA CRISTANCHO</w:t>
      </w:r>
    </w:p>
    <w:p w14:paraId="3D3A71B3"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Subdirectora de Fortalecimiento Institucional Territorial</w:t>
      </w:r>
    </w:p>
    <w:p w14:paraId="0628BBE5" w14:textId="77777777" w:rsidR="00E117B3" w:rsidRPr="00E117B3" w:rsidRDefault="00E117B3" w:rsidP="00E117B3">
      <w:pPr>
        <w:jc w:val="both"/>
        <w:rPr>
          <w:rFonts w:ascii="Times New Roman" w:eastAsia="Times New Roman" w:hAnsi="Times New Roman" w:cs="Times New Roman"/>
          <w:kern w:val="0"/>
          <w:lang w:val="es-CO" w:eastAsia="es-MX"/>
          <w14:ligatures w14:val="none"/>
        </w:rPr>
      </w:pPr>
      <w:r w:rsidRPr="00E117B3">
        <w:rPr>
          <w:rFonts w:ascii="Verdana" w:eastAsia="Times New Roman" w:hAnsi="Verdana" w:cs="Times New Roman"/>
          <w:color w:val="000000"/>
          <w:kern w:val="0"/>
          <w:lang w:val="es-CO" w:eastAsia="es-MX"/>
          <w14:ligatures w14:val="none"/>
        </w:rPr>
        <w:t>Dirección General de Apoyo Fiscal </w:t>
      </w:r>
    </w:p>
    <w:p w14:paraId="63BCE7D4" w14:textId="77777777" w:rsidR="00E117B3" w:rsidRPr="00E117B3" w:rsidRDefault="00E117B3" w:rsidP="00E117B3">
      <w:pPr>
        <w:rPr>
          <w:rFonts w:ascii="Times New Roman" w:eastAsia="Times New Roman" w:hAnsi="Times New Roman" w:cs="Times New Roman"/>
          <w:kern w:val="0"/>
          <w:lang w:val="es-CO" w:eastAsia="es-MX"/>
          <w14:ligatures w14:val="none"/>
        </w:rPr>
      </w:pPr>
    </w:p>
    <w:p w14:paraId="5EBD042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2807446"/>
    <w:multiLevelType w:val="multilevel"/>
    <w:tmpl w:val="EB34B6B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926051"/>
    <w:multiLevelType w:val="multilevel"/>
    <w:tmpl w:val="7BC834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90028C"/>
    <w:multiLevelType w:val="multilevel"/>
    <w:tmpl w:val="D56635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E738CC"/>
    <w:multiLevelType w:val="multilevel"/>
    <w:tmpl w:val="489637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305D7E"/>
    <w:multiLevelType w:val="multilevel"/>
    <w:tmpl w:val="D278EC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1D25F1"/>
    <w:multiLevelType w:val="multilevel"/>
    <w:tmpl w:val="B04CD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18762642">
    <w:abstractNumId w:val="5"/>
  </w:num>
  <w:num w:numId="2" w16cid:durableId="254216833">
    <w:abstractNumId w:val="2"/>
    <w:lvlOverride w:ilvl="0">
      <w:lvl w:ilvl="0">
        <w:numFmt w:val="decimal"/>
        <w:lvlText w:val="%1."/>
        <w:lvlJc w:val="left"/>
      </w:lvl>
    </w:lvlOverride>
  </w:num>
  <w:num w:numId="3" w16cid:durableId="396779114">
    <w:abstractNumId w:val="3"/>
    <w:lvlOverride w:ilvl="0">
      <w:lvl w:ilvl="0">
        <w:numFmt w:val="decimal"/>
        <w:lvlText w:val="%1."/>
        <w:lvlJc w:val="left"/>
      </w:lvl>
    </w:lvlOverride>
  </w:num>
  <w:num w:numId="4" w16cid:durableId="1227957313">
    <w:abstractNumId w:val="1"/>
    <w:lvlOverride w:ilvl="0">
      <w:lvl w:ilvl="0">
        <w:numFmt w:val="decimal"/>
        <w:lvlText w:val="%1."/>
        <w:lvlJc w:val="left"/>
      </w:lvl>
    </w:lvlOverride>
  </w:num>
  <w:num w:numId="5" w16cid:durableId="2083746940">
    <w:abstractNumId w:val="4"/>
    <w:lvlOverride w:ilvl="0">
      <w:lvl w:ilvl="0">
        <w:numFmt w:val="decimal"/>
        <w:lvlText w:val="%1."/>
        <w:lvlJc w:val="left"/>
      </w:lvl>
    </w:lvlOverride>
  </w:num>
  <w:num w:numId="6" w16cid:durableId="1276016837">
    <w:abstractNumId w:val="0"/>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7B3"/>
    <w:rsid w:val="000B2285"/>
    <w:rsid w:val="002C58F0"/>
    <w:rsid w:val="00537D8F"/>
    <w:rsid w:val="00B83A7B"/>
    <w:rsid w:val="00E117B3"/>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0D50453"/>
  <w14:defaultImageDpi w14:val="32767"/>
  <w15:chartTrackingRefBased/>
  <w15:docId w15:val="{4BF79D0C-5D33-6A4C-A4AD-E860136C2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117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117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117B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117B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117B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117B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117B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117B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117B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117B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117B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117B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117B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117B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117B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117B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117B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117B3"/>
    <w:rPr>
      <w:rFonts w:eastAsiaTheme="majorEastAsia" w:cstheme="majorBidi"/>
      <w:color w:val="272727" w:themeColor="text1" w:themeTint="D8"/>
    </w:rPr>
  </w:style>
  <w:style w:type="paragraph" w:styleId="Ttulo">
    <w:name w:val="Title"/>
    <w:basedOn w:val="Normal"/>
    <w:next w:val="Normal"/>
    <w:link w:val="TtuloCar"/>
    <w:uiPriority w:val="10"/>
    <w:qFormat/>
    <w:rsid w:val="00E117B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117B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117B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117B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117B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117B3"/>
    <w:rPr>
      <w:i/>
      <w:iCs/>
      <w:color w:val="404040" w:themeColor="text1" w:themeTint="BF"/>
    </w:rPr>
  </w:style>
  <w:style w:type="paragraph" w:styleId="Prrafodelista">
    <w:name w:val="List Paragraph"/>
    <w:basedOn w:val="Normal"/>
    <w:uiPriority w:val="34"/>
    <w:qFormat/>
    <w:rsid w:val="00E117B3"/>
    <w:pPr>
      <w:ind w:left="720"/>
      <w:contextualSpacing/>
    </w:pPr>
  </w:style>
  <w:style w:type="character" w:styleId="nfasisintenso">
    <w:name w:val="Intense Emphasis"/>
    <w:basedOn w:val="Fuentedeprrafopredeter"/>
    <w:uiPriority w:val="21"/>
    <w:qFormat/>
    <w:rsid w:val="00E117B3"/>
    <w:rPr>
      <w:i/>
      <w:iCs/>
      <w:color w:val="2F5496" w:themeColor="accent1" w:themeShade="BF"/>
    </w:rPr>
  </w:style>
  <w:style w:type="paragraph" w:styleId="Citadestacada">
    <w:name w:val="Intense Quote"/>
    <w:basedOn w:val="Normal"/>
    <w:next w:val="Normal"/>
    <w:link w:val="CitadestacadaCar"/>
    <w:uiPriority w:val="30"/>
    <w:qFormat/>
    <w:rsid w:val="00E117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117B3"/>
    <w:rPr>
      <w:i/>
      <w:iCs/>
      <w:color w:val="2F5496" w:themeColor="accent1" w:themeShade="BF"/>
    </w:rPr>
  </w:style>
  <w:style w:type="character" w:styleId="Referenciaintensa">
    <w:name w:val="Intense Reference"/>
    <w:basedOn w:val="Fuentedeprrafopredeter"/>
    <w:uiPriority w:val="32"/>
    <w:qFormat/>
    <w:rsid w:val="00E117B3"/>
    <w:rPr>
      <w:b/>
      <w:bCs/>
      <w:smallCaps/>
      <w:color w:val="2F5496" w:themeColor="accent1" w:themeShade="BF"/>
      <w:spacing w:val="5"/>
    </w:rPr>
  </w:style>
  <w:style w:type="paragraph" w:styleId="NormalWeb">
    <w:name w:val="Normal (Web)"/>
    <w:basedOn w:val="Normal"/>
    <w:uiPriority w:val="99"/>
    <w:semiHidden/>
    <w:unhideWhenUsed/>
    <w:rsid w:val="00E117B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11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2949</Words>
  <Characters>16221</Characters>
  <Application>Microsoft Office Word</Application>
  <DocSecurity>0</DocSecurity>
  <Lines>135</Lines>
  <Paragraphs>38</Paragraphs>
  <ScaleCrop>false</ScaleCrop>
  <Company/>
  <LinksUpToDate>false</LinksUpToDate>
  <CharactersWithSpaces>19132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2026-06-24T16:35:00Z</dcterms:created>
  <dcterms:modified xsi:type="dcterms:W3CDTF">2026-06-24T16:37:00Z</dcterms:modified>
</cp:coreProperties>
</file>