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53729BD"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CONCEPTO 6831 DEL 30 DE ENERO DE 2026</w:t>
      </w:r>
    </w:p>
    <w:p w14:paraId="2049194B"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DIRECCIÓN DE APOYO FISCAL -DAF-</w:t>
      </w:r>
    </w:p>
    <w:p w14:paraId="2F5C1FB9"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7C39CF00"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Bogotá, D.C.</w:t>
      </w:r>
    </w:p>
    <w:p w14:paraId="50C72830"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035D9694"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Doctora</w:t>
      </w:r>
    </w:p>
    <w:p w14:paraId="386656C6"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Yenifer Torres Nieto</w:t>
      </w:r>
    </w:p>
    <w:p w14:paraId="491BCDCF"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Directora de Rentas</w:t>
      </w:r>
    </w:p>
    <w:p w14:paraId="4AB35CE9"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Alcaldía Municipal de Yopal</w:t>
      </w:r>
    </w:p>
    <w:p w14:paraId="5E0020E6"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entas@yopal-casanare.gov.co</w:t>
      </w:r>
    </w:p>
    <w:p w14:paraId="45FAF19E"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471420FA"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Tema:</w:t>
      </w:r>
      <w:r w:rsidRPr="00C05048">
        <w:rPr>
          <w:rFonts w:ascii="Verdana" w:eastAsia="Times New Roman" w:hAnsi="Verdana" w:cs="Times New Roman"/>
          <w:b/>
          <w:bCs/>
          <w:color w:val="000000"/>
          <w:kern w:val="0"/>
          <w:lang w:val="es-CO" w:eastAsia="es-MX"/>
          <w14:ligatures w14:val="none"/>
        </w:rPr>
        <w:tab/>
      </w:r>
      <w:r w:rsidRPr="00C05048">
        <w:rPr>
          <w:rFonts w:ascii="Verdana" w:eastAsia="Times New Roman" w:hAnsi="Verdana" w:cs="Times New Roman"/>
          <w:color w:val="000000"/>
          <w:kern w:val="0"/>
          <w:lang w:val="es-CO" w:eastAsia="es-MX"/>
          <w14:ligatures w14:val="none"/>
        </w:rPr>
        <w:t>Impuesto Predial Unificado</w:t>
      </w:r>
    </w:p>
    <w:p w14:paraId="6A41E3D8"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Subtema:</w:t>
      </w:r>
      <w:r w:rsidRPr="00C05048">
        <w:rPr>
          <w:rFonts w:ascii="Verdana" w:eastAsia="Times New Roman" w:hAnsi="Verdana" w:cs="Times New Roman"/>
          <w:b/>
          <w:bCs/>
          <w:color w:val="000000"/>
          <w:kern w:val="0"/>
          <w:lang w:val="es-CO" w:eastAsia="es-MX"/>
          <w14:ligatures w14:val="none"/>
        </w:rPr>
        <w:tab/>
      </w:r>
      <w:r w:rsidRPr="00C05048">
        <w:rPr>
          <w:rFonts w:ascii="Verdana" w:eastAsia="Times New Roman" w:hAnsi="Verdana" w:cs="Times New Roman"/>
          <w:color w:val="000000"/>
          <w:kern w:val="0"/>
          <w:lang w:val="es-CO" w:eastAsia="es-MX"/>
          <w14:ligatures w14:val="none"/>
        </w:rPr>
        <w:t>Límites</w:t>
      </w:r>
    </w:p>
    <w:p w14:paraId="7CCECB2D"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24558B44" w14:textId="77777777" w:rsidR="00C05048" w:rsidRPr="00C05048" w:rsidRDefault="00C05048" w:rsidP="00C05048">
      <w:pPr>
        <w:jc w:val="right"/>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Radicado entrada 1-2026-001906</w:t>
      </w:r>
    </w:p>
    <w:p w14:paraId="00CC643B" w14:textId="77777777" w:rsidR="00C05048" w:rsidRPr="00C05048" w:rsidRDefault="00C05048" w:rsidP="00C05048">
      <w:pPr>
        <w:jc w:val="right"/>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No. Expediente 1023/2026/GEA</w:t>
      </w:r>
    </w:p>
    <w:p w14:paraId="3C2DEB93"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 </w:t>
      </w:r>
    </w:p>
    <w:p w14:paraId="48B32C76"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Cordial saludo Doctora Torres:</w:t>
      </w:r>
    </w:p>
    <w:p w14:paraId="1CBD89CE"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2E5C5CA2"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Mediante escrito dirigido a este Despacho y radicado con el número 1-2026-001906 efectúa usted una serie de consultas en relación con los límites al impuesto predial unificado y de la sobretasa ambiental.</w:t>
      </w:r>
    </w:p>
    <w:p w14:paraId="285A808E"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330288ED"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Sea lo primero precisar que los pronunciamientos de esta Dirección se emiten en los términos y con los estrictos alcances de los artículos 14-2 y 28 del Código de Procedimiento Administrativo y de lo Contencioso Administrativo, por lo que la respuesta es general, no tiene efectos obligatorios ni vinculantes, y no compromete la responsabilidad de este Ministerio.</w:t>
      </w:r>
    </w:p>
    <w:p w14:paraId="034BAE90"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09748236"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Consulta usted:</w:t>
      </w:r>
    </w:p>
    <w:p w14:paraId="55B4186D"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7919F104" w14:textId="77777777" w:rsidR="00C05048" w:rsidRPr="00C05048" w:rsidRDefault="00C05048" w:rsidP="00C05048">
      <w:pPr>
        <w:ind w:left="709"/>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i/>
          <w:iCs/>
          <w:color w:val="000000"/>
          <w:kern w:val="0"/>
          <w:lang w:val="es-CO" w:eastAsia="es-MX"/>
          <w14:ligatures w14:val="none"/>
        </w:rPr>
        <w:t>“… agradecemos su orientación para la aplicación del límite de incremento de la sobretasa ambiental para la vigencia 2026, teniendo en cuenta que en el año 2024 el municipio llevó a cabo proceso de actualización catastral a los predios del área urbana, la cual comenzó a aplicarse en la vigencia 2025. Para el año 2025 para la liquidación de la sobretasa se dio aplicación al artículo 10 de la ley 44 de 1.990, liquidando hasta el doble de la sobretasa liquidada en el año 2024, sin embargo queda la duda si para los años subsiguientes se aplica el mismo límite o cual sería el límite aplicable por este concepto para los años 2026 y siguientes.”</w:t>
      </w:r>
    </w:p>
    <w:p w14:paraId="734018CA"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7D0404A0"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lastRenderedPageBreak/>
        <w:t>En relación con la sobretasa ambiental debe tenerse en cuenta que, a diferencia de lo que ocurre en el impuesto predial unificado, existe un único límite aplicable, que es el señalado en el artículo 10 de la Ley 44 de 1990.</w:t>
      </w:r>
    </w:p>
    <w:p w14:paraId="1E326916"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0EF62752" w14:textId="77777777" w:rsidR="00C05048" w:rsidRDefault="00C05048" w:rsidP="00C05048">
      <w:pPr>
        <w:jc w:val="both"/>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En cada vigencia fiscal, corresponde a la administración analizar la procedencia del límite y darle aplicación cuando resulte procedente.</w:t>
      </w:r>
    </w:p>
    <w:p w14:paraId="3F1BD99A" w14:textId="77777777" w:rsidR="00EE0E44" w:rsidRPr="00C05048" w:rsidRDefault="00EE0E44" w:rsidP="00C05048">
      <w:pPr>
        <w:jc w:val="both"/>
        <w:rPr>
          <w:rFonts w:ascii="Times New Roman" w:eastAsia="Times New Roman" w:hAnsi="Times New Roman" w:cs="Times New Roman"/>
          <w:kern w:val="0"/>
          <w:lang w:val="es-CO" w:eastAsia="es-MX"/>
          <w14:ligatures w14:val="none"/>
        </w:rPr>
      </w:pPr>
    </w:p>
    <w:p w14:paraId="144F1C5B"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Es decir, para la vigencia fiscal 2026, la administración debe verificar si la sobretasa liquidada supera el límite previsto en el artículo 10 de la Ley 44 de 1990 y, de ser así, aplicarlo. El mismo ejercicio debe hacerse en las vigencias subsiguientes.</w:t>
      </w:r>
    </w:p>
    <w:p w14:paraId="39FF7EF0"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19B599A7" w14:textId="77777777" w:rsidR="00C05048" w:rsidRPr="00C05048" w:rsidRDefault="00C05048" w:rsidP="00C05048">
      <w:pPr>
        <w:ind w:left="709"/>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i/>
          <w:iCs/>
          <w:color w:val="000000"/>
          <w:kern w:val="0"/>
          <w:lang w:val="es-CO" w:eastAsia="es-MX"/>
          <w14:ligatures w14:val="none"/>
        </w:rPr>
        <w:t>“Así mismo solicitamos orientación en cuanto al incremento del impuesto predial para el año 2026 para los predios que en el año 2025, se liquidaron con un incremento correspondiente al IPC, de conformidad con el inciso tercero del artículo 2° de la ley 1995 de 2019, con el fin de concluir si el incremento para dichos predios para el año 2026 y siguientes sigue siendo el IPC, independientemente si cancelaron el impuesto el año anterior o no , o si por el contrario, se aplican los criterios del IPC + 8 puntos para los predios que hayan cancelado y del doble del impuesto del año anterior para aquellos que no cancelaron en el año 2025..”</w:t>
      </w:r>
    </w:p>
    <w:p w14:paraId="66D454B0"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7AC1C68A"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De acuerdo con los términos de su consulta entenderíamos que se trata de viviendas pertenecientes a los estratos 1 y 2 con avalúo catastral de hasta 135 salarios mínimos mensuales legales vigentes, que conforme con el inciso tercero del artículo 2 de la Ley 1995 de 2019 deben incrementarse máximo en el 100% del IPC.</w:t>
      </w:r>
    </w:p>
    <w:p w14:paraId="76EA9DD5"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21B5DE68"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En este caso la norma no establece la obligación de haberse pagado el impuesto del año anterior, para que resulte aplicable el límite, por lo que los únicos requisitos que deben acreditarse para la procedencia del límite del IPC son:</w:t>
      </w:r>
    </w:p>
    <w:p w14:paraId="5921F028" w14:textId="77777777" w:rsidR="00C05048" w:rsidRPr="00C05048" w:rsidRDefault="00C05048" w:rsidP="00C05048">
      <w:pPr>
        <w:rPr>
          <w:rFonts w:ascii="Times New Roman" w:eastAsia="Times New Roman" w:hAnsi="Times New Roman" w:cs="Times New Roman"/>
          <w:kern w:val="0"/>
          <w:lang w:val="es-CO" w:eastAsia="es-MX"/>
          <w14:ligatures w14:val="none"/>
        </w:rPr>
      </w:pPr>
      <w:r w:rsidRPr="00C05048">
        <w:rPr>
          <w:rFonts w:ascii="Times New Roman" w:eastAsia="Times New Roman" w:hAnsi="Times New Roman" w:cs="Times New Roman"/>
          <w:kern w:val="0"/>
          <w:lang w:val="es-CO" w:eastAsia="es-MX"/>
          <w14:ligatures w14:val="none"/>
        </w:rPr>
        <w:br/>
      </w:r>
    </w:p>
    <w:p w14:paraId="0607071A" w14:textId="77777777" w:rsidR="00C05048" w:rsidRPr="00C05048" w:rsidRDefault="00C05048" w:rsidP="00C05048">
      <w:pPr>
        <w:numPr>
          <w:ilvl w:val="0"/>
          <w:numId w:val="1"/>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Ser vivienda</w:t>
      </w:r>
    </w:p>
    <w:p w14:paraId="56A81862" w14:textId="77777777" w:rsidR="00C05048" w:rsidRPr="00C05048" w:rsidRDefault="00C05048" w:rsidP="00C05048">
      <w:pPr>
        <w:numPr>
          <w:ilvl w:val="0"/>
          <w:numId w:val="1"/>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Pertenecer al estrato 1 o 2</w:t>
      </w:r>
    </w:p>
    <w:p w14:paraId="09BC3A53" w14:textId="77777777" w:rsidR="00C05048" w:rsidRPr="00C05048" w:rsidRDefault="00C05048" w:rsidP="00C05048">
      <w:pPr>
        <w:numPr>
          <w:ilvl w:val="0"/>
          <w:numId w:val="1"/>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 xml:space="preserve">Tener un avalúo inferior a 135 </w:t>
      </w:r>
      <w:proofErr w:type="spellStart"/>
      <w:r w:rsidRPr="00C05048">
        <w:rPr>
          <w:rFonts w:ascii="Verdana" w:eastAsia="Times New Roman" w:hAnsi="Verdana" w:cs="Times New Roman"/>
          <w:color w:val="000000"/>
          <w:kern w:val="0"/>
          <w:lang w:val="es-CO" w:eastAsia="es-MX"/>
          <w14:ligatures w14:val="none"/>
        </w:rPr>
        <w:t>smmlv</w:t>
      </w:r>
      <w:proofErr w:type="spellEnd"/>
      <w:r w:rsidRPr="00C05048">
        <w:rPr>
          <w:rFonts w:ascii="Verdana" w:eastAsia="Times New Roman" w:hAnsi="Verdana" w:cs="Times New Roman"/>
          <w:color w:val="000000"/>
          <w:kern w:val="0"/>
          <w:lang w:val="es-CO" w:eastAsia="es-MX"/>
          <w14:ligatures w14:val="none"/>
        </w:rPr>
        <w:t>.</w:t>
      </w:r>
    </w:p>
    <w:p w14:paraId="15164A03"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13220FFD"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Adicionalmente, debe analizarse que el predio no se encuentre dentro de las exclusiones previstas en el parágrafo del artículo segundo de la Ley 1995, a saber:</w:t>
      </w:r>
    </w:p>
    <w:p w14:paraId="1CCC078C" w14:textId="77777777" w:rsidR="00C05048" w:rsidRPr="00C05048" w:rsidRDefault="00C05048" w:rsidP="00C05048">
      <w:pPr>
        <w:rPr>
          <w:rFonts w:ascii="Times New Roman" w:eastAsia="Times New Roman" w:hAnsi="Times New Roman" w:cs="Times New Roman"/>
          <w:kern w:val="0"/>
          <w:lang w:val="es-CO" w:eastAsia="es-MX"/>
          <w14:ligatures w14:val="none"/>
        </w:rPr>
      </w:pPr>
      <w:r w:rsidRPr="00C05048">
        <w:rPr>
          <w:rFonts w:ascii="Times New Roman" w:eastAsia="Times New Roman" w:hAnsi="Times New Roman" w:cs="Times New Roman"/>
          <w:kern w:val="0"/>
          <w:lang w:val="es-CO" w:eastAsia="es-MX"/>
          <w14:ligatures w14:val="none"/>
        </w:rPr>
        <w:lastRenderedPageBreak/>
        <w:br/>
      </w:r>
    </w:p>
    <w:p w14:paraId="5A4A46E5"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Los terrenos urbanizables no urbanizados o urbanizados no edificados.</w:t>
      </w:r>
    </w:p>
    <w:p w14:paraId="6E8EB281"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Los predios que figuraban como lotes no construidos o construidos y cuyo nuevo avalúo se origina por la construcción o edificación en él realizada.</w:t>
      </w:r>
    </w:p>
    <w:p w14:paraId="7362ED9B"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 xml:space="preserve">Los predios que utilicen como base gravable el </w:t>
      </w:r>
      <w:proofErr w:type="spellStart"/>
      <w:r w:rsidRPr="00C05048">
        <w:rPr>
          <w:rFonts w:ascii="Verdana" w:eastAsia="Times New Roman" w:hAnsi="Verdana" w:cs="Times New Roman"/>
          <w:color w:val="000000"/>
          <w:kern w:val="0"/>
          <w:lang w:val="es-CO" w:eastAsia="es-MX"/>
          <w14:ligatures w14:val="none"/>
        </w:rPr>
        <w:t>autoavalúo</w:t>
      </w:r>
      <w:proofErr w:type="spellEnd"/>
      <w:r w:rsidRPr="00C05048">
        <w:rPr>
          <w:rFonts w:ascii="Verdana" w:eastAsia="Times New Roman" w:hAnsi="Verdana" w:cs="Times New Roman"/>
          <w:color w:val="000000"/>
          <w:kern w:val="0"/>
          <w:lang w:val="es-CO" w:eastAsia="es-MX"/>
          <w14:ligatures w14:val="none"/>
        </w:rPr>
        <w:t xml:space="preserve"> para calcular su impuesto predial.</w:t>
      </w:r>
    </w:p>
    <w:p w14:paraId="35423EFB"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 xml:space="preserve">Los predios cuyo avalúo resulta de la </w:t>
      </w:r>
      <w:proofErr w:type="spellStart"/>
      <w:r w:rsidRPr="00C05048">
        <w:rPr>
          <w:rFonts w:ascii="Verdana" w:eastAsia="Times New Roman" w:hAnsi="Verdana" w:cs="Times New Roman"/>
          <w:color w:val="000000"/>
          <w:kern w:val="0"/>
          <w:lang w:val="es-CO" w:eastAsia="es-MX"/>
          <w14:ligatures w14:val="none"/>
        </w:rPr>
        <w:t>autoestimación</w:t>
      </w:r>
      <w:proofErr w:type="spellEnd"/>
      <w:r w:rsidRPr="00C05048">
        <w:rPr>
          <w:rFonts w:ascii="Verdana" w:eastAsia="Times New Roman" w:hAnsi="Verdana" w:cs="Times New Roman"/>
          <w:color w:val="000000"/>
          <w:kern w:val="0"/>
          <w:lang w:val="es-CO" w:eastAsia="es-MX"/>
          <w14:ligatures w14:val="none"/>
        </w:rPr>
        <w:t xml:space="preserve"> que es inscrita por las autoridades catastrales en el respectivo censo, de conformidad con los parámetros técnicos establecidos en las normas catastrales.</w:t>
      </w:r>
    </w:p>
    <w:p w14:paraId="4976FDC6"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Los predios que hayan cambiado de destino económico ni que hayan sufrido modificaciones en áreas de terreno y/o construcción.</w:t>
      </w:r>
    </w:p>
    <w:p w14:paraId="74F25F8E"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Solo aplicable para predios menores de 100 hectáreas respecto a inmuebles del sector rural.</w:t>
      </w:r>
    </w:p>
    <w:p w14:paraId="1148C77F" w14:textId="77777777" w:rsidR="00C05048" w:rsidRPr="00C05048" w:rsidRDefault="00C05048" w:rsidP="00C05048">
      <w:pPr>
        <w:numPr>
          <w:ilvl w:val="0"/>
          <w:numId w:val="2"/>
        </w:numPr>
        <w:jc w:val="both"/>
        <w:textAlignment w:val="baseline"/>
        <w:rPr>
          <w:rFonts w:ascii="Verdana" w:eastAsia="Times New Roman" w:hAnsi="Verdana" w:cs="Times New Roman"/>
          <w:color w:val="000000"/>
          <w:kern w:val="0"/>
          <w:lang w:val="es-CO" w:eastAsia="es-MX"/>
          <w14:ligatures w14:val="none"/>
        </w:rPr>
      </w:pPr>
      <w:r w:rsidRPr="00C05048">
        <w:rPr>
          <w:rFonts w:ascii="Verdana" w:eastAsia="Times New Roman" w:hAnsi="Verdana" w:cs="Times New Roman"/>
          <w:color w:val="000000"/>
          <w:kern w:val="0"/>
          <w:lang w:val="es-CO" w:eastAsia="es-MX"/>
          <w14:ligatures w14:val="none"/>
        </w:rPr>
        <w:t>Predios que no han sido objeto de formación catastral.</w:t>
      </w:r>
    </w:p>
    <w:p w14:paraId="3019FED2"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70519427"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Adicionalmente, y en el marco de las competencias de este Despacho de manera atenta les extendemos una invitación para la realización de una jornada de capacitación o una mesa técnica con los funcionarios de la administración para responder sus preguntas o brindarles acompañamiento técnico en los temas que requieran.</w:t>
      </w:r>
    </w:p>
    <w:p w14:paraId="04ADA285"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14406FA8"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 xml:space="preserve">El evento se realizaría de manera presencial en las oficinas del Ministerio de Hacienda y Crédito Público ubicadas en la Carrera 8 No. 6 C 38 de la ciudad de Bogotá D.C. o de manera virtual a través de la plataforma </w:t>
      </w:r>
      <w:proofErr w:type="spellStart"/>
      <w:r w:rsidRPr="00C05048">
        <w:rPr>
          <w:rFonts w:ascii="Verdana" w:eastAsia="Times New Roman" w:hAnsi="Verdana" w:cs="Times New Roman"/>
          <w:color w:val="000000"/>
          <w:kern w:val="0"/>
          <w:lang w:val="es-CO" w:eastAsia="es-MX"/>
          <w14:ligatures w14:val="none"/>
        </w:rPr>
        <w:t>Teams</w:t>
      </w:r>
      <w:proofErr w:type="spellEnd"/>
      <w:r w:rsidRPr="00C05048">
        <w:rPr>
          <w:rFonts w:ascii="Verdana" w:eastAsia="Times New Roman" w:hAnsi="Verdana" w:cs="Times New Roman"/>
          <w:color w:val="000000"/>
          <w:kern w:val="0"/>
          <w:lang w:val="es-CO" w:eastAsia="es-MX"/>
          <w14:ligatures w14:val="none"/>
        </w:rPr>
        <w:t>, de acuerdo con su preferencia. Para efectos de coordinar la fecha y hora de la reunión agradecemos comunicarse al correo electrónico apulido@minhacienda.gov.co</w:t>
      </w:r>
    </w:p>
    <w:p w14:paraId="0708415F" w14:textId="77777777" w:rsidR="00C05048" w:rsidRPr="00C05048" w:rsidRDefault="00C05048" w:rsidP="00C05048">
      <w:pPr>
        <w:rPr>
          <w:rFonts w:ascii="Times New Roman" w:eastAsia="Times New Roman" w:hAnsi="Times New Roman" w:cs="Times New Roman"/>
          <w:kern w:val="0"/>
          <w:lang w:val="es-CO" w:eastAsia="es-MX"/>
          <w14:ligatures w14:val="none"/>
        </w:rPr>
      </w:pPr>
    </w:p>
    <w:p w14:paraId="62C09BF9"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Finalmente le recordamos que las respuestas emitidas por este Despacho son de público conocimiento y pueden ser consultados en www.minhacienda.gov.co, siguiendo la ruta Procesos Misionales / Apoyo Fiscal Territorial / Conceptos en materia tributaria</w:t>
      </w:r>
    </w:p>
    <w:p w14:paraId="122C7DB8" w14:textId="77777777" w:rsidR="00C05048" w:rsidRPr="00C05048" w:rsidRDefault="00C05048" w:rsidP="00C05048">
      <w:pPr>
        <w:spacing w:after="240"/>
        <w:rPr>
          <w:rFonts w:ascii="Times New Roman" w:eastAsia="Times New Roman" w:hAnsi="Times New Roman" w:cs="Times New Roman"/>
          <w:kern w:val="0"/>
          <w:lang w:val="es-CO" w:eastAsia="es-MX"/>
          <w14:ligatures w14:val="none"/>
        </w:rPr>
      </w:pPr>
    </w:p>
    <w:p w14:paraId="4FDFC2A6"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Cordialmente</w:t>
      </w:r>
    </w:p>
    <w:p w14:paraId="563B4D18" w14:textId="77777777" w:rsidR="00C05048" w:rsidRPr="00C05048" w:rsidRDefault="00C05048" w:rsidP="00C05048">
      <w:pPr>
        <w:spacing w:after="240"/>
        <w:rPr>
          <w:rFonts w:ascii="Times New Roman" w:eastAsia="Times New Roman" w:hAnsi="Times New Roman" w:cs="Times New Roman"/>
          <w:kern w:val="0"/>
          <w:lang w:val="es-CO" w:eastAsia="es-MX"/>
          <w14:ligatures w14:val="none"/>
        </w:rPr>
      </w:pPr>
      <w:r w:rsidRPr="00C05048">
        <w:rPr>
          <w:rFonts w:ascii="Times New Roman" w:eastAsia="Times New Roman" w:hAnsi="Times New Roman" w:cs="Times New Roman"/>
          <w:kern w:val="0"/>
          <w:lang w:val="es-CO" w:eastAsia="es-MX"/>
          <w14:ligatures w14:val="none"/>
        </w:rPr>
        <w:br/>
      </w:r>
    </w:p>
    <w:p w14:paraId="3C09760C"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b/>
          <w:bCs/>
          <w:color w:val="000000"/>
          <w:kern w:val="0"/>
          <w:lang w:val="es-CO" w:eastAsia="es-MX"/>
          <w14:ligatures w14:val="none"/>
        </w:rPr>
        <w:t>CLAUDIA HELENA OTÁLORA CRISTANCHO</w:t>
      </w:r>
    </w:p>
    <w:p w14:paraId="52028C84" w14:textId="77777777" w:rsidR="00C05048" w:rsidRPr="00C05048" w:rsidRDefault="00C05048" w:rsidP="00C05048">
      <w:pPr>
        <w:jc w:val="both"/>
        <w:rPr>
          <w:rFonts w:ascii="Times New Roman" w:eastAsia="Times New Roman" w:hAnsi="Times New Roman" w:cs="Times New Roman"/>
          <w:kern w:val="0"/>
          <w:lang w:val="es-CO" w:eastAsia="es-MX"/>
          <w14:ligatures w14:val="none"/>
        </w:rPr>
      </w:pPr>
      <w:r w:rsidRPr="00C05048">
        <w:rPr>
          <w:rFonts w:ascii="Verdana" w:eastAsia="Times New Roman" w:hAnsi="Verdana" w:cs="Times New Roman"/>
          <w:color w:val="000000"/>
          <w:kern w:val="0"/>
          <w:lang w:val="es-CO" w:eastAsia="es-MX"/>
          <w14:ligatures w14:val="none"/>
        </w:rPr>
        <w:t>Subdirectora de Fortalecimiento Institucional Territorial</w:t>
      </w:r>
    </w:p>
    <w:p w14:paraId="0D7A2B00" w14:textId="75F5FEE4" w:rsidR="00537D8F" w:rsidRDefault="00C05048" w:rsidP="00C05048">
      <w:pPr>
        <w:jc w:val="both"/>
      </w:pPr>
      <w:r w:rsidRPr="00C05048">
        <w:rPr>
          <w:rFonts w:ascii="Verdana" w:eastAsia="Times New Roman" w:hAnsi="Verdana" w:cs="Times New Roman"/>
          <w:color w:val="000000"/>
          <w:kern w:val="0"/>
          <w:lang w:val="es-CO" w:eastAsia="es-MX"/>
          <w14:ligatures w14:val="none"/>
        </w:rPr>
        <w:t>Dirección General de Apoyo Fiscal</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32181040"/>
    <w:multiLevelType w:val="multilevel"/>
    <w:tmpl w:val="36863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4D3830"/>
    <w:multiLevelType w:val="multilevel"/>
    <w:tmpl w:val="7EDE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3284432">
    <w:abstractNumId w:val="1"/>
  </w:num>
  <w:num w:numId="2" w16cid:durableId="530611890">
    <w:abstractNumId w:val="0"/>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048"/>
    <w:rsid w:val="000B2285"/>
    <w:rsid w:val="00537D8F"/>
    <w:rsid w:val="00796344"/>
    <w:rsid w:val="00B83A7B"/>
    <w:rsid w:val="00C05048"/>
    <w:rsid w:val="00EE0E44"/>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8B418"/>
  <w14:defaultImageDpi w14:val="32767"/>
  <w15:chartTrackingRefBased/>
  <w15:docId w15:val="{6CF54452-4A09-B84C-8B6E-B02E7454B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0504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0504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0504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0504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0504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0504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0504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0504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0504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0504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0504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0504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0504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0504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0504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0504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0504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05048"/>
    <w:rPr>
      <w:rFonts w:eastAsiaTheme="majorEastAsia" w:cstheme="majorBidi"/>
      <w:color w:val="272727" w:themeColor="text1" w:themeTint="D8"/>
    </w:rPr>
  </w:style>
  <w:style w:type="paragraph" w:styleId="Ttulo">
    <w:name w:val="Title"/>
    <w:basedOn w:val="Normal"/>
    <w:next w:val="Normal"/>
    <w:link w:val="TtuloCar"/>
    <w:uiPriority w:val="10"/>
    <w:qFormat/>
    <w:rsid w:val="00C0504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0504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0504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0504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0504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05048"/>
    <w:rPr>
      <w:i/>
      <w:iCs/>
      <w:color w:val="404040" w:themeColor="text1" w:themeTint="BF"/>
    </w:rPr>
  </w:style>
  <w:style w:type="paragraph" w:styleId="Prrafodelista">
    <w:name w:val="List Paragraph"/>
    <w:basedOn w:val="Normal"/>
    <w:uiPriority w:val="34"/>
    <w:qFormat/>
    <w:rsid w:val="00C05048"/>
    <w:pPr>
      <w:ind w:left="720"/>
      <w:contextualSpacing/>
    </w:pPr>
  </w:style>
  <w:style w:type="character" w:styleId="nfasisintenso">
    <w:name w:val="Intense Emphasis"/>
    <w:basedOn w:val="Fuentedeprrafopredeter"/>
    <w:uiPriority w:val="21"/>
    <w:qFormat/>
    <w:rsid w:val="00C05048"/>
    <w:rPr>
      <w:i/>
      <w:iCs/>
      <w:color w:val="2F5496" w:themeColor="accent1" w:themeShade="BF"/>
    </w:rPr>
  </w:style>
  <w:style w:type="paragraph" w:styleId="Citadestacada">
    <w:name w:val="Intense Quote"/>
    <w:basedOn w:val="Normal"/>
    <w:next w:val="Normal"/>
    <w:link w:val="CitadestacadaCar"/>
    <w:uiPriority w:val="30"/>
    <w:qFormat/>
    <w:rsid w:val="00C0504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05048"/>
    <w:rPr>
      <w:i/>
      <w:iCs/>
      <w:color w:val="2F5496" w:themeColor="accent1" w:themeShade="BF"/>
    </w:rPr>
  </w:style>
  <w:style w:type="character" w:styleId="Referenciaintensa">
    <w:name w:val="Intense Reference"/>
    <w:basedOn w:val="Fuentedeprrafopredeter"/>
    <w:uiPriority w:val="32"/>
    <w:qFormat/>
    <w:rsid w:val="00C05048"/>
    <w:rPr>
      <w:b/>
      <w:bCs/>
      <w:smallCaps/>
      <w:color w:val="2F5496" w:themeColor="accent1" w:themeShade="BF"/>
      <w:spacing w:val="5"/>
    </w:rPr>
  </w:style>
  <w:style w:type="paragraph" w:styleId="NormalWeb">
    <w:name w:val="Normal (Web)"/>
    <w:basedOn w:val="Normal"/>
    <w:uiPriority w:val="99"/>
    <w:semiHidden/>
    <w:unhideWhenUsed/>
    <w:rsid w:val="00C0504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050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849</Words>
  <Characters>4672</Characters>
  <Application>Microsoft Office Word</Application>
  <DocSecurity>0</DocSecurity>
  <Lines>38</Lines>
  <Paragraphs>11</Paragraphs>
  <ScaleCrop>false</ScaleCrop>
  <Company/>
  <LinksUpToDate>false</LinksUpToDate>
  <CharactersWithSpaces>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2026-06-26T14:32:00Z</dcterms:created>
  <dcterms:modified xsi:type="dcterms:W3CDTF">2026-06-26T14:33:00Z</dcterms:modified>
</cp:coreProperties>
</file>