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DD8609F"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b/>
          <w:bCs/>
          <w:color w:val="000000"/>
          <w:kern w:val="0"/>
          <w:lang w:val="es-CO" w:eastAsia="es-MX"/>
          <w14:ligatures w14:val="none"/>
        </w:rPr>
        <w:t>CONCEPTO 484 DEL 7 DE ABRIL DE 2026</w:t>
      </w:r>
    </w:p>
    <w:p w14:paraId="20FFB577"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b/>
          <w:bCs/>
          <w:color w:val="000000"/>
          <w:kern w:val="0"/>
          <w:lang w:val="es-CO" w:eastAsia="es-MX"/>
          <w14:ligatures w14:val="none"/>
        </w:rPr>
        <w:t>DIRECCIÓN DE IMPUESTOS Y ADUANAS NACIONALES</w:t>
      </w:r>
    </w:p>
    <w:p w14:paraId="0CE159E5" w14:textId="77777777" w:rsidR="00A16588" w:rsidRPr="00A16588" w:rsidRDefault="00A16588" w:rsidP="00A16588">
      <w:pPr>
        <w:rPr>
          <w:rFonts w:ascii="Times New Roman" w:eastAsia="Times New Roman" w:hAnsi="Times New Roman" w:cs="Times New Roman"/>
          <w:kern w:val="0"/>
          <w:lang w:val="es-CO" w:eastAsia="es-MX"/>
          <w14:ligatures w14:val="none"/>
        </w:rPr>
      </w:pPr>
    </w:p>
    <w:p w14:paraId="3C425A7E"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color w:val="000000"/>
          <w:kern w:val="0"/>
          <w:lang w:val="es-CO" w:eastAsia="es-MX"/>
          <w14:ligatures w14:val="none"/>
        </w:rPr>
        <w:t>Bogotá D.C.,</w:t>
      </w:r>
    </w:p>
    <w:p w14:paraId="5896655F" w14:textId="77777777" w:rsidR="00A16588" w:rsidRPr="00A16588" w:rsidRDefault="00A16588" w:rsidP="00A16588">
      <w:pPr>
        <w:rPr>
          <w:rFonts w:ascii="Times New Roman" w:eastAsia="Times New Roman" w:hAnsi="Times New Roman" w:cs="Times New Roman"/>
          <w:kern w:val="0"/>
          <w:lang w:val="es-CO" w:eastAsia="es-MX"/>
          <w14:ligatures w14:val="none"/>
        </w:rPr>
      </w:pPr>
    </w:p>
    <w:p w14:paraId="1CBBBFEF"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color w:val="000000"/>
          <w:kern w:val="0"/>
          <w:lang w:val="es-CO" w:eastAsia="es-MX"/>
          <w14:ligatures w14:val="none"/>
        </w:rPr>
        <w:t>Cordial saludo</w:t>
      </w:r>
    </w:p>
    <w:p w14:paraId="69BF062B" w14:textId="77777777" w:rsidR="00A16588" w:rsidRPr="00A16588" w:rsidRDefault="00A16588" w:rsidP="00A16588">
      <w:pPr>
        <w:rPr>
          <w:rFonts w:ascii="Times New Roman" w:eastAsia="Times New Roman" w:hAnsi="Times New Roman" w:cs="Times New Roman"/>
          <w:kern w:val="0"/>
          <w:lang w:val="es-CO" w:eastAsia="es-MX"/>
          <w14:ligatures w14:val="none"/>
        </w:rPr>
      </w:pPr>
      <w:r w:rsidRPr="00A16588">
        <w:rPr>
          <w:rFonts w:ascii="Times New Roman" w:eastAsia="Times New Roman" w:hAnsi="Times New Roman" w:cs="Times New Roman"/>
          <w:kern w:val="0"/>
          <w:lang w:val="es-CO" w:eastAsia="es-MX"/>
          <w14:ligatures w14:val="none"/>
        </w:rPr>
        <w:br/>
      </w:r>
    </w:p>
    <w:p w14:paraId="605C915C" w14:textId="77777777" w:rsidR="00A16588" w:rsidRPr="00A16588" w:rsidRDefault="00A16588" w:rsidP="00A16588">
      <w:pPr>
        <w:numPr>
          <w:ilvl w:val="0"/>
          <w:numId w:val="1"/>
        </w:numPr>
        <w:jc w:val="both"/>
        <w:textAlignment w:val="baseline"/>
        <w:rPr>
          <w:rFonts w:ascii="Verdana" w:eastAsia="Times New Roman" w:hAnsi="Verdana" w:cs="Times New Roman"/>
          <w:color w:val="000000"/>
          <w:kern w:val="0"/>
          <w:lang w:val="es-CO" w:eastAsia="es-MX"/>
          <w14:ligatures w14:val="none"/>
        </w:rPr>
      </w:pPr>
      <w:r w:rsidRPr="00A16588">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5A416C48" w14:textId="77777777" w:rsidR="00A16588" w:rsidRPr="00A16588" w:rsidRDefault="00A16588" w:rsidP="00A16588">
      <w:pPr>
        <w:rPr>
          <w:rFonts w:ascii="Times New Roman" w:eastAsia="Times New Roman" w:hAnsi="Times New Roman" w:cs="Times New Roman"/>
          <w:kern w:val="0"/>
          <w:lang w:val="es-CO" w:eastAsia="es-MX"/>
          <w14:ligatures w14:val="none"/>
        </w:rPr>
      </w:pPr>
      <w:r w:rsidRPr="00A16588">
        <w:rPr>
          <w:rFonts w:ascii="Times New Roman" w:eastAsia="Times New Roman" w:hAnsi="Times New Roman" w:cs="Times New Roman"/>
          <w:kern w:val="0"/>
          <w:lang w:val="es-CO" w:eastAsia="es-MX"/>
          <w14:ligatures w14:val="none"/>
        </w:rPr>
        <w:br/>
      </w:r>
    </w:p>
    <w:p w14:paraId="1AE3FBA5" w14:textId="77777777" w:rsidR="00A16588" w:rsidRPr="00A16588" w:rsidRDefault="00A16588" w:rsidP="00A16588">
      <w:pPr>
        <w:numPr>
          <w:ilvl w:val="0"/>
          <w:numId w:val="2"/>
        </w:numPr>
        <w:jc w:val="both"/>
        <w:textAlignment w:val="baseline"/>
        <w:rPr>
          <w:rFonts w:ascii="Verdana" w:eastAsia="Times New Roman" w:hAnsi="Verdana" w:cs="Times New Roman"/>
          <w:color w:val="000000"/>
          <w:kern w:val="0"/>
          <w:lang w:val="es-CO" w:eastAsia="es-MX"/>
          <w14:ligatures w14:val="none"/>
        </w:rPr>
      </w:pPr>
      <w:r w:rsidRPr="00A16588">
        <w:rPr>
          <w:rFonts w:ascii="Verdana" w:eastAsia="Times New Roman" w:hAnsi="Verdana" w:cs="Times New Roman"/>
          <w:color w:val="000000"/>
          <w:kern w:val="0"/>
          <w:lang w:val="es-CO" w:eastAsia="es-MX"/>
          <w14:ligatures w14:val="none"/>
        </w:rPr>
        <w:t>Mediante el radicado de la referencia, el peticionario solicita la aclaración y/o reconsideración del Concepto 900656 de 2021. En el marco de esta solicitud esta petición tiene por objeto:</w:t>
      </w:r>
    </w:p>
    <w:p w14:paraId="3739BB97" w14:textId="77777777" w:rsidR="00A16588" w:rsidRPr="00A16588" w:rsidRDefault="00A16588" w:rsidP="00A16588">
      <w:pPr>
        <w:rPr>
          <w:rFonts w:ascii="Times New Roman" w:eastAsia="Times New Roman" w:hAnsi="Times New Roman" w:cs="Times New Roman"/>
          <w:kern w:val="0"/>
          <w:lang w:val="es-CO" w:eastAsia="es-MX"/>
          <w14:ligatures w14:val="none"/>
        </w:rPr>
      </w:pPr>
    </w:p>
    <w:p w14:paraId="3CDE50BE" w14:textId="77777777" w:rsidR="00A16588" w:rsidRPr="00A16588" w:rsidRDefault="00A16588" w:rsidP="00A16588">
      <w:pPr>
        <w:ind w:left="1418"/>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i/>
          <w:iCs/>
          <w:color w:val="000000"/>
          <w:kern w:val="0"/>
          <w:sz w:val="22"/>
          <w:szCs w:val="22"/>
          <w:lang w:val="es-CO" w:eastAsia="es-MX"/>
          <w14:ligatures w14:val="none"/>
        </w:rPr>
        <w:t>“Se solicita precisar si una sociedad contribuyente del impuesto sobre la renta que cuenta con solo un (1) trabajador que devenga más de diez (10) salarios mínimos mensuales legales vigentes (SMMLV). ¿se encuentra obligada a practicar la autorretención especial a título de renta prevista en el Decreto 2201 de 2016, o si, por el contrario, le resulta aplicable la exclusión derivada del artículo 114-1 del Estatuto Tributario? De manera más concreta, se requiere aclarar. si la sola existencia de un trabajador que devenga más de 10 SMMLV que impide a la sociedad acceder a la exoneración prevista en el artículo 114-1 del E.T. y, en consecuencia, la obliga a practicar la autorretención especial de renta.”</w:t>
      </w:r>
    </w:p>
    <w:p w14:paraId="37CC6E67" w14:textId="77777777" w:rsidR="00A16588" w:rsidRPr="00A16588" w:rsidRDefault="00A16588" w:rsidP="00A16588">
      <w:pPr>
        <w:rPr>
          <w:rFonts w:ascii="Times New Roman" w:eastAsia="Times New Roman" w:hAnsi="Times New Roman" w:cs="Times New Roman"/>
          <w:kern w:val="0"/>
          <w:lang w:val="es-CO" w:eastAsia="es-MX"/>
          <w14:ligatures w14:val="none"/>
        </w:rPr>
      </w:pPr>
      <w:r w:rsidRPr="00A16588">
        <w:rPr>
          <w:rFonts w:ascii="Times New Roman" w:eastAsia="Times New Roman" w:hAnsi="Times New Roman" w:cs="Times New Roman"/>
          <w:kern w:val="0"/>
          <w:lang w:val="es-CO" w:eastAsia="es-MX"/>
          <w14:ligatures w14:val="none"/>
        </w:rPr>
        <w:br/>
      </w:r>
    </w:p>
    <w:p w14:paraId="38B4360B" w14:textId="77777777" w:rsidR="00A16588" w:rsidRPr="00A16588" w:rsidRDefault="00A16588" w:rsidP="00A16588">
      <w:pPr>
        <w:numPr>
          <w:ilvl w:val="0"/>
          <w:numId w:val="3"/>
        </w:numPr>
        <w:jc w:val="both"/>
        <w:textAlignment w:val="baseline"/>
        <w:rPr>
          <w:rFonts w:ascii="Verdana" w:eastAsia="Times New Roman" w:hAnsi="Verdana" w:cs="Times New Roman"/>
          <w:color w:val="000000"/>
          <w:kern w:val="0"/>
          <w:lang w:val="es-CO" w:eastAsia="es-MX"/>
          <w14:ligatures w14:val="none"/>
        </w:rPr>
      </w:pPr>
      <w:r w:rsidRPr="00A16588">
        <w:rPr>
          <w:rFonts w:ascii="Verdana" w:eastAsia="Times New Roman" w:hAnsi="Verdana" w:cs="Times New Roman"/>
          <w:color w:val="000000"/>
          <w:kern w:val="0"/>
          <w:lang w:val="es-CO" w:eastAsia="es-MX"/>
          <w14:ligatures w14:val="none"/>
        </w:rPr>
        <w:t>El Concepto 900656 de 2021 analizó la revocatoria del Oficio 901907 del 2017. La conclusión expuesta para revocar dicha doctrina fue que solo cuando efectivamente se tiene personal a cargo, es posible determinar si procede para la sociedad contratante la exoneración de aportes parafiscales, de acuerdo con el monto devengado por los trabajadores (individualmente considerados), en los términos del artículo 1.2.6.6 del Decreto Único Reglamentario 1625 de 2016.</w:t>
      </w:r>
    </w:p>
    <w:p w14:paraId="748A088D" w14:textId="77777777" w:rsidR="00A16588" w:rsidRPr="00A16588" w:rsidRDefault="00A16588" w:rsidP="00A16588">
      <w:pPr>
        <w:rPr>
          <w:rFonts w:ascii="Times New Roman" w:eastAsia="Times New Roman" w:hAnsi="Times New Roman" w:cs="Times New Roman"/>
          <w:kern w:val="0"/>
          <w:lang w:val="es-CO" w:eastAsia="es-MX"/>
          <w14:ligatures w14:val="none"/>
        </w:rPr>
      </w:pPr>
      <w:r w:rsidRPr="00A16588">
        <w:rPr>
          <w:rFonts w:ascii="Times New Roman" w:eastAsia="Times New Roman" w:hAnsi="Times New Roman" w:cs="Times New Roman"/>
          <w:kern w:val="0"/>
          <w:lang w:val="es-CO" w:eastAsia="es-MX"/>
          <w14:ligatures w14:val="none"/>
        </w:rPr>
        <w:br/>
      </w:r>
    </w:p>
    <w:p w14:paraId="6E771124" w14:textId="77777777" w:rsidR="00A16588" w:rsidRPr="00A16588" w:rsidRDefault="00A16588" w:rsidP="00A16588">
      <w:pPr>
        <w:numPr>
          <w:ilvl w:val="0"/>
          <w:numId w:val="4"/>
        </w:numPr>
        <w:jc w:val="both"/>
        <w:textAlignment w:val="baseline"/>
        <w:rPr>
          <w:rFonts w:ascii="Verdana" w:eastAsia="Times New Roman" w:hAnsi="Verdana" w:cs="Times New Roman"/>
          <w:color w:val="000000"/>
          <w:kern w:val="0"/>
          <w:lang w:val="es-CO" w:eastAsia="es-MX"/>
          <w14:ligatures w14:val="none"/>
        </w:rPr>
      </w:pPr>
      <w:r w:rsidRPr="00A16588">
        <w:rPr>
          <w:rFonts w:ascii="Verdana" w:eastAsia="Times New Roman" w:hAnsi="Verdana" w:cs="Times New Roman"/>
          <w:color w:val="000000"/>
          <w:kern w:val="0"/>
          <w:lang w:val="es-CO" w:eastAsia="es-MX"/>
          <w14:ligatures w14:val="none"/>
        </w:rPr>
        <w:t xml:space="preserve">La obligación de practicar la autorretención especial de renta no es automática. Su procedencia está supeditada a que el contribuyente sea </w:t>
      </w:r>
      <w:r w:rsidRPr="00A16588">
        <w:rPr>
          <w:rFonts w:ascii="Verdana" w:eastAsia="Times New Roman" w:hAnsi="Verdana" w:cs="Times New Roman"/>
          <w:color w:val="000000"/>
          <w:kern w:val="0"/>
          <w:lang w:val="es-CO" w:eastAsia="es-MX"/>
          <w14:ligatures w14:val="none"/>
        </w:rPr>
        <w:lastRenderedPageBreak/>
        <w:t>beneficiario efectivo de la exoneración de aportes parafiscales (SENA, ICBF y Salud), según lo previsto en el artículo 114-1 del Estatuto Tributario.</w:t>
      </w:r>
    </w:p>
    <w:p w14:paraId="68D97EF2" w14:textId="77777777" w:rsidR="00A16588" w:rsidRPr="00A16588" w:rsidRDefault="00A16588" w:rsidP="00A16588">
      <w:pPr>
        <w:rPr>
          <w:rFonts w:ascii="Times New Roman" w:eastAsia="Times New Roman" w:hAnsi="Times New Roman" w:cs="Times New Roman"/>
          <w:kern w:val="0"/>
          <w:lang w:val="es-CO" w:eastAsia="es-MX"/>
          <w14:ligatures w14:val="none"/>
        </w:rPr>
      </w:pPr>
      <w:r w:rsidRPr="00A16588">
        <w:rPr>
          <w:rFonts w:ascii="Times New Roman" w:eastAsia="Times New Roman" w:hAnsi="Times New Roman" w:cs="Times New Roman"/>
          <w:kern w:val="0"/>
          <w:lang w:val="es-CO" w:eastAsia="es-MX"/>
          <w14:ligatures w14:val="none"/>
        </w:rPr>
        <w:br/>
      </w:r>
    </w:p>
    <w:p w14:paraId="7AE80744" w14:textId="77777777" w:rsidR="00A16588" w:rsidRPr="00A16588" w:rsidRDefault="00A16588" w:rsidP="00A16588">
      <w:pPr>
        <w:numPr>
          <w:ilvl w:val="0"/>
          <w:numId w:val="5"/>
        </w:numPr>
        <w:jc w:val="both"/>
        <w:textAlignment w:val="baseline"/>
        <w:rPr>
          <w:rFonts w:ascii="Verdana" w:eastAsia="Times New Roman" w:hAnsi="Verdana" w:cs="Times New Roman"/>
          <w:color w:val="000000"/>
          <w:kern w:val="0"/>
          <w:lang w:val="es-CO" w:eastAsia="es-MX"/>
          <w14:ligatures w14:val="none"/>
        </w:rPr>
      </w:pPr>
      <w:r w:rsidRPr="00A16588">
        <w:rPr>
          <w:rFonts w:ascii="Verdana" w:eastAsia="Times New Roman" w:hAnsi="Verdana" w:cs="Times New Roman"/>
          <w:color w:val="000000"/>
          <w:kern w:val="0"/>
          <w:lang w:val="es-CO" w:eastAsia="es-MX"/>
          <w14:ligatures w14:val="none"/>
        </w:rPr>
        <w:t xml:space="preserve">Sobre la finalidad de la autorretención especial y la exoneración de aportes, el oficio 914965 - </w:t>
      </w:r>
      <w:proofErr w:type="spellStart"/>
      <w:r w:rsidRPr="00A16588">
        <w:rPr>
          <w:rFonts w:ascii="Verdana" w:eastAsia="Times New Roman" w:hAnsi="Verdana" w:cs="Times New Roman"/>
          <w:color w:val="000000"/>
          <w:kern w:val="0"/>
          <w:lang w:val="es-CO" w:eastAsia="es-MX"/>
          <w14:ligatures w14:val="none"/>
        </w:rPr>
        <w:t>int</w:t>
      </w:r>
      <w:proofErr w:type="spellEnd"/>
      <w:r w:rsidRPr="00A16588">
        <w:rPr>
          <w:rFonts w:ascii="Verdana" w:eastAsia="Times New Roman" w:hAnsi="Verdana" w:cs="Times New Roman"/>
          <w:color w:val="000000"/>
          <w:kern w:val="0"/>
          <w:lang w:val="es-CO" w:eastAsia="es-MX"/>
          <w14:ligatures w14:val="none"/>
        </w:rPr>
        <w:t xml:space="preserve"> 502 del 8 de diciembre de 2021 precisó:</w:t>
      </w:r>
    </w:p>
    <w:p w14:paraId="326BB77C" w14:textId="77777777" w:rsidR="00A16588" w:rsidRPr="00A16588" w:rsidRDefault="00A16588" w:rsidP="00A16588">
      <w:pPr>
        <w:rPr>
          <w:rFonts w:ascii="Times New Roman" w:eastAsia="Times New Roman" w:hAnsi="Times New Roman" w:cs="Times New Roman"/>
          <w:kern w:val="0"/>
          <w:lang w:val="es-CO" w:eastAsia="es-MX"/>
          <w14:ligatures w14:val="none"/>
        </w:rPr>
      </w:pPr>
    </w:p>
    <w:p w14:paraId="696AEC95" w14:textId="77777777" w:rsidR="00A16588" w:rsidRPr="00A16588" w:rsidRDefault="00A16588" w:rsidP="00A16588">
      <w:pPr>
        <w:ind w:left="1418"/>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i/>
          <w:iCs/>
          <w:color w:val="000000"/>
          <w:kern w:val="0"/>
          <w:sz w:val="22"/>
          <w:szCs w:val="22"/>
          <w:lang w:val="es-CO" w:eastAsia="es-MX"/>
          <w14:ligatures w14:val="none"/>
        </w:rPr>
        <w:t>“En consecuencia, lo dispuesto en el artículo 114-1 del Estatuto Tributario y el actual sistema de autorretención especial de los artículos 1.2.6.6. a 1.2.6.11. del Decreto 1625 del 2016, no pueden mirarse de manera separada pues estos funcionan de forma correlativa, luego de la derogatoria del CREE y les asiste un propósito especial.</w:t>
      </w:r>
    </w:p>
    <w:p w14:paraId="4602F67B" w14:textId="77777777" w:rsidR="00A16588" w:rsidRPr="00A16588" w:rsidRDefault="00A16588" w:rsidP="00A16588">
      <w:pPr>
        <w:rPr>
          <w:rFonts w:ascii="Times New Roman" w:eastAsia="Times New Roman" w:hAnsi="Times New Roman" w:cs="Times New Roman"/>
          <w:kern w:val="0"/>
          <w:lang w:val="es-CO" w:eastAsia="es-MX"/>
          <w14:ligatures w14:val="none"/>
        </w:rPr>
      </w:pPr>
    </w:p>
    <w:p w14:paraId="7AB6AB2A" w14:textId="77777777" w:rsidR="00A16588" w:rsidRPr="00A16588" w:rsidRDefault="00A16588" w:rsidP="00A16588">
      <w:pPr>
        <w:ind w:left="1418"/>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i/>
          <w:iCs/>
          <w:color w:val="000000"/>
          <w:kern w:val="0"/>
          <w:sz w:val="22"/>
          <w:szCs w:val="22"/>
          <w:lang w:val="es-CO" w:eastAsia="es-MX"/>
          <w14:ligatures w14:val="none"/>
        </w:rPr>
        <w:t>En efecto, la exoneración de aportes mantiene el propósito de promover la formalización laboral a través de la disminución de costos de nómina y garantiza el recaudo y la destinación de ese 9% en los términos del artículo 243 del Estatuto Tributario.”</w:t>
      </w:r>
    </w:p>
    <w:p w14:paraId="4CD16C55" w14:textId="77777777" w:rsidR="00A16588" w:rsidRPr="00A16588" w:rsidRDefault="00A16588" w:rsidP="00A16588">
      <w:pPr>
        <w:rPr>
          <w:rFonts w:ascii="Times New Roman" w:eastAsia="Times New Roman" w:hAnsi="Times New Roman" w:cs="Times New Roman"/>
          <w:kern w:val="0"/>
          <w:lang w:val="es-CO" w:eastAsia="es-MX"/>
          <w14:ligatures w14:val="none"/>
        </w:rPr>
      </w:pPr>
      <w:r w:rsidRPr="00A16588">
        <w:rPr>
          <w:rFonts w:ascii="Times New Roman" w:eastAsia="Times New Roman" w:hAnsi="Times New Roman" w:cs="Times New Roman"/>
          <w:kern w:val="0"/>
          <w:lang w:val="es-CO" w:eastAsia="es-MX"/>
          <w14:ligatures w14:val="none"/>
        </w:rPr>
        <w:br/>
      </w:r>
    </w:p>
    <w:p w14:paraId="1935DF4F" w14:textId="77777777" w:rsidR="00A16588" w:rsidRPr="00A16588" w:rsidRDefault="00A16588" w:rsidP="00A16588">
      <w:pPr>
        <w:numPr>
          <w:ilvl w:val="0"/>
          <w:numId w:val="6"/>
        </w:numPr>
        <w:jc w:val="both"/>
        <w:textAlignment w:val="baseline"/>
        <w:rPr>
          <w:rFonts w:ascii="Verdana" w:eastAsia="Times New Roman" w:hAnsi="Verdana" w:cs="Times New Roman"/>
          <w:color w:val="000000"/>
          <w:kern w:val="0"/>
          <w:lang w:val="es-CO" w:eastAsia="es-MX"/>
          <w14:ligatures w14:val="none"/>
        </w:rPr>
      </w:pPr>
      <w:r w:rsidRPr="00A16588">
        <w:rPr>
          <w:rFonts w:ascii="Verdana" w:eastAsia="Times New Roman" w:hAnsi="Verdana" w:cs="Times New Roman"/>
          <w:color w:val="000000"/>
          <w:kern w:val="0"/>
          <w:lang w:val="es-CO" w:eastAsia="es-MX"/>
          <w14:ligatures w14:val="none"/>
        </w:rPr>
        <w:t>Respecto de la conclusión expuesta en el Concepto 900656 de 2021, es importante mencionar que la calidad de autorretenedor por parte de un contribuyente del impuesto de renta, en los términos del artículo 1.2.6.6 del Decreto Único Reglamentario 1625 de 2016, debe reunir las siguientes condiciones:</w:t>
      </w:r>
    </w:p>
    <w:p w14:paraId="42C498CA" w14:textId="77777777" w:rsidR="00A16588" w:rsidRPr="00A16588" w:rsidRDefault="00A16588" w:rsidP="00A16588">
      <w:pPr>
        <w:rPr>
          <w:rFonts w:ascii="Times New Roman" w:eastAsia="Times New Roman" w:hAnsi="Times New Roman" w:cs="Times New Roman"/>
          <w:kern w:val="0"/>
          <w:lang w:val="es-CO" w:eastAsia="es-MX"/>
          <w14:ligatures w14:val="none"/>
        </w:rPr>
      </w:pPr>
      <w:r w:rsidRPr="00A16588">
        <w:rPr>
          <w:rFonts w:ascii="Times New Roman" w:eastAsia="Times New Roman" w:hAnsi="Times New Roman" w:cs="Times New Roman"/>
          <w:kern w:val="0"/>
          <w:lang w:val="es-CO" w:eastAsia="es-MX"/>
          <w14:ligatures w14:val="none"/>
        </w:rPr>
        <w:br/>
      </w:r>
    </w:p>
    <w:p w14:paraId="0B2654FA" w14:textId="77777777" w:rsidR="00A16588" w:rsidRPr="00A16588" w:rsidRDefault="00A16588" w:rsidP="00A16588">
      <w:pPr>
        <w:numPr>
          <w:ilvl w:val="0"/>
          <w:numId w:val="7"/>
        </w:numPr>
        <w:jc w:val="both"/>
        <w:textAlignment w:val="baseline"/>
        <w:rPr>
          <w:rFonts w:ascii="Verdana" w:eastAsia="Times New Roman" w:hAnsi="Verdana" w:cs="Times New Roman"/>
          <w:color w:val="000000"/>
          <w:kern w:val="0"/>
          <w:lang w:val="es-CO" w:eastAsia="es-MX"/>
          <w14:ligatures w14:val="none"/>
        </w:rPr>
      </w:pPr>
      <w:r w:rsidRPr="00A16588">
        <w:rPr>
          <w:rFonts w:ascii="Verdana" w:eastAsia="Times New Roman" w:hAnsi="Verdana" w:cs="Times New Roman"/>
          <w:color w:val="000000"/>
          <w:kern w:val="0"/>
          <w:lang w:val="es-CO" w:eastAsia="es-MX"/>
          <w14:ligatures w14:val="none"/>
        </w:rPr>
        <w:t>La empresa debe tener personal contratado. Sin trabajadores, el supuesto de hecho no se configura.</w:t>
      </w:r>
    </w:p>
    <w:p w14:paraId="5896BB42" w14:textId="77777777" w:rsidR="00A16588" w:rsidRPr="00A16588" w:rsidRDefault="00A16588" w:rsidP="00A16588">
      <w:pPr>
        <w:numPr>
          <w:ilvl w:val="0"/>
          <w:numId w:val="7"/>
        </w:numPr>
        <w:jc w:val="both"/>
        <w:textAlignment w:val="baseline"/>
        <w:rPr>
          <w:rFonts w:ascii="Verdana" w:eastAsia="Times New Roman" w:hAnsi="Verdana" w:cs="Times New Roman"/>
          <w:color w:val="000000"/>
          <w:kern w:val="0"/>
          <w:lang w:val="es-CO" w:eastAsia="es-MX"/>
          <w14:ligatures w14:val="none"/>
        </w:rPr>
      </w:pPr>
      <w:r w:rsidRPr="00A16588">
        <w:rPr>
          <w:rFonts w:ascii="Verdana" w:eastAsia="Times New Roman" w:hAnsi="Verdana" w:cs="Times New Roman"/>
          <w:color w:val="000000"/>
          <w:kern w:val="0"/>
          <w:lang w:val="es-CO" w:eastAsia="es-MX"/>
          <w14:ligatures w14:val="none"/>
        </w:rPr>
        <w:t>La exoneración de aportes —y la consecuente obligación de autorretener— solo aplica respecto de los trabajadores que devenguen, individualmente considerados, menos de diez (10) salarios mínimos mensuales legales vigentes (SMMLV).</w:t>
      </w:r>
    </w:p>
    <w:p w14:paraId="299AB4E9" w14:textId="77777777" w:rsidR="00A16588" w:rsidRPr="00A16588" w:rsidRDefault="00A16588" w:rsidP="00A16588">
      <w:pPr>
        <w:rPr>
          <w:rFonts w:ascii="Times New Roman" w:eastAsia="Times New Roman" w:hAnsi="Times New Roman" w:cs="Times New Roman"/>
          <w:kern w:val="0"/>
          <w:lang w:val="es-CO" w:eastAsia="es-MX"/>
          <w14:ligatures w14:val="none"/>
        </w:rPr>
      </w:pPr>
      <w:r w:rsidRPr="00A16588">
        <w:rPr>
          <w:rFonts w:ascii="Times New Roman" w:eastAsia="Times New Roman" w:hAnsi="Times New Roman" w:cs="Times New Roman"/>
          <w:kern w:val="0"/>
          <w:lang w:val="es-CO" w:eastAsia="es-MX"/>
          <w14:ligatures w14:val="none"/>
        </w:rPr>
        <w:br/>
      </w:r>
    </w:p>
    <w:p w14:paraId="2F1B11A2" w14:textId="77777777" w:rsidR="00A16588" w:rsidRPr="00A16588" w:rsidRDefault="00A16588" w:rsidP="00A16588">
      <w:pPr>
        <w:numPr>
          <w:ilvl w:val="0"/>
          <w:numId w:val="8"/>
        </w:numPr>
        <w:jc w:val="both"/>
        <w:textAlignment w:val="baseline"/>
        <w:rPr>
          <w:rFonts w:ascii="Verdana" w:eastAsia="Times New Roman" w:hAnsi="Verdana" w:cs="Times New Roman"/>
          <w:color w:val="000000"/>
          <w:kern w:val="0"/>
          <w:lang w:val="es-CO" w:eastAsia="es-MX"/>
          <w14:ligatures w14:val="none"/>
        </w:rPr>
      </w:pPr>
      <w:r w:rsidRPr="00A16588">
        <w:rPr>
          <w:rFonts w:ascii="Verdana" w:eastAsia="Times New Roman" w:hAnsi="Verdana" w:cs="Times New Roman"/>
          <w:color w:val="000000"/>
          <w:kern w:val="0"/>
          <w:lang w:val="es-CO" w:eastAsia="es-MX"/>
          <w14:ligatures w14:val="none"/>
        </w:rPr>
        <w:t>Por lo tanto, si la sociedad no tiene personal a cargo, o si todos sus trabajadores devengan 10 SMMLV o más, no existe exoneración de aportes y, por ende, no le es aplicable el régimen de autorretención del artículo 1.2.6.6 del Decreto 1625 de 2016.</w:t>
      </w:r>
    </w:p>
    <w:p w14:paraId="3C80362A"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color w:val="000000"/>
          <w:kern w:val="0"/>
          <w:lang w:val="es-CO" w:eastAsia="es-MX"/>
          <w14:ligatures w14:val="none"/>
        </w:rPr>
        <w:t xml:space="preserve">10. (sic) Con la conclusión antes expuesta, este Despacho considera resuelta la petición. Esto porque no se exponen argumentos adicionales en el escrito presentado por parte del peticionario que permitan controvertir la tesis jurídica del Concepto 900656 de 2021 y estar la solicitud orientada a precisar si aplica lo dispuesto en el artículo 114-1 del </w:t>
      </w:r>
      <w:r w:rsidRPr="00A16588">
        <w:rPr>
          <w:rFonts w:ascii="Verdana" w:eastAsia="Times New Roman" w:hAnsi="Verdana" w:cs="Times New Roman"/>
          <w:color w:val="000000"/>
          <w:kern w:val="0"/>
          <w:lang w:val="es-CO" w:eastAsia="es-MX"/>
          <w14:ligatures w14:val="none"/>
        </w:rPr>
        <w:lastRenderedPageBreak/>
        <w:t>Estatuto Tributario y los artículos 1.2.6.6 y siguientes del Decreto 1625 de 2016, para los casos en que solo haya un trabajador que devenga más de 10 SMMLV.</w:t>
      </w:r>
    </w:p>
    <w:p w14:paraId="1DAAB995" w14:textId="77777777" w:rsidR="00A16588" w:rsidRPr="00A16588" w:rsidRDefault="00A16588" w:rsidP="00A16588">
      <w:pPr>
        <w:rPr>
          <w:rFonts w:ascii="Times New Roman" w:eastAsia="Times New Roman" w:hAnsi="Times New Roman" w:cs="Times New Roman"/>
          <w:kern w:val="0"/>
          <w:lang w:val="es-CO" w:eastAsia="es-MX"/>
          <w14:ligatures w14:val="none"/>
        </w:rPr>
      </w:pPr>
    </w:p>
    <w:p w14:paraId="399E582E"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color w:val="000000"/>
          <w:kern w:val="0"/>
          <w:lang w:val="es-CO" w:eastAsia="es-MX"/>
          <w14:ligatures w14:val="none"/>
        </w:rPr>
        <w:t>11. (sic) En los anteriores términos se resuelve su petición y se recuerda que la normativa, jurisprudencia y doctrina en materia tributaria, aduanera y de fiscalización cambiaria, en lo de competencia de esta Entidad, puede consultarse en el normograma DIAN: https://normograma.dian.gov.co/dian/.</w:t>
      </w:r>
    </w:p>
    <w:p w14:paraId="0AA9A864" w14:textId="77777777" w:rsidR="00A16588" w:rsidRPr="00A16588" w:rsidRDefault="00A16588" w:rsidP="00A16588">
      <w:pPr>
        <w:spacing w:after="240"/>
        <w:rPr>
          <w:rFonts w:ascii="Times New Roman" w:eastAsia="Times New Roman" w:hAnsi="Times New Roman" w:cs="Times New Roman"/>
          <w:kern w:val="0"/>
          <w:lang w:val="es-CO" w:eastAsia="es-MX"/>
          <w14:ligatures w14:val="none"/>
        </w:rPr>
      </w:pPr>
    </w:p>
    <w:p w14:paraId="29ADC957"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color w:val="000000"/>
          <w:kern w:val="0"/>
          <w:lang w:val="es-CO" w:eastAsia="es-MX"/>
          <w14:ligatures w14:val="none"/>
        </w:rPr>
        <w:t>Atentamente,</w:t>
      </w:r>
    </w:p>
    <w:p w14:paraId="0B11CD40" w14:textId="77777777" w:rsidR="00A16588" w:rsidRPr="00A16588" w:rsidRDefault="00A16588" w:rsidP="00A16588">
      <w:pPr>
        <w:spacing w:after="240"/>
        <w:rPr>
          <w:rFonts w:ascii="Times New Roman" w:eastAsia="Times New Roman" w:hAnsi="Times New Roman" w:cs="Times New Roman"/>
          <w:kern w:val="0"/>
          <w:lang w:val="es-CO" w:eastAsia="es-MX"/>
          <w14:ligatures w14:val="none"/>
        </w:rPr>
      </w:pPr>
      <w:r w:rsidRPr="00A16588">
        <w:rPr>
          <w:rFonts w:ascii="Times New Roman" w:eastAsia="Times New Roman" w:hAnsi="Times New Roman" w:cs="Times New Roman"/>
          <w:kern w:val="0"/>
          <w:lang w:val="es-CO" w:eastAsia="es-MX"/>
          <w14:ligatures w14:val="none"/>
        </w:rPr>
        <w:br/>
      </w:r>
    </w:p>
    <w:p w14:paraId="44FBBE08"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b/>
          <w:bCs/>
          <w:color w:val="000000"/>
          <w:kern w:val="0"/>
          <w:lang w:val="es-CO" w:eastAsia="es-MX"/>
          <w14:ligatures w14:val="none"/>
        </w:rPr>
        <w:t>INGRID CASTAÑEDA CEPEDA</w:t>
      </w:r>
    </w:p>
    <w:p w14:paraId="08B61213"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color w:val="000000"/>
          <w:kern w:val="0"/>
          <w:lang w:val="es-CO" w:eastAsia="es-MX"/>
          <w14:ligatures w14:val="none"/>
        </w:rPr>
        <w:t>Subdirectora de Normativa y Doctrina (A)</w:t>
      </w:r>
    </w:p>
    <w:p w14:paraId="4BE01C39"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color w:val="000000"/>
          <w:kern w:val="0"/>
          <w:lang w:val="es-CO" w:eastAsia="es-MX"/>
          <w14:ligatures w14:val="none"/>
        </w:rPr>
        <w:t>Subdirección de Normativa y Doctrina</w:t>
      </w:r>
    </w:p>
    <w:p w14:paraId="6FA78ED2"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color w:val="000000"/>
          <w:kern w:val="0"/>
          <w:lang w:val="es-CO" w:eastAsia="es-MX"/>
          <w14:ligatures w14:val="none"/>
        </w:rPr>
        <w:t>Dirección de Gestión Jurídica</w:t>
      </w:r>
    </w:p>
    <w:p w14:paraId="0A1EFF82" w14:textId="77777777" w:rsidR="00A16588" w:rsidRPr="00A16588" w:rsidRDefault="00A16588" w:rsidP="00A16588">
      <w:pPr>
        <w:jc w:val="both"/>
        <w:rPr>
          <w:rFonts w:ascii="Times New Roman" w:eastAsia="Times New Roman" w:hAnsi="Times New Roman" w:cs="Times New Roman"/>
          <w:kern w:val="0"/>
          <w:lang w:val="es-CO" w:eastAsia="es-MX"/>
          <w14:ligatures w14:val="none"/>
        </w:rPr>
      </w:pPr>
      <w:r w:rsidRPr="00A16588">
        <w:rPr>
          <w:rFonts w:ascii="Verdana" w:eastAsia="Times New Roman" w:hAnsi="Verdana" w:cs="Times New Roman"/>
          <w:color w:val="000000"/>
          <w:kern w:val="0"/>
          <w:u w:val="single"/>
          <w:lang w:val="es-CO" w:eastAsia="es-MX"/>
          <w14:ligatures w14:val="none"/>
        </w:rPr>
        <w:t>www.dian.gov.co</w:t>
      </w:r>
    </w:p>
    <w:p w14:paraId="623CE362" w14:textId="77777777" w:rsidR="00A16588" w:rsidRPr="00A16588" w:rsidRDefault="00A16588" w:rsidP="00A16588">
      <w:pPr>
        <w:rPr>
          <w:rFonts w:ascii="Times New Roman" w:eastAsia="Times New Roman" w:hAnsi="Times New Roman" w:cs="Times New Roman"/>
          <w:kern w:val="0"/>
          <w:lang w:val="es-CO" w:eastAsia="es-MX"/>
          <w14:ligatures w14:val="none"/>
        </w:rPr>
      </w:pPr>
    </w:p>
    <w:p w14:paraId="745535A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264150E6"/>
    <w:multiLevelType w:val="multilevel"/>
    <w:tmpl w:val="8E4683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BC5BA8"/>
    <w:multiLevelType w:val="multilevel"/>
    <w:tmpl w:val="2B829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1F740F"/>
    <w:multiLevelType w:val="multilevel"/>
    <w:tmpl w:val="516AC5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DF52260"/>
    <w:multiLevelType w:val="multilevel"/>
    <w:tmpl w:val="EC168B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1B4861"/>
    <w:multiLevelType w:val="multilevel"/>
    <w:tmpl w:val="E2C64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D5D0979"/>
    <w:multiLevelType w:val="multilevel"/>
    <w:tmpl w:val="267EF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334BC2"/>
    <w:multiLevelType w:val="multilevel"/>
    <w:tmpl w:val="3C90DC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F152E91"/>
    <w:multiLevelType w:val="multilevel"/>
    <w:tmpl w:val="800A6BC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98823577">
    <w:abstractNumId w:val="4"/>
  </w:num>
  <w:num w:numId="2" w16cid:durableId="310137948">
    <w:abstractNumId w:val="2"/>
    <w:lvlOverride w:ilvl="0">
      <w:lvl w:ilvl="0">
        <w:numFmt w:val="decimal"/>
        <w:lvlText w:val="%1."/>
        <w:lvlJc w:val="left"/>
      </w:lvl>
    </w:lvlOverride>
  </w:num>
  <w:num w:numId="3" w16cid:durableId="1597900773">
    <w:abstractNumId w:val="0"/>
    <w:lvlOverride w:ilvl="0">
      <w:lvl w:ilvl="0">
        <w:numFmt w:val="decimal"/>
        <w:lvlText w:val="%1."/>
        <w:lvlJc w:val="left"/>
      </w:lvl>
    </w:lvlOverride>
  </w:num>
  <w:num w:numId="4" w16cid:durableId="1201623646">
    <w:abstractNumId w:val="1"/>
    <w:lvlOverride w:ilvl="0">
      <w:lvl w:ilvl="0">
        <w:numFmt w:val="decimal"/>
        <w:lvlText w:val="%1."/>
        <w:lvlJc w:val="left"/>
      </w:lvl>
    </w:lvlOverride>
  </w:num>
  <w:num w:numId="5" w16cid:durableId="1818455620">
    <w:abstractNumId w:val="7"/>
    <w:lvlOverride w:ilvl="0">
      <w:lvl w:ilvl="0">
        <w:numFmt w:val="decimal"/>
        <w:lvlText w:val="%1."/>
        <w:lvlJc w:val="left"/>
      </w:lvl>
    </w:lvlOverride>
  </w:num>
  <w:num w:numId="6" w16cid:durableId="125314932">
    <w:abstractNumId w:val="3"/>
    <w:lvlOverride w:ilvl="0">
      <w:lvl w:ilvl="0">
        <w:numFmt w:val="decimal"/>
        <w:lvlText w:val="%1."/>
        <w:lvlJc w:val="left"/>
      </w:lvl>
    </w:lvlOverride>
  </w:num>
  <w:num w:numId="7" w16cid:durableId="1598520975">
    <w:abstractNumId w:val="5"/>
  </w:num>
  <w:num w:numId="8" w16cid:durableId="930314535">
    <w:abstractNumId w:val="6"/>
    <w:lvlOverride w:ilvl="0">
      <w:lvl w:ilvl="0">
        <w:numFmt w:val="decimal"/>
        <w:lvlText w:val="%1."/>
        <w:lvlJc w:val="lef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588"/>
    <w:rsid w:val="000B2285"/>
    <w:rsid w:val="002C58F0"/>
    <w:rsid w:val="00537D8F"/>
    <w:rsid w:val="00A16588"/>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D05DD2F"/>
  <w14:defaultImageDpi w14:val="32767"/>
  <w15:chartTrackingRefBased/>
  <w15:docId w15:val="{354CB606-140E-E744-B0B3-289A64BD7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165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165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1658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1658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1658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1658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1658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1658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1658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1658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1658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1658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1658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1658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1658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1658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1658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16588"/>
    <w:rPr>
      <w:rFonts w:eastAsiaTheme="majorEastAsia" w:cstheme="majorBidi"/>
      <w:color w:val="272727" w:themeColor="text1" w:themeTint="D8"/>
    </w:rPr>
  </w:style>
  <w:style w:type="paragraph" w:styleId="Ttulo">
    <w:name w:val="Title"/>
    <w:basedOn w:val="Normal"/>
    <w:next w:val="Normal"/>
    <w:link w:val="TtuloCar"/>
    <w:uiPriority w:val="10"/>
    <w:qFormat/>
    <w:rsid w:val="00A1658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1658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1658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1658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1658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16588"/>
    <w:rPr>
      <w:i/>
      <w:iCs/>
      <w:color w:val="404040" w:themeColor="text1" w:themeTint="BF"/>
    </w:rPr>
  </w:style>
  <w:style w:type="paragraph" w:styleId="Prrafodelista">
    <w:name w:val="List Paragraph"/>
    <w:basedOn w:val="Normal"/>
    <w:uiPriority w:val="34"/>
    <w:qFormat/>
    <w:rsid w:val="00A16588"/>
    <w:pPr>
      <w:ind w:left="720"/>
      <w:contextualSpacing/>
    </w:pPr>
  </w:style>
  <w:style w:type="character" w:styleId="nfasisintenso">
    <w:name w:val="Intense Emphasis"/>
    <w:basedOn w:val="Fuentedeprrafopredeter"/>
    <w:uiPriority w:val="21"/>
    <w:qFormat/>
    <w:rsid w:val="00A16588"/>
    <w:rPr>
      <w:i/>
      <w:iCs/>
      <w:color w:val="2F5496" w:themeColor="accent1" w:themeShade="BF"/>
    </w:rPr>
  </w:style>
  <w:style w:type="paragraph" w:styleId="Citadestacada">
    <w:name w:val="Intense Quote"/>
    <w:basedOn w:val="Normal"/>
    <w:next w:val="Normal"/>
    <w:link w:val="CitadestacadaCar"/>
    <w:uiPriority w:val="30"/>
    <w:qFormat/>
    <w:rsid w:val="00A165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16588"/>
    <w:rPr>
      <w:i/>
      <w:iCs/>
      <w:color w:val="2F5496" w:themeColor="accent1" w:themeShade="BF"/>
    </w:rPr>
  </w:style>
  <w:style w:type="character" w:styleId="Referenciaintensa">
    <w:name w:val="Intense Reference"/>
    <w:basedOn w:val="Fuentedeprrafopredeter"/>
    <w:uiPriority w:val="32"/>
    <w:qFormat/>
    <w:rsid w:val="00A16588"/>
    <w:rPr>
      <w:b/>
      <w:bCs/>
      <w:smallCaps/>
      <w:color w:val="2F5496" w:themeColor="accent1" w:themeShade="BF"/>
      <w:spacing w:val="5"/>
    </w:rPr>
  </w:style>
  <w:style w:type="paragraph" w:styleId="NormalWeb">
    <w:name w:val="Normal (Web)"/>
    <w:basedOn w:val="Normal"/>
    <w:uiPriority w:val="99"/>
    <w:semiHidden/>
    <w:unhideWhenUsed/>
    <w:rsid w:val="00A16588"/>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734</Words>
  <Characters>4041</Characters>
  <Application>Microsoft Office Word</Application>
  <DocSecurity>0</DocSecurity>
  <Lines>33</Lines>
  <Paragraphs>9</Paragraphs>
  <ScaleCrop>false</ScaleCrop>
  <Company/>
  <LinksUpToDate>false</LinksUpToDate>
  <CharactersWithSpaces>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2026-06-24T15:49:00Z</dcterms:created>
  <dcterms:modified xsi:type="dcterms:W3CDTF">2026-06-24T15:50:00Z</dcterms:modified>
</cp:coreProperties>
</file>