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51808F88"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b/>
          <w:bCs/>
          <w:color w:val="000000"/>
          <w:kern w:val="0"/>
          <w:lang w:val="es-CO" w:eastAsia="es-MX"/>
          <w14:ligatures w14:val="none"/>
        </w:rPr>
        <w:t>CONCEPTO 512 DEL 14 DE ABRIL DE 2026</w:t>
      </w:r>
    </w:p>
    <w:p w14:paraId="4C0F4300"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b/>
          <w:bCs/>
          <w:color w:val="000000"/>
          <w:kern w:val="0"/>
          <w:lang w:val="es-CO" w:eastAsia="es-MX"/>
          <w14:ligatures w14:val="none"/>
        </w:rPr>
        <w:t>DIRECCIÓN DE IMPUESTOS Y ADUANAS NACIONALES</w:t>
      </w:r>
    </w:p>
    <w:p w14:paraId="008A34BD" w14:textId="77777777" w:rsidR="00B01375" w:rsidRPr="00B01375" w:rsidRDefault="00B01375" w:rsidP="00B01375">
      <w:pPr>
        <w:rPr>
          <w:rFonts w:ascii="Times New Roman" w:eastAsia="Times New Roman" w:hAnsi="Times New Roman" w:cs="Times New Roman"/>
          <w:kern w:val="0"/>
          <w:lang w:val="es-CO" w:eastAsia="es-MX"/>
          <w14:ligatures w14:val="none"/>
        </w:rPr>
      </w:pPr>
    </w:p>
    <w:p w14:paraId="5115F30D"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color w:val="000000"/>
          <w:kern w:val="0"/>
          <w:lang w:val="es-CO" w:eastAsia="es-MX"/>
          <w14:ligatures w14:val="none"/>
        </w:rPr>
        <w:t>Bogotá D.C.,</w:t>
      </w:r>
    </w:p>
    <w:p w14:paraId="521A22FF" w14:textId="77777777" w:rsidR="00B01375" w:rsidRPr="00B01375" w:rsidRDefault="00B01375" w:rsidP="00B01375">
      <w:pPr>
        <w:rPr>
          <w:rFonts w:ascii="Times New Roman" w:eastAsia="Times New Roman" w:hAnsi="Times New Roman" w:cs="Times New Roman"/>
          <w:kern w:val="0"/>
          <w:lang w:val="es-CO" w:eastAsia="es-MX"/>
          <w14:ligatures w14:val="none"/>
        </w:rPr>
      </w:pPr>
    </w:p>
    <w:p w14:paraId="4FBD7DCE"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b/>
          <w:bCs/>
          <w:color w:val="000000"/>
          <w:kern w:val="0"/>
          <w:lang w:val="es-CO" w:eastAsia="es-MX"/>
          <w14:ligatures w14:val="none"/>
        </w:rPr>
        <w:t>Tema:</w:t>
      </w:r>
      <w:r w:rsidRPr="00B01375">
        <w:rPr>
          <w:rFonts w:ascii="Verdana" w:eastAsia="Times New Roman" w:hAnsi="Verdana" w:cs="Times New Roman"/>
          <w:b/>
          <w:bCs/>
          <w:color w:val="000000"/>
          <w:kern w:val="0"/>
          <w:lang w:val="es-CO" w:eastAsia="es-MX"/>
          <w14:ligatures w14:val="none"/>
        </w:rPr>
        <w:tab/>
      </w:r>
      <w:r w:rsidRPr="00B01375">
        <w:rPr>
          <w:rFonts w:ascii="Verdana" w:eastAsia="Times New Roman" w:hAnsi="Verdana" w:cs="Times New Roman"/>
          <w:b/>
          <w:bCs/>
          <w:color w:val="000000"/>
          <w:kern w:val="0"/>
          <w:lang w:val="es-CO" w:eastAsia="es-MX"/>
          <w14:ligatures w14:val="none"/>
        </w:rPr>
        <w:tab/>
      </w:r>
      <w:r w:rsidRPr="00B01375">
        <w:rPr>
          <w:rFonts w:ascii="Verdana" w:eastAsia="Times New Roman" w:hAnsi="Verdana" w:cs="Times New Roman"/>
          <w:b/>
          <w:bCs/>
          <w:color w:val="000000"/>
          <w:kern w:val="0"/>
          <w:lang w:val="es-CO" w:eastAsia="es-MX"/>
          <w14:ligatures w14:val="none"/>
        </w:rPr>
        <w:tab/>
      </w:r>
      <w:r w:rsidRPr="00B01375">
        <w:rPr>
          <w:rFonts w:ascii="Verdana" w:eastAsia="Times New Roman" w:hAnsi="Verdana" w:cs="Times New Roman"/>
          <w:color w:val="000000"/>
          <w:kern w:val="0"/>
          <w:lang w:val="es-CO" w:eastAsia="es-MX"/>
          <w14:ligatures w14:val="none"/>
        </w:rPr>
        <w:t>Factura electrónica de venta</w:t>
      </w:r>
    </w:p>
    <w:p w14:paraId="33903AA1"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b/>
          <w:bCs/>
          <w:color w:val="000000"/>
          <w:kern w:val="0"/>
          <w:lang w:val="es-CO" w:eastAsia="es-MX"/>
          <w14:ligatures w14:val="none"/>
        </w:rPr>
        <w:t>Descriptores:</w:t>
      </w:r>
      <w:r w:rsidRPr="00B01375">
        <w:rPr>
          <w:rFonts w:ascii="Verdana" w:eastAsia="Times New Roman" w:hAnsi="Verdana" w:cs="Times New Roman"/>
          <w:b/>
          <w:bCs/>
          <w:color w:val="000000"/>
          <w:kern w:val="0"/>
          <w:lang w:val="es-CO" w:eastAsia="es-MX"/>
          <w14:ligatures w14:val="none"/>
        </w:rPr>
        <w:tab/>
      </w:r>
      <w:r w:rsidRPr="00B01375">
        <w:rPr>
          <w:rFonts w:ascii="Verdana" w:eastAsia="Times New Roman" w:hAnsi="Verdana" w:cs="Times New Roman"/>
          <w:b/>
          <w:bCs/>
          <w:color w:val="000000"/>
          <w:kern w:val="0"/>
          <w:lang w:val="es-CO" w:eastAsia="es-MX"/>
          <w14:ligatures w14:val="none"/>
        </w:rPr>
        <w:tab/>
      </w:r>
      <w:r w:rsidRPr="00B01375">
        <w:rPr>
          <w:rFonts w:ascii="Verdana" w:eastAsia="Times New Roman" w:hAnsi="Verdana" w:cs="Times New Roman"/>
          <w:color w:val="000000"/>
          <w:kern w:val="0"/>
          <w:lang w:val="es-CO" w:eastAsia="es-MX"/>
          <w14:ligatures w14:val="none"/>
        </w:rPr>
        <w:t>Errores formales y errores sustanciales.</w:t>
      </w:r>
    </w:p>
    <w:p w14:paraId="3F25F074" w14:textId="77777777" w:rsidR="00B01375" w:rsidRPr="00B01375" w:rsidRDefault="00B01375" w:rsidP="00B01375">
      <w:pPr>
        <w:ind w:left="2127" w:firstLine="709"/>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color w:val="000000"/>
          <w:kern w:val="0"/>
          <w:lang w:val="es-CO" w:eastAsia="es-MX"/>
          <w14:ligatures w14:val="none"/>
        </w:rPr>
        <w:t>Anulación de la factura de venta</w:t>
      </w:r>
    </w:p>
    <w:p w14:paraId="2D86744C"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b/>
          <w:bCs/>
          <w:color w:val="000000"/>
          <w:kern w:val="0"/>
          <w:lang w:val="es-CO" w:eastAsia="es-MX"/>
          <w14:ligatures w14:val="none"/>
        </w:rPr>
        <w:t>Fuentes formales:</w:t>
      </w:r>
      <w:r w:rsidRPr="00B01375">
        <w:rPr>
          <w:rFonts w:ascii="Verdana" w:eastAsia="Times New Roman" w:hAnsi="Verdana" w:cs="Times New Roman"/>
          <w:b/>
          <w:bCs/>
          <w:color w:val="000000"/>
          <w:kern w:val="0"/>
          <w:lang w:val="es-CO" w:eastAsia="es-MX"/>
          <w14:ligatures w14:val="none"/>
        </w:rPr>
        <w:tab/>
      </w:r>
      <w:r w:rsidRPr="00B01375">
        <w:rPr>
          <w:rFonts w:ascii="Verdana" w:eastAsia="Times New Roman" w:hAnsi="Verdana" w:cs="Times New Roman"/>
          <w:color w:val="000000"/>
          <w:kern w:val="0"/>
          <w:lang w:val="es-CO" w:eastAsia="es-MX"/>
          <w14:ligatures w14:val="none"/>
        </w:rPr>
        <w:t>Artículos 615, 616-1, 617 y 771-2 del Estatuto Tributario.</w:t>
      </w:r>
    </w:p>
    <w:p w14:paraId="1A285F81" w14:textId="77777777" w:rsidR="00B01375" w:rsidRPr="00B01375" w:rsidRDefault="00B01375" w:rsidP="00B01375">
      <w:pPr>
        <w:rPr>
          <w:rFonts w:ascii="Times New Roman" w:eastAsia="Times New Roman" w:hAnsi="Times New Roman" w:cs="Times New Roman"/>
          <w:kern w:val="0"/>
          <w:lang w:val="es-CO" w:eastAsia="es-MX"/>
          <w14:ligatures w14:val="none"/>
        </w:rPr>
      </w:pPr>
    </w:p>
    <w:p w14:paraId="19E48DD0"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color w:val="000000"/>
          <w:kern w:val="0"/>
          <w:lang w:val="es-CO" w:eastAsia="es-MX"/>
          <w14:ligatures w14:val="none"/>
        </w:rPr>
        <w:t>Cordial saludo.</w:t>
      </w:r>
    </w:p>
    <w:p w14:paraId="70213602" w14:textId="77777777" w:rsidR="00B01375" w:rsidRPr="00B01375" w:rsidRDefault="00B01375" w:rsidP="00B01375">
      <w:pPr>
        <w:rPr>
          <w:rFonts w:ascii="Times New Roman" w:eastAsia="Times New Roman" w:hAnsi="Times New Roman" w:cs="Times New Roman"/>
          <w:kern w:val="0"/>
          <w:lang w:val="es-CO" w:eastAsia="es-MX"/>
          <w14:ligatures w14:val="none"/>
        </w:rPr>
      </w:pPr>
      <w:r w:rsidRPr="00B01375">
        <w:rPr>
          <w:rFonts w:ascii="Times New Roman" w:eastAsia="Times New Roman" w:hAnsi="Times New Roman" w:cs="Times New Roman"/>
          <w:kern w:val="0"/>
          <w:lang w:val="es-CO" w:eastAsia="es-MX"/>
          <w14:ligatures w14:val="none"/>
        </w:rPr>
        <w:br/>
      </w:r>
    </w:p>
    <w:p w14:paraId="4521D593" w14:textId="77777777" w:rsidR="00B01375" w:rsidRPr="00B01375" w:rsidRDefault="00B01375" w:rsidP="00B01375">
      <w:pPr>
        <w:numPr>
          <w:ilvl w:val="0"/>
          <w:numId w:val="1"/>
        </w:numPr>
        <w:jc w:val="both"/>
        <w:textAlignment w:val="baseline"/>
        <w:rPr>
          <w:rFonts w:ascii="Verdana" w:eastAsia="Times New Roman" w:hAnsi="Verdana" w:cs="Times New Roman"/>
          <w:color w:val="000000"/>
          <w:kern w:val="0"/>
          <w:lang w:val="es-CO" w:eastAsia="es-MX"/>
          <w14:ligatures w14:val="none"/>
        </w:rPr>
      </w:pPr>
      <w:r w:rsidRPr="00B01375">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3E0B42FE" w14:textId="77777777" w:rsidR="00B01375" w:rsidRPr="00B01375" w:rsidRDefault="00B01375" w:rsidP="00B01375">
      <w:pPr>
        <w:rPr>
          <w:rFonts w:ascii="Times New Roman" w:eastAsia="Times New Roman" w:hAnsi="Times New Roman" w:cs="Times New Roman"/>
          <w:kern w:val="0"/>
          <w:lang w:val="es-CO" w:eastAsia="es-MX"/>
          <w14:ligatures w14:val="none"/>
        </w:rPr>
      </w:pPr>
      <w:r w:rsidRPr="00B01375">
        <w:rPr>
          <w:rFonts w:ascii="Times New Roman" w:eastAsia="Times New Roman" w:hAnsi="Times New Roman" w:cs="Times New Roman"/>
          <w:kern w:val="0"/>
          <w:lang w:val="es-CO" w:eastAsia="es-MX"/>
          <w14:ligatures w14:val="none"/>
        </w:rPr>
        <w:br/>
      </w:r>
    </w:p>
    <w:p w14:paraId="5115D4E7" w14:textId="77777777" w:rsidR="00B01375" w:rsidRPr="00B01375" w:rsidRDefault="00B01375" w:rsidP="00B01375">
      <w:pPr>
        <w:numPr>
          <w:ilvl w:val="0"/>
          <w:numId w:val="2"/>
        </w:numPr>
        <w:jc w:val="both"/>
        <w:textAlignment w:val="baseline"/>
        <w:rPr>
          <w:rFonts w:ascii="Verdana" w:eastAsia="Times New Roman" w:hAnsi="Verdana" w:cs="Times New Roman"/>
          <w:color w:val="000000"/>
          <w:kern w:val="0"/>
          <w:lang w:val="es-CO" w:eastAsia="es-MX"/>
          <w14:ligatures w14:val="none"/>
        </w:rPr>
      </w:pPr>
      <w:r w:rsidRPr="00B01375">
        <w:rPr>
          <w:rFonts w:ascii="Verdana" w:eastAsia="Times New Roman" w:hAnsi="Verdana" w:cs="Times New Roman"/>
          <w:color w:val="000000"/>
          <w:kern w:val="0"/>
          <w:lang w:val="es-CO" w:eastAsia="es-MX"/>
          <w14:ligatures w14:val="none"/>
        </w:rPr>
        <w:t>Mediante la solicitud objeto de análisis, el peticionario manifiesta que, a su juicio, los Conceptos Nos. 000974 (</w:t>
      </w:r>
      <w:proofErr w:type="spellStart"/>
      <w:r w:rsidRPr="00B01375">
        <w:rPr>
          <w:rFonts w:ascii="Verdana" w:eastAsia="Times New Roman" w:hAnsi="Verdana" w:cs="Times New Roman"/>
          <w:color w:val="000000"/>
          <w:kern w:val="0"/>
          <w:lang w:val="es-CO" w:eastAsia="es-MX"/>
          <w14:ligatures w14:val="none"/>
        </w:rPr>
        <w:t>int</w:t>
      </w:r>
      <w:proofErr w:type="spellEnd"/>
      <w:r w:rsidRPr="00B01375">
        <w:rPr>
          <w:rFonts w:ascii="Verdana" w:eastAsia="Times New Roman" w:hAnsi="Verdana" w:cs="Times New Roman"/>
          <w:color w:val="000000"/>
          <w:kern w:val="0"/>
          <w:lang w:val="es-CO" w:eastAsia="es-MX"/>
          <w14:ligatures w14:val="none"/>
        </w:rPr>
        <w:t xml:space="preserve"> 126) de 2025 y 008672 (</w:t>
      </w:r>
      <w:proofErr w:type="spellStart"/>
      <w:r w:rsidRPr="00B01375">
        <w:rPr>
          <w:rFonts w:ascii="Verdana" w:eastAsia="Times New Roman" w:hAnsi="Verdana" w:cs="Times New Roman"/>
          <w:color w:val="000000"/>
          <w:kern w:val="0"/>
          <w:lang w:val="es-CO" w:eastAsia="es-MX"/>
          <w14:ligatures w14:val="none"/>
        </w:rPr>
        <w:t>int</w:t>
      </w:r>
      <w:proofErr w:type="spellEnd"/>
      <w:r w:rsidRPr="00B01375">
        <w:rPr>
          <w:rFonts w:ascii="Verdana" w:eastAsia="Times New Roman" w:hAnsi="Verdana" w:cs="Times New Roman"/>
          <w:color w:val="000000"/>
          <w:kern w:val="0"/>
          <w:lang w:val="es-CO" w:eastAsia="es-MX"/>
          <w14:ligatures w14:val="none"/>
        </w:rPr>
        <w:t xml:space="preserve"> 834) de 2025, presentan inconsistencias respecto del tratamiento de los errores en la identificación del adquirente en la factura electrónica de venta. En particular, solicita se precise si tales errores obligan a la anulación de la factura de venta o si, por el contrario, pueden admitirse bajo el principio de sustancia sobre la forma, así como sus efectos en la procedencia de costos, deducciones e impuestos descontables. Por tanto, se plantea el siguiente problema jurídico con el fin de aclarar las inquietudes del consultante:</w:t>
      </w:r>
    </w:p>
    <w:p w14:paraId="4D957876" w14:textId="77777777" w:rsidR="00B01375" w:rsidRPr="00B01375" w:rsidRDefault="00B01375" w:rsidP="00B01375">
      <w:pPr>
        <w:rPr>
          <w:rFonts w:ascii="Times New Roman" w:eastAsia="Times New Roman" w:hAnsi="Times New Roman" w:cs="Times New Roman"/>
          <w:kern w:val="0"/>
          <w:lang w:val="es-CO" w:eastAsia="es-MX"/>
          <w14:ligatures w14:val="none"/>
        </w:rPr>
      </w:pPr>
    </w:p>
    <w:p w14:paraId="7A3B18D6"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b/>
          <w:bCs/>
          <w:color w:val="000000"/>
          <w:kern w:val="0"/>
          <w:lang w:val="es-CO" w:eastAsia="es-MX"/>
          <w14:ligatures w14:val="none"/>
        </w:rPr>
        <w:t>PROBLEMA JURÍDICO</w:t>
      </w:r>
    </w:p>
    <w:p w14:paraId="4834BF01" w14:textId="77777777" w:rsidR="00B01375" w:rsidRPr="00B01375" w:rsidRDefault="00B01375" w:rsidP="00B01375">
      <w:pPr>
        <w:rPr>
          <w:rFonts w:ascii="Times New Roman" w:eastAsia="Times New Roman" w:hAnsi="Times New Roman" w:cs="Times New Roman"/>
          <w:kern w:val="0"/>
          <w:lang w:val="es-CO" w:eastAsia="es-MX"/>
          <w14:ligatures w14:val="none"/>
        </w:rPr>
      </w:pPr>
      <w:r w:rsidRPr="00B01375">
        <w:rPr>
          <w:rFonts w:ascii="Times New Roman" w:eastAsia="Times New Roman" w:hAnsi="Times New Roman" w:cs="Times New Roman"/>
          <w:kern w:val="0"/>
          <w:lang w:val="es-CO" w:eastAsia="es-MX"/>
          <w14:ligatures w14:val="none"/>
        </w:rPr>
        <w:br/>
      </w:r>
    </w:p>
    <w:p w14:paraId="2A906D8B" w14:textId="77777777" w:rsidR="00B01375" w:rsidRPr="00B01375" w:rsidRDefault="00B01375" w:rsidP="00B01375">
      <w:pPr>
        <w:numPr>
          <w:ilvl w:val="0"/>
          <w:numId w:val="3"/>
        </w:numPr>
        <w:jc w:val="both"/>
        <w:textAlignment w:val="baseline"/>
        <w:rPr>
          <w:rFonts w:ascii="Verdana" w:eastAsia="Times New Roman" w:hAnsi="Verdana" w:cs="Times New Roman"/>
          <w:color w:val="000000"/>
          <w:kern w:val="0"/>
          <w:lang w:val="es-CO" w:eastAsia="es-MX"/>
          <w14:ligatures w14:val="none"/>
        </w:rPr>
      </w:pPr>
      <w:r w:rsidRPr="00B01375">
        <w:rPr>
          <w:rFonts w:ascii="Verdana" w:eastAsia="Times New Roman" w:hAnsi="Verdana" w:cs="Times New Roman"/>
          <w:color w:val="000000"/>
          <w:kern w:val="0"/>
          <w:lang w:val="es-CO" w:eastAsia="es-MX"/>
          <w14:ligatures w14:val="none"/>
        </w:rPr>
        <w:t>¿Los errores en la identificación del adquirente en la factura electrónica de venta obligan a su anulación y nueva expedición para efectos de soportar costos, deducciones e impuestos descontables, o pueden ser subsanados bajo el principio de sustancia sobre la forma cuando no afectan su identificación inequívoca?</w:t>
      </w:r>
    </w:p>
    <w:p w14:paraId="01C741B8"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b/>
          <w:bCs/>
          <w:color w:val="000000"/>
          <w:kern w:val="0"/>
          <w:lang w:val="es-CO" w:eastAsia="es-MX"/>
          <w14:ligatures w14:val="none"/>
        </w:rPr>
        <w:t>TESIS JURÍDICA</w:t>
      </w:r>
    </w:p>
    <w:p w14:paraId="5430E99D" w14:textId="77777777" w:rsidR="00B01375" w:rsidRPr="00B01375" w:rsidRDefault="00B01375" w:rsidP="00B01375">
      <w:pPr>
        <w:rPr>
          <w:rFonts w:ascii="Times New Roman" w:eastAsia="Times New Roman" w:hAnsi="Times New Roman" w:cs="Times New Roman"/>
          <w:kern w:val="0"/>
          <w:lang w:val="es-CO" w:eastAsia="es-MX"/>
          <w14:ligatures w14:val="none"/>
        </w:rPr>
      </w:pPr>
      <w:r w:rsidRPr="00B01375">
        <w:rPr>
          <w:rFonts w:ascii="Times New Roman" w:eastAsia="Times New Roman" w:hAnsi="Times New Roman" w:cs="Times New Roman"/>
          <w:kern w:val="0"/>
          <w:lang w:val="es-CO" w:eastAsia="es-MX"/>
          <w14:ligatures w14:val="none"/>
        </w:rPr>
        <w:br/>
      </w:r>
    </w:p>
    <w:p w14:paraId="737F0799" w14:textId="77777777" w:rsidR="00B01375" w:rsidRPr="00B01375" w:rsidRDefault="00B01375" w:rsidP="00B01375">
      <w:pPr>
        <w:numPr>
          <w:ilvl w:val="0"/>
          <w:numId w:val="4"/>
        </w:numPr>
        <w:jc w:val="both"/>
        <w:textAlignment w:val="baseline"/>
        <w:rPr>
          <w:rFonts w:ascii="Verdana" w:eastAsia="Times New Roman" w:hAnsi="Verdana" w:cs="Times New Roman"/>
          <w:color w:val="000000"/>
          <w:kern w:val="0"/>
          <w:lang w:val="es-CO" w:eastAsia="es-MX"/>
          <w14:ligatures w14:val="none"/>
        </w:rPr>
      </w:pPr>
      <w:r w:rsidRPr="00B01375">
        <w:rPr>
          <w:rFonts w:ascii="Verdana" w:eastAsia="Times New Roman" w:hAnsi="Verdana" w:cs="Times New Roman"/>
          <w:color w:val="000000"/>
          <w:kern w:val="0"/>
          <w:lang w:val="es-CO" w:eastAsia="es-MX"/>
          <w14:ligatures w14:val="none"/>
        </w:rPr>
        <w:lastRenderedPageBreak/>
        <w:t>Los errores en la identificación del adquirente solo dan lugar a la anulación y expedición de una nueva factura de venta cuando impiden establecer de manera inequívoca su identidad. Por el contrario, cuando se trata de errores formales o tipográficos que no afectan dicha identificación, la factura electrónica de venta mantiene su validez como soporte de costos, deducciones e impuestos descontables, en aplicación del principio de sustancia sobre la forma.</w:t>
      </w:r>
    </w:p>
    <w:p w14:paraId="6B536813" w14:textId="77777777" w:rsidR="00B01375" w:rsidRPr="00B01375" w:rsidRDefault="00B01375" w:rsidP="00B01375">
      <w:pPr>
        <w:rPr>
          <w:rFonts w:ascii="Times New Roman" w:eastAsia="Times New Roman" w:hAnsi="Times New Roman" w:cs="Times New Roman"/>
          <w:kern w:val="0"/>
          <w:lang w:val="es-CO" w:eastAsia="es-MX"/>
          <w14:ligatures w14:val="none"/>
        </w:rPr>
      </w:pPr>
    </w:p>
    <w:p w14:paraId="79CC8587"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b/>
          <w:bCs/>
          <w:color w:val="000000"/>
          <w:kern w:val="0"/>
          <w:lang w:val="es-CO" w:eastAsia="es-MX"/>
          <w14:ligatures w14:val="none"/>
        </w:rPr>
        <w:t>FUNDAMENTACIÓN</w:t>
      </w:r>
    </w:p>
    <w:p w14:paraId="362B8A26" w14:textId="77777777" w:rsidR="00B01375" w:rsidRPr="00B01375" w:rsidRDefault="00B01375" w:rsidP="00B01375">
      <w:pPr>
        <w:rPr>
          <w:rFonts w:ascii="Times New Roman" w:eastAsia="Times New Roman" w:hAnsi="Times New Roman" w:cs="Times New Roman"/>
          <w:kern w:val="0"/>
          <w:lang w:val="es-CO" w:eastAsia="es-MX"/>
          <w14:ligatures w14:val="none"/>
        </w:rPr>
      </w:pPr>
      <w:r w:rsidRPr="00B01375">
        <w:rPr>
          <w:rFonts w:ascii="Times New Roman" w:eastAsia="Times New Roman" w:hAnsi="Times New Roman" w:cs="Times New Roman"/>
          <w:kern w:val="0"/>
          <w:lang w:val="es-CO" w:eastAsia="es-MX"/>
          <w14:ligatures w14:val="none"/>
        </w:rPr>
        <w:br/>
      </w:r>
    </w:p>
    <w:p w14:paraId="3F5FA241" w14:textId="77777777" w:rsidR="00B01375" w:rsidRPr="00B01375" w:rsidRDefault="00B01375" w:rsidP="00B01375">
      <w:pPr>
        <w:numPr>
          <w:ilvl w:val="0"/>
          <w:numId w:val="5"/>
        </w:numPr>
        <w:jc w:val="both"/>
        <w:textAlignment w:val="baseline"/>
        <w:rPr>
          <w:rFonts w:ascii="Verdana" w:eastAsia="Times New Roman" w:hAnsi="Verdana" w:cs="Times New Roman"/>
          <w:color w:val="000000"/>
          <w:kern w:val="0"/>
          <w:lang w:val="es-CO" w:eastAsia="es-MX"/>
          <w14:ligatures w14:val="none"/>
        </w:rPr>
      </w:pPr>
      <w:r w:rsidRPr="00B01375">
        <w:rPr>
          <w:rFonts w:ascii="Verdana" w:eastAsia="Times New Roman" w:hAnsi="Verdana" w:cs="Times New Roman"/>
          <w:color w:val="000000"/>
          <w:kern w:val="0"/>
          <w:lang w:val="es-CO" w:eastAsia="es-MX"/>
          <w14:ligatures w14:val="none"/>
        </w:rPr>
        <w:t>De conformidad con los artículos 615, 616-1, 617 y 771-2 del Estatuto Tributario, la factura de venta constituye el principal soporte de las operaciones económicas para efectos fiscales, debiendo reflejar la realidad económica de la transacción. En el sistema de facturación electrónica, dicha función se materializa en el archivo XML validado por la DIAN, el cual contiene la información obligatoria exigida por las normas sustanciales.</w:t>
      </w:r>
    </w:p>
    <w:p w14:paraId="52E07845" w14:textId="77777777" w:rsidR="00B01375" w:rsidRPr="00B01375" w:rsidRDefault="00B01375" w:rsidP="00B01375">
      <w:pPr>
        <w:rPr>
          <w:rFonts w:ascii="Times New Roman" w:eastAsia="Times New Roman" w:hAnsi="Times New Roman" w:cs="Times New Roman"/>
          <w:kern w:val="0"/>
          <w:lang w:val="es-CO" w:eastAsia="es-MX"/>
          <w14:ligatures w14:val="none"/>
        </w:rPr>
      </w:pPr>
      <w:r w:rsidRPr="00B01375">
        <w:rPr>
          <w:rFonts w:ascii="Times New Roman" w:eastAsia="Times New Roman" w:hAnsi="Times New Roman" w:cs="Times New Roman"/>
          <w:kern w:val="0"/>
          <w:lang w:val="es-CO" w:eastAsia="es-MX"/>
          <w14:ligatures w14:val="none"/>
        </w:rPr>
        <w:br/>
      </w:r>
    </w:p>
    <w:p w14:paraId="0872D50C" w14:textId="77777777" w:rsidR="00B01375" w:rsidRPr="00B01375" w:rsidRDefault="00B01375" w:rsidP="00B01375">
      <w:pPr>
        <w:numPr>
          <w:ilvl w:val="0"/>
          <w:numId w:val="6"/>
        </w:numPr>
        <w:jc w:val="both"/>
        <w:textAlignment w:val="baseline"/>
        <w:rPr>
          <w:rFonts w:ascii="Verdana" w:eastAsia="Times New Roman" w:hAnsi="Verdana" w:cs="Times New Roman"/>
          <w:color w:val="000000"/>
          <w:kern w:val="0"/>
          <w:lang w:val="es-CO" w:eastAsia="es-MX"/>
          <w14:ligatures w14:val="none"/>
        </w:rPr>
      </w:pPr>
      <w:r w:rsidRPr="00B01375">
        <w:rPr>
          <w:rFonts w:ascii="Verdana" w:eastAsia="Times New Roman" w:hAnsi="Verdana" w:cs="Times New Roman"/>
          <w:color w:val="000000"/>
          <w:kern w:val="0"/>
          <w:lang w:val="es-CO" w:eastAsia="es-MX"/>
          <w14:ligatures w14:val="none"/>
        </w:rPr>
        <w:t>En este contexto, la identificación del adquirente constituye un requisito esencial de la factura electrónica de venta, en la medida en que así lo exige la ley ya que permite vincular la operación con un sujeto determinado para efectos del reconocimiento de costos, deducciones e impuestos descontables.</w:t>
      </w:r>
    </w:p>
    <w:p w14:paraId="3863E901" w14:textId="77777777" w:rsidR="00B01375" w:rsidRPr="00B01375" w:rsidRDefault="00B01375" w:rsidP="00B01375">
      <w:pPr>
        <w:rPr>
          <w:rFonts w:ascii="Times New Roman" w:eastAsia="Times New Roman" w:hAnsi="Times New Roman" w:cs="Times New Roman"/>
          <w:kern w:val="0"/>
          <w:lang w:val="es-CO" w:eastAsia="es-MX"/>
          <w14:ligatures w14:val="none"/>
        </w:rPr>
      </w:pPr>
      <w:r w:rsidRPr="00B01375">
        <w:rPr>
          <w:rFonts w:ascii="Times New Roman" w:eastAsia="Times New Roman" w:hAnsi="Times New Roman" w:cs="Times New Roman"/>
          <w:kern w:val="0"/>
          <w:lang w:val="es-CO" w:eastAsia="es-MX"/>
          <w14:ligatures w14:val="none"/>
        </w:rPr>
        <w:br/>
      </w:r>
    </w:p>
    <w:p w14:paraId="6BEE9551" w14:textId="77777777" w:rsidR="00B01375" w:rsidRPr="00B01375" w:rsidRDefault="00B01375" w:rsidP="00B01375">
      <w:pPr>
        <w:numPr>
          <w:ilvl w:val="0"/>
          <w:numId w:val="7"/>
        </w:numPr>
        <w:jc w:val="both"/>
        <w:textAlignment w:val="baseline"/>
        <w:rPr>
          <w:rFonts w:ascii="Verdana" w:eastAsia="Times New Roman" w:hAnsi="Verdana" w:cs="Times New Roman"/>
          <w:color w:val="000000"/>
          <w:kern w:val="0"/>
          <w:lang w:val="es-CO" w:eastAsia="es-MX"/>
          <w14:ligatures w14:val="none"/>
        </w:rPr>
      </w:pPr>
      <w:r w:rsidRPr="00B01375">
        <w:rPr>
          <w:rFonts w:ascii="Verdana" w:eastAsia="Times New Roman" w:hAnsi="Verdana" w:cs="Times New Roman"/>
          <w:color w:val="000000"/>
          <w:kern w:val="0"/>
          <w:lang w:val="es-CO" w:eastAsia="es-MX"/>
          <w14:ligatures w14:val="none"/>
        </w:rPr>
        <w:t>Al respecto, esta Subdirección precisa que no todos los errores en la identificación del adquirente tienen la misma incidencia jurídica. En efecto, deben diferenciarse aquellos errores que afectan de manera sustancial la identificación del sujeto, de aquellos que corresponden a imprecisiones formales o tipográficas que no impiden establecer de manera inequívoca la identidad del adquirente de los bienes o servicios.</w:t>
      </w:r>
    </w:p>
    <w:p w14:paraId="3AE328FB" w14:textId="77777777" w:rsidR="00B01375" w:rsidRPr="00B01375" w:rsidRDefault="00B01375" w:rsidP="00B01375">
      <w:pPr>
        <w:rPr>
          <w:rFonts w:ascii="Times New Roman" w:eastAsia="Times New Roman" w:hAnsi="Times New Roman" w:cs="Times New Roman"/>
          <w:kern w:val="0"/>
          <w:lang w:val="es-CO" w:eastAsia="es-MX"/>
          <w14:ligatures w14:val="none"/>
        </w:rPr>
      </w:pPr>
      <w:r w:rsidRPr="00B01375">
        <w:rPr>
          <w:rFonts w:ascii="Times New Roman" w:eastAsia="Times New Roman" w:hAnsi="Times New Roman" w:cs="Times New Roman"/>
          <w:kern w:val="0"/>
          <w:lang w:val="es-CO" w:eastAsia="es-MX"/>
          <w14:ligatures w14:val="none"/>
        </w:rPr>
        <w:br/>
      </w:r>
    </w:p>
    <w:p w14:paraId="37A7F5E2" w14:textId="77777777" w:rsidR="00B01375" w:rsidRPr="00B01375" w:rsidRDefault="00B01375" w:rsidP="00B01375">
      <w:pPr>
        <w:numPr>
          <w:ilvl w:val="0"/>
          <w:numId w:val="8"/>
        </w:numPr>
        <w:jc w:val="both"/>
        <w:textAlignment w:val="baseline"/>
        <w:rPr>
          <w:rFonts w:ascii="Verdana" w:eastAsia="Times New Roman" w:hAnsi="Verdana" w:cs="Times New Roman"/>
          <w:color w:val="000000"/>
          <w:kern w:val="0"/>
          <w:lang w:val="es-CO" w:eastAsia="es-MX"/>
          <w14:ligatures w14:val="none"/>
        </w:rPr>
      </w:pPr>
      <w:r w:rsidRPr="00B01375">
        <w:rPr>
          <w:rFonts w:ascii="Verdana" w:eastAsia="Times New Roman" w:hAnsi="Verdana" w:cs="Times New Roman"/>
          <w:color w:val="000000"/>
          <w:kern w:val="0"/>
          <w:lang w:val="es-CO" w:eastAsia="es-MX"/>
          <w14:ligatures w14:val="none"/>
        </w:rPr>
        <w:t>En criterio de esta Subdirección, no existe una contradicción de fondo entre los Conceptos Nos. 000974 (</w:t>
      </w:r>
      <w:proofErr w:type="spellStart"/>
      <w:r w:rsidRPr="00B01375">
        <w:rPr>
          <w:rFonts w:ascii="Verdana" w:eastAsia="Times New Roman" w:hAnsi="Verdana" w:cs="Times New Roman"/>
          <w:color w:val="000000"/>
          <w:kern w:val="0"/>
          <w:lang w:val="es-CO" w:eastAsia="es-MX"/>
          <w14:ligatures w14:val="none"/>
        </w:rPr>
        <w:t>int</w:t>
      </w:r>
      <w:proofErr w:type="spellEnd"/>
      <w:r w:rsidRPr="00B01375">
        <w:rPr>
          <w:rFonts w:ascii="Verdana" w:eastAsia="Times New Roman" w:hAnsi="Verdana" w:cs="Times New Roman"/>
          <w:color w:val="000000"/>
          <w:kern w:val="0"/>
          <w:lang w:val="es-CO" w:eastAsia="es-MX"/>
          <w14:ligatures w14:val="none"/>
        </w:rPr>
        <w:t xml:space="preserve"> 126) de 2025 y 008672 (</w:t>
      </w:r>
      <w:proofErr w:type="spellStart"/>
      <w:r w:rsidRPr="00B01375">
        <w:rPr>
          <w:rFonts w:ascii="Verdana" w:eastAsia="Times New Roman" w:hAnsi="Verdana" w:cs="Times New Roman"/>
          <w:color w:val="000000"/>
          <w:kern w:val="0"/>
          <w:lang w:val="es-CO" w:eastAsia="es-MX"/>
          <w14:ligatures w14:val="none"/>
        </w:rPr>
        <w:t>int</w:t>
      </w:r>
      <w:proofErr w:type="spellEnd"/>
      <w:r w:rsidRPr="00B01375">
        <w:rPr>
          <w:rFonts w:ascii="Verdana" w:eastAsia="Times New Roman" w:hAnsi="Verdana" w:cs="Times New Roman"/>
          <w:color w:val="000000"/>
          <w:kern w:val="0"/>
          <w:lang w:val="es-CO" w:eastAsia="es-MX"/>
          <w14:ligatures w14:val="none"/>
        </w:rPr>
        <w:t xml:space="preserve"> 834) de 2025, en tanto cada uno aborda supuestos fácticos distintos relacionados con la naturaleza de los errores en la identificación del adquirente. No obstante, se estima pertinente efectuar la presente aclaración con el fin de dotar de mayor claridad y coherencia a la doctrina vigente en la materia.</w:t>
      </w:r>
    </w:p>
    <w:p w14:paraId="4190AAA1" w14:textId="77777777" w:rsidR="00B01375" w:rsidRPr="00B01375" w:rsidRDefault="00B01375" w:rsidP="00B01375">
      <w:pPr>
        <w:numPr>
          <w:ilvl w:val="0"/>
          <w:numId w:val="9"/>
        </w:numPr>
        <w:jc w:val="both"/>
        <w:textAlignment w:val="baseline"/>
        <w:rPr>
          <w:rFonts w:ascii="Verdana" w:eastAsia="Times New Roman" w:hAnsi="Verdana" w:cs="Times New Roman"/>
          <w:color w:val="000000"/>
          <w:kern w:val="0"/>
          <w:lang w:val="es-CO" w:eastAsia="es-MX"/>
          <w14:ligatures w14:val="none"/>
        </w:rPr>
      </w:pPr>
      <w:r w:rsidRPr="00B01375">
        <w:rPr>
          <w:rFonts w:ascii="Verdana" w:eastAsia="Times New Roman" w:hAnsi="Verdana" w:cs="Times New Roman"/>
          <w:color w:val="000000"/>
          <w:kern w:val="0"/>
          <w:lang w:val="es-CO" w:eastAsia="es-MX"/>
          <w14:ligatures w14:val="none"/>
        </w:rPr>
        <w:t xml:space="preserve">En consecuencia se precisa, cuando el error en la identificación del adquirente impide determinar de manera inequívoca quién es el destinatario real de la operación, la factura electrónica no refleja la </w:t>
      </w:r>
      <w:r w:rsidRPr="00B01375">
        <w:rPr>
          <w:rFonts w:ascii="Verdana" w:eastAsia="Times New Roman" w:hAnsi="Verdana" w:cs="Times New Roman"/>
          <w:color w:val="000000"/>
          <w:kern w:val="0"/>
          <w:lang w:val="es-CO" w:eastAsia="es-MX"/>
          <w14:ligatures w14:val="none"/>
        </w:rPr>
        <w:lastRenderedPageBreak/>
        <w:t>realidad económica y, por tanto, no constituye soporte válido para efectos fiscales, siendo necesario proceder a su anulación y a la expedición de una nueva factura con la información correcta.</w:t>
      </w:r>
    </w:p>
    <w:p w14:paraId="65EEBFEC" w14:textId="77777777" w:rsidR="00B01375" w:rsidRPr="00B01375" w:rsidRDefault="00B01375" w:rsidP="00B01375">
      <w:pPr>
        <w:rPr>
          <w:rFonts w:ascii="Times New Roman" w:eastAsia="Times New Roman" w:hAnsi="Times New Roman" w:cs="Times New Roman"/>
          <w:kern w:val="0"/>
          <w:lang w:val="es-CO" w:eastAsia="es-MX"/>
          <w14:ligatures w14:val="none"/>
        </w:rPr>
      </w:pPr>
      <w:r w:rsidRPr="00B01375">
        <w:rPr>
          <w:rFonts w:ascii="Times New Roman" w:eastAsia="Times New Roman" w:hAnsi="Times New Roman" w:cs="Times New Roman"/>
          <w:kern w:val="0"/>
          <w:lang w:val="es-CO" w:eastAsia="es-MX"/>
          <w14:ligatures w14:val="none"/>
        </w:rPr>
        <w:br/>
      </w:r>
    </w:p>
    <w:p w14:paraId="1345ADFC" w14:textId="77777777" w:rsidR="00B01375" w:rsidRPr="00B01375" w:rsidRDefault="00B01375" w:rsidP="00B01375">
      <w:pPr>
        <w:numPr>
          <w:ilvl w:val="0"/>
          <w:numId w:val="10"/>
        </w:numPr>
        <w:jc w:val="both"/>
        <w:textAlignment w:val="baseline"/>
        <w:rPr>
          <w:rFonts w:ascii="Verdana" w:eastAsia="Times New Roman" w:hAnsi="Verdana" w:cs="Times New Roman"/>
          <w:color w:val="000000"/>
          <w:kern w:val="0"/>
          <w:lang w:val="es-CO" w:eastAsia="es-MX"/>
          <w14:ligatures w14:val="none"/>
        </w:rPr>
      </w:pPr>
      <w:r w:rsidRPr="00B01375">
        <w:rPr>
          <w:rFonts w:ascii="Verdana" w:eastAsia="Times New Roman" w:hAnsi="Verdana" w:cs="Times New Roman"/>
          <w:color w:val="000000"/>
          <w:kern w:val="0"/>
          <w:lang w:val="es-CO" w:eastAsia="es-MX"/>
          <w14:ligatures w14:val="none"/>
        </w:rPr>
        <w:t>Por el contrario, cuando se trate de errores formales o tipográficos —tales como inconsistencias menores en el nombre, tipo de documento o clase de persona— que no afectan la posibilidad de identificar inequívocamente al adquirente, debe darse aplicación al principio de sustancia sobre la forma, conservando la factura su validez como soporte de costos, deducciones e impuestos descontables.</w:t>
      </w:r>
    </w:p>
    <w:p w14:paraId="73304993" w14:textId="77777777" w:rsidR="00B01375" w:rsidRPr="00B01375" w:rsidRDefault="00B01375" w:rsidP="00B01375">
      <w:pPr>
        <w:rPr>
          <w:rFonts w:ascii="Times New Roman" w:eastAsia="Times New Roman" w:hAnsi="Times New Roman" w:cs="Times New Roman"/>
          <w:kern w:val="0"/>
          <w:lang w:val="es-CO" w:eastAsia="es-MX"/>
          <w14:ligatures w14:val="none"/>
        </w:rPr>
      </w:pPr>
      <w:r w:rsidRPr="00B01375">
        <w:rPr>
          <w:rFonts w:ascii="Times New Roman" w:eastAsia="Times New Roman" w:hAnsi="Times New Roman" w:cs="Times New Roman"/>
          <w:kern w:val="0"/>
          <w:lang w:val="es-CO" w:eastAsia="es-MX"/>
          <w14:ligatures w14:val="none"/>
        </w:rPr>
        <w:br/>
      </w:r>
    </w:p>
    <w:p w14:paraId="1E8392FA" w14:textId="77777777" w:rsidR="00B01375" w:rsidRPr="00B01375" w:rsidRDefault="00B01375" w:rsidP="00B01375">
      <w:pPr>
        <w:numPr>
          <w:ilvl w:val="0"/>
          <w:numId w:val="11"/>
        </w:numPr>
        <w:jc w:val="both"/>
        <w:textAlignment w:val="baseline"/>
        <w:rPr>
          <w:rFonts w:ascii="Verdana" w:eastAsia="Times New Roman" w:hAnsi="Verdana" w:cs="Times New Roman"/>
          <w:color w:val="000000"/>
          <w:kern w:val="0"/>
          <w:lang w:val="es-CO" w:eastAsia="es-MX"/>
          <w14:ligatures w14:val="none"/>
        </w:rPr>
      </w:pPr>
      <w:r w:rsidRPr="00B01375">
        <w:rPr>
          <w:rFonts w:ascii="Verdana" w:eastAsia="Times New Roman" w:hAnsi="Verdana" w:cs="Times New Roman"/>
          <w:color w:val="000000"/>
          <w:kern w:val="0"/>
          <w:lang w:val="es-CO" w:eastAsia="es-MX"/>
          <w14:ligatures w14:val="none"/>
        </w:rPr>
        <w:t>Para finalizar, de acuerdo con lo expuesto se aclaran los Conceptos Nos 000974 (</w:t>
      </w:r>
      <w:proofErr w:type="spellStart"/>
      <w:r w:rsidRPr="00B01375">
        <w:rPr>
          <w:rFonts w:ascii="Verdana" w:eastAsia="Times New Roman" w:hAnsi="Verdana" w:cs="Times New Roman"/>
          <w:color w:val="000000"/>
          <w:kern w:val="0"/>
          <w:lang w:val="es-CO" w:eastAsia="es-MX"/>
          <w14:ligatures w14:val="none"/>
        </w:rPr>
        <w:t>int</w:t>
      </w:r>
      <w:proofErr w:type="spellEnd"/>
      <w:r w:rsidRPr="00B01375">
        <w:rPr>
          <w:rFonts w:ascii="Verdana" w:eastAsia="Times New Roman" w:hAnsi="Verdana" w:cs="Times New Roman"/>
          <w:color w:val="000000"/>
          <w:kern w:val="0"/>
          <w:lang w:val="es-CO" w:eastAsia="es-MX"/>
          <w14:ligatures w14:val="none"/>
        </w:rPr>
        <w:t xml:space="preserve"> 126) de 2025 y Concepto 008672 (</w:t>
      </w:r>
      <w:proofErr w:type="spellStart"/>
      <w:r w:rsidRPr="00B01375">
        <w:rPr>
          <w:rFonts w:ascii="Verdana" w:eastAsia="Times New Roman" w:hAnsi="Verdana" w:cs="Times New Roman"/>
          <w:color w:val="000000"/>
          <w:kern w:val="0"/>
          <w:lang w:val="es-CO" w:eastAsia="es-MX"/>
          <w14:ligatures w14:val="none"/>
        </w:rPr>
        <w:t>int</w:t>
      </w:r>
      <w:proofErr w:type="spellEnd"/>
      <w:r w:rsidRPr="00B01375">
        <w:rPr>
          <w:rFonts w:ascii="Verdana" w:eastAsia="Times New Roman" w:hAnsi="Verdana" w:cs="Times New Roman"/>
          <w:color w:val="000000"/>
          <w:kern w:val="0"/>
          <w:lang w:val="es-CO" w:eastAsia="es-MX"/>
          <w14:ligatures w14:val="none"/>
        </w:rPr>
        <w:t xml:space="preserve"> 834) de 2025 en el sentido de precisar que: hay lugar a la anulación de la factura electrónica de venta cuando hay errores que alteran la realidad de la operación, tratándose de la identificación del adquirente, cuando estos impiden establecer su identidad inequívoca, y no frente a imprecisiones formales que no afectan la realidad de la operación, para el caso analizado, la identidad inequívoca del sujeto que adquiere el bien o servicio.</w:t>
      </w:r>
    </w:p>
    <w:p w14:paraId="38AA3CFD" w14:textId="77777777" w:rsidR="00B01375" w:rsidRPr="00B01375" w:rsidRDefault="00B01375" w:rsidP="00B01375">
      <w:pPr>
        <w:rPr>
          <w:rFonts w:ascii="Times New Roman" w:eastAsia="Times New Roman" w:hAnsi="Times New Roman" w:cs="Times New Roman"/>
          <w:kern w:val="0"/>
          <w:lang w:val="es-CO" w:eastAsia="es-MX"/>
          <w14:ligatures w14:val="none"/>
        </w:rPr>
      </w:pPr>
      <w:r w:rsidRPr="00B01375">
        <w:rPr>
          <w:rFonts w:ascii="Times New Roman" w:eastAsia="Times New Roman" w:hAnsi="Times New Roman" w:cs="Times New Roman"/>
          <w:kern w:val="0"/>
          <w:lang w:val="es-CO" w:eastAsia="es-MX"/>
          <w14:ligatures w14:val="none"/>
        </w:rPr>
        <w:br/>
      </w:r>
    </w:p>
    <w:p w14:paraId="75F28A47" w14:textId="77777777" w:rsidR="00B01375" w:rsidRPr="00B01375" w:rsidRDefault="00B01375" w:rsidP="00B01375">
      <w:pPr>
        <w:numPr>
          <w:ilvl w:val="0"/>
          <w:numId w:val="12"/>
        </w:numPr>
        <w:jc w:val="both"/>
        <w:textAlignment w:val="baseline"/>
        <w:rPr>
          <w:rFonts w:ascii="Verdana" w:eastAsia="Times New Roman" w:hAnsi="Verdana" w:cs="Times New Roman"/>
          <w:color w:val="000000"/>
          <w:kern w:val="0"/>
          <w:lang w:val="es-CO" w:eastAsia="es-MX"/>
          <w14:ligatures w14:val="none"/>
        </w:rPr>
      </w:pPr>
      <w:r w:rsidRPr="00B01375">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74AFB3DC" w14:textId="77777777" w:rsidR="00B01375" w:rsidRPr="00B01375" w:rsidRDefault="00B01375" w:rsidP="00B01375">
      <w:pPr>
        <w:spacing w:after="240"/>
        <w:rPr>
          <w:rFonts w:ascii="Times New Roman" w:eastAsia="Times New Roman" w:hAnsi="Times New Roman" w:cs="Times New Roman"/>
          <w:kern w:val="0"/>
          <w:lang w:val="es-CO" w:eastAsia="es-MX"/>
          <w14:ligatures w14:val="none"/>
        </w:rPr>
      </w:pPr>
    </w:p>
    <w:p w14:paraId="1393F8AF"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color w:val="000000"/>
          <w:kern w:val="0"/>
          <w:lang w:val="es-CO" w:eastAsia="es-MX"/>
          <w14:ligatures w14:val="none"/>
        </w:rPr>
        <w:t>Atentamente,</w:t>
      </w:r>
    </w:p>
    <w:p w14:paraId="2EB80B7F" w14:textId="77777777" w:rsidR="00B01375" w:rsidRPr="00B01375" w:rsidRDefault="00B01375" w:rsidP="00B01375">
      <w:pPr>
        <w:spacing w:after="240"/>
        <w:rPr>
          <w:rFonts w:ascii="Times New Roman" w:eastAsia="Times New Roman" w:hAnsi="Times New Roman" w:cs="Times New Roman"/>
          <w:kern w:val="0"/>
          <w:lang w:val="es-CO" w:eastAsia="es-MX"/>
          <w14:ligatures w14:val="none"/>
        </w:rPr>
      </w:pPr>
      <w:r w:rsidRPr="00B01375">
        <w:rPr>
          <w:rFonts w:ascii="Times New Roman" w:eastAsia="Times New Roman" w:hAnsi="Times New Roman" w:cs="Times New Roman"/>
          <w:kern w:val="0"/>
          <w:lang w:val="es-CO" w:eastAsia="es-MX"/>
          <w14:ligatures w14:val="none"/>
        </w:rPr>
        <w:br/>
      </w:r>
    </w:p>
    <w:p w14:paraId="659DCA45"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b/>
          <w:bCs/>
          <w:color w:val="000000"/>
          <w:kern w:val="0"/>
          <w:lang w:val="es-CO" w:eastAsia="es-MX"/>
          <w14:ligatures w14:val="none"/>
        </w:rPr>
        <w:t>INGRID CASTAÑEDA CEPEDA</w:t>
      </w:r>
    </w:p>
    <w:p w14:paraId="7165AFAD"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color w:val="000000"/>
          <w:kern w:val="0"/>
          <w:lang w:val="es-CO" w:eastAsia="es-MX"/>
          <w14:ligatures w14:val="none"/>
        </w:rPr>
        <w:t>Subdirectora de Normativa y Doctrina (A)</w:t>
      </w:r>
    </w:p>
    <w:p w14:paraId="65116E4A"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color w:val="000000"/>
          <w:kern w:val="0"/>
          <w:lang w:val="es-CO" w:eastAsia="es-MX"/>
          <w14:ligatures w14:val="none"/>
        </w:rPr>
        <w:t>Subdirección de Normativa y Doctrina</w:t>
      </w:r>
    </w:p>
    <w:p w14:paraId="68C1030B"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color w:val="000000"/>
          <w:kern w:val="0"/>
          <w:lang w:val="es-CO" w:eastAsia="es-MX"/>
          <w14:ligatures w14:val="none"/>
        </w:rPr>
        <w:t>Dirección de Gestión Jurídica</w:t>
      </w:r>
    </w:p>
    <w:p w14:paraId="4F9EA7FE" w14:textId="77777777" w:rsidR="00B01375" w:rsidRPr="00B01375" w:rsidRDefault="00B01375" w:rsidP="00B01375">
      <w:pPr>
        <w:jc w:val="both"/>
        <w:rPr>
          <w:rFonts w:ascii="Times New Roman" w:eastAsia="Times New Roman" w:hAnsi="Times New Roman" w:cs="Times New Roman"/>
          <w:kern w:val="0"/>
          <w:lang w:val="es-CO" w:eastAsia="es-MX"/>
          <w14:ligatures w14:val="none"/>
        </w:rPr>
      </w:pPr>
      <w:r w:rsidRPr="00B01375">
        <w:rPr>
          <w:rFonts w:ascii="Verdana" w:eastAsia="Times New Roman" w:hAnsi="Verdana" w:cs="Times New Roman"/>
          <w:color w:val="000000"/>
          <w:kern w:val="0"/>
          <w:u w:val="single"/>
          <w:lang w:val="es-CO" w:eastAsia="es-MX"/>
          <w14:ligatures w14:val="none"/>
        </w:rPr>
        <w:t>www.dian.gov.co</w:t>
      </w:r>
    </w:p>
    <w:p w14:paraId="149FA3CD" w14:textId="77777777" w:rsidR="00B01375" w:rsidRPr="00B01375" w:rsidRDefault="00B01375" w:rsidP="00B01375">
      <w:pPr>
        <w:rPr>
          <w:rFonts w:ascii="Times New Roman" w:eastAsia="Times New Roman" w:hAnsi="Times New Roman" w:cs="Times New Roman"/>
          <w:kern w:val="0"/>
          <w:lang w:val="es-CO" w:eastAsia="es-MX"/>
          <w14:ligatures w14:val="none"/>
        </w:rPr>
      </w:pPr>
    </w:p>
    <w:p w14:paraId="14A0D8D7"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8AA0901"/>
    <w:multiLevelType w:val="multilevel"/>
    <w:tmpl w:val="5E764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5414BA"/>
    <w:multiLevelType w:val="multilevel"/>
    <w:tmpl w:val="D164A23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A91A47"/>
    <w:multiLevelType w:val="multilevel"/>
    <w:tmpl w:val="9F46A92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86D4D4F"/>
    <w:multiLevelType w:val="multilevel"/>
    <w:tmpl w:val="0DACC56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C7C6C18"/>
    <w:multiLevelType w:val="multilevel"/>
    <w:tmpl w:val="3A7288E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E4748F3"/>
    <w:multiLevelType w:val="multilevel"/>
    <w:tmpl w:val="A41EAB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1311BE0"/>
    <w:multiLevelType w:val="multilevel"/>
    <w:tmpl w:val="17F8C2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67339B7"/>
    <w:multiLevelType w:val="multilevel"/>
    <w:tmpl w:val="D37A8F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B1B3861"/>
    <w:multiLevelType w:val="multilevel"/>
    <w:tmpl w:val="30688D2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8674E44"/>
    <w:multiLevelType w:val="multilevel"/>
    <w:tmpl w:val="8E40AB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A0E3D49"/>
    <w:multiLevelType w:val="multilevel"/>
    <w:tmpl w:val="AAA8A4A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98051105">
    <w:abstractNumId w:val="0"/>
  </w:num>
  <w:num w:numId="2" w16cid:durableId="578175395">
    <w:abstractNumId w:val="6"/>
    <w:lvlOverride w:ilvl="0">
      <w:lvl w:ilvl="0">
        <w:numFmt w:val="decimal"/>
        <w:lvlText w:val="%1."/>
        <w:lvlJc w:val="left"/>
      </w:lvl>
    </w:lvlOverride>
  </w:num>
  <w:num w:numId="3" w16cid:durableId="625505033">
    <w:abstractNumId w:val="5"/>
    <w:lvlOverride w:ilvl="0">
      <w:lvl w:ilvl="0">
        <w:numFmt w:val="decimal"/>
        <w:lvlText w:val="%1."/>
        <w:lvlJc w:val="left"/>
      </w:lvl>
    </w:lvlOverride>
  </w:num>
  <w:num w:numId="4" w16cid:durableId="1229918196">
    <w:abstractNumId w:val="9"/>
    <w:lvlOverride w:ilvl="0">
      <w:lvl w:ilvl="0">
        <w:numFmt w:val="decimal"/>
        <w:lvlText w:val="%1."/>
        <w:lvlJc w:val="left"/>
      </w:lvl>
    </w:lvlOverride>
  </w:num>
  <w:num w:numId="5" w16cid:durableId="1734237705">
    <w:abstractNumId w:val="7"/>
    <w:lvlOverride w:ilvl="0">
      <w:lvl w:ilvl="0">
        <w:numFmt w:val="decimal"/>
        <w:lvlText w:val="%1."/>
        <w:lvlJc w:val="left"/>
      </w:lvl>
    </w:lvlOverride>
  </w:num>
  <w:num w:numId="6" w16cid:durableId="752894487">
    <w:abstractNumId w:val="2"/>
    <w:lvlOverride w:ilvl="0">
      <w:lvl w:ilvl="0">
        <w:numFmt w:val="decimal"/>
        <w:lvlText w:val="%1."/>
        <w:lvlJc w:val="left"/>
      </w:lvl>
    </w:lvlOverride>
  </w:num>
  <w:num w:numId="7" w16cid:durableId="857814615">
    <w:abstractNumId w:val="1"/>
    <w:lvlOverride w:ilvl="0">
      <w:lvl w:ilvl="0">
        <w:numFmt w:val="decimal"/>
        <w:lvlText w:val="%1."/>
        <w:lvlJc w:val="left"/>
      </w:lvl>
    </w:lvlOverride>
  </w:num>
  <w:num w:numId="8" w16cid:durableId="254558662">
    <w:abstractNumId w:val="3"/>
    <w:lvlOverride w:ilvl="0">
      <w:lvl w:ilvl="0">
        <w:numFmt w:val="decimal"/>
        <w:lvlText w:val="%1."/>
        <w:lvlJc w:val="left"/>
      </w:lvl>
    </w:lvlOverride>
  </w:num>
  <w:num w:numId="9" w16cid:durableId="1520389492">
    <w:abstractNumId w:val="3"/>
    <w:lvlOverride w:ilvl="0">
      <w:lvl w:ilvl="0">
        <w:numFmt w:val="decimal"/>
        <w:lvlText w:val="%1."/>
        <w:lvlJc w:val="left"/>
      </w:lvl>
    </w:lvlOverride>
  </w:num>
  <w:num w:numId="10" w16cid:durableId="2102986043">
    <w:abstractNumId w:val="8"/>
    <w:lvlOverride w:ilvl="0">
      <w:lvl w:ilvl="0">
        <w:numFmt w:val="decimal"/>
        <w:lvlText w:val="%1."/>
        <w:lvlJc w:val="left"/>
      </w:lvl>
    </w:lvlOverride>
  </w:num>
  <w:num w:numId="11" w16cid:durableId="371812571">
    <w:abstractNumId w:val="10"/>
    <w:lvlOverride w:ilvl="0">
      <w:lvl w:ilvl="0">
        <w:numFmt w:val="decimal"/>
        <w:lvlText w:val="%1."/>
        <w:lvlJc w:val="left"/>
      </w:lvl>
    </w:lvlOverride>
  </w:num>
  <w:num w:numId="12" w16cid:durableId="1615096747">
    <w:abstractNumId w:val="4"/>
    <w:lvlOverride w:ilvl="0">
      <w:lvl w:ilvl="0">
        <w:numFmt w:val="decimal"/>
        <w:lvlText w:val="%1."/>
        <w:lvlJc w:val="left"/>
      </w:lvl>
    </w:lvlOverride>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375"/>
    <w:rsid w:val="000B2285"/>
    <w:rsid w:val="002C58F0"/>
    <w:rsid w:val="00537D8F"/>
    <w:rsid w:val="00B01375"/>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D1425C5"/>
  <w14:defaultImageDpi w14:val="32767"/>
  <w15:chartTrackingRefBased/>
  <w15:docId w15:val="{59127A12-FA96-7446-80FF-6BD7C73F6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0137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0137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0137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0137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0137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0137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0137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0137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0137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0137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B0137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B0137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B0137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B0137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B0137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0137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0137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01375"/>
    <w:rPr>
      <w:rFonts w:eastAsiaTheme="majorEastAsia" w:cstheme="majorBidi"/>
      <w:color w:val="272727" w:themeColor="text1" w:themeTint="D8"/>
    </w:rPr>
  </w:style>
  <w:style w:type="paragraph" w:styleId="Ttulo">
    <w:name w:val="Title"/>
    <w:basedOn w:val="Normal"/>
    <w:next w:val="Normal"/>
    <w:link w:val="TtuloCar"/>
    <w:uiPriority w:val="10"/>
    <w:qFormat/>
    <w:rsid w:val="00B0137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0137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01375"/>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0137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0137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01375"/>
    <w:rPr>
      <w:i/>
      <w:iCs/>
      <w:color w:val="404040" w:themeColor="text1" w:themeTint="BF"/>
    </w:rPr>
  </w:style>
  <w:style w:type="paragraph" w:styleId="Prrafodelista">
    <w:name w:val="List Paragraph"/>
    <w:basedOn w:val="Normal"/>
    <w:uiPriority w:val="34"/>
    <w:qFormat/>
    <w:rsid w:val="00B01375"/>
    <w:pPr>
      <w:ind w:left="720"/>
      <w:contextualSpacing/>
    </w:pPr>
  </w:style>
  <w:style w:type="character" w:styleId="nfasisintenso">
    <w:name w:val="Intense Emphasis"/>
    <w:basedOn w:val="Fuentedeprrafopredeter"/>
    <w:uiPriority w:val="21"/>
    <w:qFormat/>
    <w:rsid w:val="00B01375"/>
    <w:rPr>
      <w:i/>
      <w:iCs/>
      <w:color w:val="2F5496" w:themeColor="accent1" w:themeShade="BF"/>
    </w:rPr>
  </w:style>
  <w:style w:type="paragraph" w:styleId="Citadestacada">
    <w:name w:val="Intense Quote"/>
    <w:basedOn w:val="Normal"/>
    <w:next w:val="Normal"/>
    <w:link w:val="CitadestacadaCar"/>
    <w:uiPriority w:val="30"/>
    <w:qFormat/>
    <w:rsid w:val="00B0137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01375"/>
    <w:rPr>
      <w:i/>
      <w:iCs/>
      <w:color w:val="2F5496" w:themeColor="accent1" w:themeShade="BF"/>
    </w:rPr>
  </w:style>
  <w:style w:type="character" w:styleId="Referenciaintensa">
    <w:name w:val="Intense Reference"/>
    <w:basedOn w:val="Fuentedeprrafopredeter"/>
    <w:uiPriority w:val="32"/>
    <w:qFormat/>
    <w:rsid w:val="00B01375"/>
    <w:rPr>
      <w:b/>
      <w:bCs/>
      <w:smallCaps/>
      <w:color w:val="2F5496" w:themeColor="accent1" w:themeShade="BF"/>
      <w:spacing w:val="5"/>
    </w:rPr>
  </w:style>
  <w:style w:type="paragraph" w:styleId="NormalWeb">
    <w:name w:val="Normal (Web)"/>
    <w:basedOn w:val="Normal"/>
    <w:uiPriority w:val="99"/>
    <w:semiHidden/>
    <w:unhideWhenUsed/>
    <w:rsid w:val="00B01375"/>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B013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870</Words>
  <Characters>4791</Characters>
  <Application>Microsoft Office Word</Application>
  <DocSecurity>0</DocSecurity>
  <Lines>39</Lines>
  <Paragraphs>11</Paragraphs>
  <ScaleCrop>false</ScaleCrop>
  <Company/>
  <LinksUpToDate>false</LinksUpToDate>
  <CharactersWithSpaces>5650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2026-06-24T15:45:00Z</dcterms:created>
  <dcterms:modified xsi:type="dcterms:W3CDTF">2026-06-24T15:46:00Z</dcterms:modified>
</cp:coreProperties>
</file>