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F763D0F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CONCEPTO 579 DEL 23 DE ABRIL DE 2026</w:t>
      </w:r>
    </w:p>
    <w:p w14:paraId="46112315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1A7BBF6D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86B6BDA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 D.C.,</w:t>
      </w:r>
    </w:p>
    <w:p w14:paraId="6C1546F6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7503120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Tema:</w:t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Gravamen a los movimientos financieros</w:t>
      </w:r>
    </w:p>
    <w:p w14:paraId="2A793F5D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Descriptores:</w:t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Exenciones Desembolsos de crédito</w:t>
      </w:r>
    </w:p>
    <w:p w14:paraId="0880A91B" w14:textId="77777777" w:rsidR="00D95939" w:rsidRPr="00D95939" w:rsidRDefault="00D95939" w:rsidP="00D95939">
      <w:pPr>
        <w:ind w:left="2127" w:firstLine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Depósitos de bajo monto y/o depósitos ordinarios</w:t>
      </w:r>
    </w:p>
    <w:p w14:paraId="4AE42DE0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Fuentes formales:</w:t>
      </w: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Numeral 11, Artículo 879 del Estatuto Tributario</w:t>
      </w:r>
    </w:p>
    <w:p w14:paraId="2EC0C5A4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46AE132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 saludo,</w:t>
      </w:r>
    </w:p>
    <w:p w14:paraId="034E12FC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53AFC86" w14:textId="77777777" w:rsidR="00D95939" w:rsidRPr="00D95939" w:rsidRDefault="00D95939" w:rsidP="00D95939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 Subdirección está facultada para absolver las consultas escritas, presentadas de manera general, sobre la interpretación y aplicación de las normas tributarias, aduaneras y de fiscalización cambiaria, en lo de competencia de la DIAN. En este sentido, la doctrina emitida será de carácter general, no se referirá a asuntos particulares y se someterá a lo consagrado en el artículo 131 de la Ley 2010 de 2019.</w:t>
      </w:r>
    </w:p>
    <w:p w14:paraId="22F69C9E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9E30E25" w14:textId="77777777" w:rsidR="00D95939" w:rsidRPr="00D95939" w:rsidRDefault="00D95939" w:rsidP="00D95939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atención a su consulta mediante la cual solicita se reconsidere la doctrina contenida en los conceptos 006879 – </w:t>
      </w:r>
      <w:proofErr w:type="spellStart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1889 del 27/11/2023 y 000153 – </w:t>
      </w:r>
      <w:proofErr w:type="spellStart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42 del 18/01/2023 y el oficio 901688 – </w:t>
      </w:r>
      <w:proofErr w:type="spellStart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246 del 07/03/2022, en los cuales se concluyó que la exención prevista en el numeral 11 del artículo 879 del Estatuto Tributario es aplicable cuando se trate de desembolsos de crédito mediante abono a cuenta de ahorro o corriente, sin cobijar los desembolsos de crédito mediante abono a depósitos de bajo monto o depósitos ordinarios, por corresponder a depósitos a la vista diferentes a estas cuentas.</w:t>
      </w:r>
    </w:p>
    <w:p w14:paraId="46A29CD9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76810E3" w14:textId="77777777" w:rsidR="00D95939" w:rsidRPr="00D95939" w:rsidRDefault="00D95939" w:rsidP="00D95939">
      <w:pPr>
        <w:numPr>
          <w:ilvl w:val="0"/>
          <w:numId w:val="3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Solicita se interprete que se consideran exentos de GMF los desembolsos de crédito mediante abono a cuenta de ahorro o corriente o mediante expedición de cheques con cruce y negociabilidad restringida o mediante abono a los depósitos electrónicos, depósitos de bajo monto y/o depósitos ordinarios que realicen los establecimientos de crédito, las cooperativas con actividad financiera o las cooperativas de ahorro y crédito vigiladas por las Superintendencias Financiera o de Economía Solidaria respectivamente, o los créditos externos desembolsados en moneda legal por agentes no residentes en los términos de la regulación cambiaria del Banco de la República, siempre y cuando el desembolso se efectúe al deudor, según lo establecido en el artículo 11 del artículo 879 del Estatuto Tributario y sus normas reglamentarias.</w:t>
      </w:r>
    </w:p>
    <w:p w14:paraId="1E5CCF6D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lastRenderedPageBreak/>
        <w:br/>
      </w:r>
    </w:p>
    <w:p w14:paraId="698E3ED8" w14:textId="77777777" w:rsidR="00D95939" w:rsidRPr="00D95939" w:rsidRDefault="00D95939" w:rsidP="00D95939">
      <w:pPr>
        <w:numPr>
          <w:ilvl w:val="0"/>
          <w:numId w:val="4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Como justificativo establece la posibilidad de realizar una interpretación finalista y extensiva de la ley en aplicar de la línea doctrinal del Oficio 905902 – interno 556 del 14 de octubre de 2020 que acepta la interpretación sistemática y finalista para las exenciones de los numerales 25 y 27 del artículo 879 del Estatuto Tributario.</w:t>
      </w:r>
    </w:p>
    <w:p w14:paraId="110DD1CB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5A360CBF" w14:textId="77777777" w:rsidR="00D95939" w:rsidRPr="00D95939" w:rsidRDefault="00D95939" w:rsidP="00D95939">
      <w:pPr>
        <w:numPr>
          <w:ilvl w:val="0"/>
          <w:numId w:val="5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Sobre el particular, se advierte que los argumentos expuestos reproducen los ya analizados por la Dirección de Gestión Jurídica en el Concepto 006879 – </w:t>
      </w:r>
      <w:proofErr w:type="spellStart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del 27/11/2023, sin aportar elementos jurídicos nuevos que conduzcan a modificar la doctrina vigente. En consecuencia, se debe atener a lo manifestado en dicho pronunciamiento.</w:t>
      </w:r>
    </w:p>
    <w:p w14:paraId="6693D779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50BE1FDD" w14:textId="77777777" w:rsidR="00D95939" w:rsidRPr="00D95939" w:rsidRDefault="00D95939" w:rsidP="00D95939">
      <w:pPr>
        <w:numPr>
          <w:ilvl w:val="0"/>
          <w:numId w:val="6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efecto, se insiste en extender la exención prevista en el numeral 11 del artículo 879 del Estatuto Tributario a los desembolsos de crédito abonados a depósitos de bajo monto, con fundamento en una interpretación finalista y extensiva, en aplicación del Oficio 905902 - </w:t>
      </w:r>
      <w:proofErr w:type="spellStart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556 de 2020, no obstante, este argumento ya fue objeto de análisis y desestimación. Dicho criterio se aplicó en un contexto distinto —numerales 25 y 27— en el que existió una sustitución, circunstancia que no se presenta respecto del numeral 11. Aunado a ello, no se han presentado cambios normativos en la materia entre la expedición del citado concepto en 2023 y la fecha, que justifiquen una variación doctrinal.</w:t>
      </w:r>
    </w:p>
    <w:p w14:paraId="28D93222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F651BD1" w14:textId="77777777" w:rsidR="00D95939" w:rsidRPr="00D95939" w:rsidRDefault="00D95939" w:rsidP="00D95939">
      <w:pPr>
        <w:numPr>
          <w:ilvl w:val="0"/>
          <w:numId w:val="7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Así mismo, no resulta jurídicamente viable asimilar los depósitos de bajo monto a las cuentas de ahorro o corrientes, por tratarse de productos diferenciados en el ordenamiento financiero. En materia tributaria, las exenciones son de interpretación restrictiva y solo proceden en los términos expresamente previstos en la ley, sin que sea posible extender su alcance por vía interpretativa.</w:t>
      </w:r>
    </w:p>
    <w:p w14:paraId="54E8F61E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836CAE6" w14:textId="77777777" w:rsidR="00D95939" w:rsidRPr="00D95939" w:rsidRDefault="00D95939" w:rsidP="00D95939">
      <w:pPr>
        <w:numPr>
          <w:ilvl w:val="0"/>
          <w:numId w:val="8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consecuencia, este Despacho indica que la interpretación contenida en el Concepto 006879 de 2023, la cual confirma lo señalado en los Oficios 901688 de 2022 y 000153 de 2023, corresponde a la doctrina oficial vigente en la materia.</w:t>
      </w:r>
    </w:p>
    <w:p w14:paraId="39127F8B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5B3D4DC" w14:textId="77777777" w:rsidR="00D95939" w:rsidRPr="00D95939" w:rsidRDefault="00D95939" w:rsidP="00D95939">
      <w:pPr>
        <w:numPr>
          <w:ilvl w:val="0"/>
          <w:numId w:val="9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los anteriores términos se absuelve su petición y se recuerda que la normativa, jurisprudencia y doctrina en materia tributaria, aduanera y </w:t>
      </w: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de fiscalización cambiaria, en lo de competencia de esta Entidad, puede consultarse en el normograma DIAN: https://normograma.dian.gov.co/dian/.</w:t>
      </w:r>
    </w:p>
    <w:p w14:paraId="2EF9BBD6" w14:textId="77777777" w:rsidR="00D95939" w:rsidRPr="00D95939" w:rsidRDefault="00D95939" w:rsidP="00D95939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DA7D842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Atentamente,</w:t>
      </w:r>
    </w:p>
    <w:p w14:paraId="6B203BCF" w14:textId="77777777" w:rsidR="00D95939" w:rsidRPr="00D95939" w:rsidRDefault="00D95939" w:rsidP="00D95939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EA35A40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INGRID CASTAÑEDA CEPEDA</w:t>
      </w:r>
    </w:p>
    <w:p w14:paraId="6BCA3239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Subdirectora de Normativa y Doctrina (A)</w:t>
      </w:r>
    </w:p>
    <w:p w14:paraId="46F5A0E7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Subdirección de Normativa y Doctrina</w:t>
      </w:r>
    </w:p>
    <w:p w14:paraId="582AA2D8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Dirección de Gestión Jurídica</w:t>
      </w:r>
    </w:p>
    <w:p w14:paraId="76B62C01" w14:textId="77777777" w:rsidR="00D95939" w:rsidRPr="00D95939" w:rsidRDefault="00D95939" w:rsidP="00D95939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95939">
        <w:rPr>
          <w:rFonts w:ascii="Verdana" w:eastAsia="Times New Roman" w:hAnsi="Verdana" w:cs="Times New Roman"/>
          <w:color w:val="000000"/>
          <w:kern w:val="0"/>
          <w:u w:val="single"/>
          <w:lang w:val="es-CO" w:eastAsia="es-MX"/>
          <w14:ligatures w14:val="none"/>
        </w:rPr>
        <w:t>www.dian.gov.co</w:t>
      </w:r>
    </w:p>
    <w:p w14:paraId="45C32603" w14:textId="77777777" w:rsidR="00D95939" w:rsidRPr="00D95939" w:rsidRDefault="00D95939" w:rsidP="00D95939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87139DF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7370C73"/>
    <w:multiLevelType w:val="multilevel"/>
    <w:tmpl w:val="86249A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17455E"/>
    <w:multiLevelType w:val="multilevel"/>
    <w:tmpl w:val="D0E0AE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C4461"/>
    <w:multiLevelType w:val="multilevel"/>
    <w:tmpl w:val="14F2DB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1C3652"/>
    <w:multiLevelType w:val="multilevel"/>
    <w:tmpl w:val="28F00B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9B2CA6"/>
    <w:multiLevelType w:val="multilevel"/>
    <w:tmpl w:val="1294216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000CDC"/>
    <w:multiLevelType w:val="multilevel"/>
    <w:tmpl w:val="F24264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ED1271"/>
    <w:multiLevelType w:val="multilevel"/>
    <w:tmpl w:val="6C8E05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7236E8"/>
    <w:multiLevelType w:val="multilevel"/>
    <w:tmpl w:val="3B7A3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DC389C"/>
    <w:multiLevelType w:val="multilevel"/>
    <w:tmpl w:val="F306C3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9972850">
    <w:abstractNumId w:val="7"/>
  </w:num>
  <w:num w:numId="2" w16cid:durableId="1091395125">
    <w:abstractNumId w:val="8"/>
    <w:lvlOverride w:ilvl="0">
      <w:lvl w:ilvl="0">
        <w:numFmt w:val="decimal"/>
        <w:lvlText w:val="%1."/>
        <w:lvlJc w:val="left"/>
      </w:lvl>
    </w:lvlOverride>
  </w:num>
  <w:num w:numId="3" w16cid:durableId="97650976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01135635">
    <w:abstractNumId w:val="0"/>
    <w:lvlOverride w:ilvl="0">
      <w:lvl w:ilvl="0">
        <w:numFmt w:val="decimal"/>
        <w:lvlText w:val="%1."/>
        <w:lvlJc w:val="left"/>
      </w:lvl>
    </w:lvlOverride>
  </w:num>
  <w:num w:numId="5" w16cid:durableId="150416832">
    <w:abstractNumId w:val="6"/>
    <w:lvlOverride w:ilvl="0">
      <w:lvl w:ilvl="0">
        <w:numFmt w:val="decimal"/>
        <w:lvlText w:val="%1."/>
        <w:lvlJc w:val="left"/>
      </w:lvl>
    </w:lvlOverride>
  </w:num>
  <w:num w:numId="6" w16cid:durableId="378744919">
    <w:abstractNumId w:val="1"/>
    <w:lvlOverride w:ilvl="0">
      <w:lvl w:ilvl="0">
        <w:numFmt w:val="decimal"/>
        <w:lvlText w:val="%1."/>
        <w:lvlJc w:val="left"/>
      </w:lvl>
    </w:lvlOverride>
  </w:num>
  <w:num w:numId="7" w16cid:durableId="140998225">
    <w:abstractNumId w:val="2"/>
    <w:lvlOverride w:ilvl="0">
      <w:lvl w:ilvl="0">
        <w:numFmt w:val="decimal"/>
        <w:lvlText w:val="%1."/>
        <w:lvlJc w:val="left"/>
      </w:lvl>
    </w:lvlOverride>
  </w:num>
  <w:num w:numId="8" w16cid:durableId="689533365">
    <w:abstractNumId w:val="4"/>
    <w:lvlOverride w:ilvl="0">
      <w:lvl w:ilvl="0">
        <w:numFmt w:val="decimal"/>
        <w:lvlText w:val="%1."/>
        <w:lvlJc w:val="left"/>
      </w:lvl>
    </w:lvlOverride>
  </w:num>
  <w:num w:numId="9" w16cid:durableId="649601941">
    <w:abstractNumId w:val="5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939"/>
    <w:rsid w:val="000B2285"/>
    <w:rsid w:val="00537D8F"/>
    <w:rsid w:val="00796344"/>
    <w:rsid w:val="00B83A7B"/>
    <w:rsid w:val="00D95939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E1B0EA"/>
  <w14:defaultImageDpi w14:val="32767"/>
  <w15:chartTrackingRefBased/>
  <w15:docId w15:val="{370AFA7E-E53E-B947-9632-1C05E3D4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95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5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59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5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59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59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59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59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59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59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59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59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593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593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59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593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59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59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959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5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959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5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959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593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9593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593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59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593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9593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93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D95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711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2026-06-25T13:30:00Z</dcterms:created>
  <dcterms:modified xsi:type="dcterms:W3CDTF">2026-06-25T13:31:00Z</dcterms:modified>
</cp:coreProperties>
</file>