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AB45EF"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color w:val="000000"/>
          <w:kern w:val="0"/>
          <w:lang w:val="es-CO" w:eastAsia="es-MX"/>
          <w14:ligatures w14:val="none"/>
        </w:rPr>
        <w:t>CONCEPTO 13450 DEL 13 DE FEBRERO DE 2026</w:t>
      </w:r>
    </w:p>
    <w:p w14:paraId="4FA69F1D"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color w:val="000000"/>
          <w:kern w:val="0"/>
          <w:lang w:val="es-CO" w:eastAsia="es-MX"/>
          <w14:ligatures w14:val="none"/>
        </w:rPr>
        <w:t>DIRECCIÓN DE APOYO FISCAL -DAF-</w:t>
      </w:r>
    </w:p>
    <w:p w14:paraId="46330BB4"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2F54CF02"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Bogotá, D.C.</w:t>
      </w:r>
    </w:p>
    <w:p w14:paraId="639658AA"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19D462E7"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Señor</w:t>
      </w:r>
    </w:p>
    <w:p w14:paraId="03E2F60A"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color w:val="000000"/>
          <w:kern w:val="0"/>
          <w:lang w:val="es-CO" w:eastAsia="es-MX"/>
          <w14:ligatures w14:val="none"/>
        </w:rPr>
        <w:t xml:space="preserve">Daniel </w:t>
      </w:r>
      <w:proofErr w:type="spellStart"/>
      <w:r w:rsidRPr="00C50186">
        <w:rPr>
          <w:rFonts w:ascii="Verdana" w:eastAsia="Times New Roman" w:hAnsi="Verdana" w:cs="Times New Roman"/>
          <w:b/>
          <w:bCs/>
          <w:color w:val="000000"/>
          <w:kern w:val="0"/>
          <w:lang w:val="es-CO" w:eastAsia="es-MX"/>
          <w14:ligatures w14:val="none"/>
        </w:rPr>
        <w:t>Jimenez</w:t>
      </w:r>
      <w:proofErr w:type="spellEnd"/>
    </w:p>
    <w:p w14:paraId="35058100"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u w:val="single"/>
          <w:lang w:val="es-CO" w:eastAsia="es-MX"/>
          <w14:ligatures w14:val="none"/>
        </w:rPr>
        <w:t>vale3000@gmail.com</w:t>
      </w:r>
    </w:p>
    <w:p w14:paraId="2F32ACA6"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4616395E" w14:textId="77777777" w:rsidR="00C50186" w:rsidRPr="00C50186" w:rsidRDefault="00C50186" w:rsidP="00C50186">
      <w:pPr>
        <w:jc w:val="right"/>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Radicado entrada 1-2026-007635</w:t>
      </w:r>
    </w:p>
    <w:p w14:paraId="5DA3958D" w14:textId="77777777" w:rsidR="00C50186" w:rsidRPr="00C50186" w:rsidRDefault="00C50186" w:rsidP="00C50186">
      <w:pPr>
        <w:jc w:val="right"/>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No. Expediente 1813/2026/GEA</w:t>
      </w:r>
    </w:p>
    <w:p w14:paraId="67AD2A39"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7939AB0A"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color w:val="000000"/>
          <w:kern w:val="0"/>
          <w:lang w:val="es-CO" w:eastAsia="es-MX"/>
          <w14:ligatures w14:val="none"/>
        </w:rPr>
        <w:t>Tema:</w:t>
      </w:r>
      <w:r w:rsidRPr="00C50186">
        <w:rPr>
          <w:rFonts w:ascii="Verdana" w:eastAsia="Times New Roman" w:hAnsi="Verdana" w:cs="Times New Roman"/>
          <w:b/>
          <w:bCs/>
          <w:color w:val="000000"/>
          <w:kern w:val="0"/>
          <w:lang w:val="es-CO" w:eastAsia="es-MX"/>
          <w14:ligatures w14:val="none"/>
        </w:rPr>
        <w:tab/>
      </w:r>
      <w:r w:rsidRPr="00C50186">
        <w:rPr>
          <w:rFonts w:ascii="Verdana" w:eastAsia="Times New Roman" w:hAnsi="Verdana" w:cs="Times New Roman"/>
          <w:color w:val="000000"/>
          <w:kern w:val="0"/>
          <w:lang w:val="es-CO" w:eastAsia="es-MX"/>
          <w14:ligatures w14:val="none"/>
        </w:rPr>
        <w:t>Impuesto predial unificado</w:t>
      </w:r>
    </w:p>
    <w:p w14:paraId="346392C6"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color w:val="000000"/>
          <w:kern w:val="0"/>
          <w:lang w:val="es-CO" w:eastAsia="es-MX"/>
          <w14:ligatures w14:val="none"/>
        </w:rPr>
        <w:t>Subtema:</w:t>
      </w:r>
      <w:r w:rsidRPr="00C50186">
        <w:rPr>
          <w:rFonts w:ascii="Verdana" w:eastAsia="Times New Roman" w:hAnsi="Verdana" w:cs="Times New Roman"/>
          <w:b/>
          <w:bCs/>
          <w:color w:val="000000"/>
          <w:kern w:val="0"/>
          <w:lang w:val="es-CO" w:eastAsia="es-MX"/>
          <w14:ligatures w14:val="none"/>
        </w:rPr>
        <w:tab/>
      </w:r>
      <w:r w:rsidRPr="00C50186">
        <w:rPr>
          <w:rFonts w:ascii="Verdana" w:eastAsia="Times New Roman" w:hAnsi="Verdana" w:cs="Times New Roman"/>
          <w:color w:val="000000"/>
          <w:kern w:val="0"/>
          <w:lang w:val="es-CO" w:eastAsia="es-MX"/>
          <w14:ligatures w14:val="none"/>
        </w:rPr>
        <w:t>Devolución</w:t>
      </w:r>
    </w:p>
    <w:p w14:paraId="6B027E3C"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59B1A880"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Cordial saludo:</w:t>
      </w:r>
    </w:p>
    <w:p w14:paraId="0F9A1523"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2529A301"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Haciendo referencia a La situación particular de un predio adquirido por usted en el año 2013, y que de acuerdo con su relato fue objeto de un proceso de clarificación de la propiedad por parte de la Agencia Nacional de Tierras que culminó en la declaratoria de baldío efectúa usted una serie de consultas.</w:t>
      </w:r>
    </w:p>
    <w:p w14:paraId="495F152F"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5FBC9246"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 xml:space="preserve">Al respecto, le comunicamos que, si bien es cierto dentro de las funciones asignadas a esta Dirección, está la de prestar asesoría en materia tributaria y financiera, es igualmente cierto que la misma se dirige puntualmente a las entidades territoriales sin que en momento alguno se haga extensiva a los particulares. Lo anterior, conforme con lo señalado por la jurisdicción de lo contencioso administrativo, al expresar que </w:t>
      </w:r>
      <w:r w:rsidRPr="00C50186">
        <w:rPr>
          <w:rFonts w:ascii="Verdana" w:eastAsia="Times New Roman" w:hAnsi="Verdana" w:cs="Times New Roman"/>
          <w:i/>
          <w:iCs/>
          <w:color w:val="000000"/>
          <w:kern w:val="0"/>
          <w:lang w:val="es-CO" w:eastAsia="es-MX"/>
          <w14:ligatures w14:val="none"/>
        </w:rPr>
        <w:t>“…analizado el marco de las competencias de la entidad, la Subdirección de Fortalecimiento Institucional Territorial de la Dirección General de Apoyo Fiscal no tiene dentro de sus funciones asesorar a particulares”.</w:t>
      </w:r>
    </w:p>
    <w:p w14:paraId="60447E57"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3EAFB38F"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No obstante lo anterior, en respeto al derecho de petición que como ciudadano le asiste, atenderemos sus consultas de manera general y abstracta en los términos y con los estrictos alcances de los artículos 14-2 y 28 del Código de Procedimiento Administrativo y de lo Contencioso Administrativo, por lo que no tienen efectos obligatorios ni vinculantes, no comprometen la responsabilidad de este Ministerio. Consulta usted:</w:t>
      </w:r>
    </w:p>
    <w:p w14:paraId="75885AA0"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0B0998A0"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i/>
          <w:iCs/>
          <w:color w:val="000000"/>
          <w:kern w:val="0"/>
          <w:lang w:val="es-CO" w:eastAsia="es-MX"/>
          <w14:ligatures w14:val="none"/>
        </w:rPr>
        <w:t xml:space="preserve">“A. Teniendo en cuenta lo anterior ¿me encuentro obligado en la actualidad a seguir pagando los impuestos prediales del predio, </w:t>
      </w:r>
      <w:proofErr w:type="spellStart"/>
      <w:r w:rsidRPr="00C50186">
        <w:rPr>
          <w:rFonts w:ascii="Verdana" w:eastAsia="Times New Roman" w:hAnsi="Verdana" w:cs="Times New Roman"/>
          <w:b/>
          <w:bCs/>
          <w:i/>
          <w:iCs/>
          <w:color w:val="000000"/>
          <w:kern w:val="0"/>
          <w:lang w:val="es-CO" w:eastAsia="es-MX"/>
          <w14:ligatures w14:val="none"/>
        </w:rPr>
        <w:t>aún</w:t>
      </w:r>
      <w:proofErr w:type="spellEnd"/>
      <w:r w:rsidRPr="00C50186">
        <w:rPr>
          <w:rFonts w:ascii="Verdana" w:eastAsia="Times New Roman" w:hAnsi="Verdana" w:cs="Times New Roman"/>
          <w:b/>
          <w:bCs/>
          <w:i/>
          <w:iCs/>
          <w:color w:val="000000"/>
          <w:kern w:val="0"/>
          <w:lang w:val="es-CO" w:eastAsia="es-MX"/>
          <w14:ligatures w14:val="none"/>
        </w:rPr>
        <w:t xml:space="preserve"> cuando tengo que devolverlo al Estado?</w:t>
      </w:r>
    </w:p>
    <w:p w14:paraId="0A30E634"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10FC1596"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lastRenderedPageBreak/>
        <w:t>En relación con este tema consideramos que para determinar en cabeza de quién se causa el impuesto en cada año deberá verificarse la realidad del predio a 1 de enero de cada año, teniendo en cuenta la situación física y jurídica del predio.</w:t>
      </w:r>
    </w:p>
    <w:p w14:paraId="31D4D3EA"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4CD2893B"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Así lo ha señalado el Consejo de Estado:</w:t>
      </w:r>
    </w:p>
    <w:p w14:paraId="43E77260"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211BB3D4"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i/>
          <w:iCs/>
          <w:color w:val="000000"/>
          <w:kern w:val="0"/>
          <w:sz w:val="22"/>
          <w:szCs w:val="22"/>
          <w:lang w:val="es-CO" w:eastAsia="es-MX"/>
          <w14:ligatures w14:val="none"/>
        </w:rPr>
        <w:t xml:space="preserve">“… esta Sección precisó que el catastro es la principal fuente de información a la que se debe acudir para cuantificar el impuesto, sin embargo, cuando las circunstancias reales del inmueble al momento de la </w:t>
      </w:r>
      <w:proofErr w:type="spellStart"/>
      <w:r w:rsidRPr="00C50186">
        <w:rPr>
          <w:rFonts w:ascii="Verdana" w:eastAsia="Times New Roman" w:hAnsi="Verdana" w:cs="Times New Roman"/>
          <w:i/>
          <w:iCs/>
          <w:color w:val="000000"/>
          <w:kern w:val="0"/>
          <w:sz w:val="22"/>
          <w:szCs w:val="22"/>
          <w:lang w:val="es-CO" w:eastAsia="es-MX"/>
          <w14:ligatures w14:val="none"/>
        </w:rPr>
        <w:t>causación</w:t>
      </w:r>
      <w:proofErr w:type="spellEnd"/>
      <w:r w:rsidRPr="00C50186">
        <w:rPr>
          <w:rFonts w:ascii="Verdana" w:eastAsia="Times New Roman" w:hAnsi="Verdana" w:cs="Times New Roman"/>
          <w:i/>
          <w:iCs/>
          <w:color w:val="000000"/>
          <w:kern w:val="0"/>
          <w:sz w:val="22"/>
          <w:szCs w:val="22"/>
          <w:lang w:val="es-CO" w:eastAsia="es-MX"/>
          <w14:ligatures w14:val="none"/>
        </w:rPr>
        <w:t xml:space="preserve"> del tributo, difieren de las registradas en la información catastral, deben prevalecer las primeras.”</w:t>
      </w:r>
    </w:p>
    <w:p w14:paraId="3ECE9585"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164AF06D"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Así las cosas, si el proceso de clarificación de la propiedad al que hace referencia en su consulta ya culminó, y al momento de causación del impuesto se encuentra consolidada la propiedad en cabeza de la Nación, ésta realidad deberá reconocerse por la administración municipal al momento de la liquidación del impuesto.</w:t>
      </w:r>
    </w:p>
    <w:p w14:paraId="53F648A8"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2A4E44AD"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Ahora bien, es necesario tener en cuenta que se pueden presentar diferentes situaciones en relación con el predio, dentro de las que consideramos particularmente, por los términos de su consulta, la posible existencia de construcciones en situación de informalidad, respecto de las cuales se ejerza la tenencia por parte de particulares.</w:t>
      </w:r>
    </w:p>
    <w:p w14:paraId="17AD6D0D"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733D5B25"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En ese caso, el bien podría encontrarse en el supuesto del artículo 4.6.18 de la Resolución 1040 de 2023, que señala:</w:t>
      </w:r>
    </w:p>
    <w:p w14:paraId="13DE88F7"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5B391C35"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i/>
          <w:iCs/>
          <w:color w:val="000000"/>
          <w:kern w:val="0"/>
          <w:sz w:val="22"/>
          <w:szCs w:val="22"/>
          <w:lang w:val="es-CO" w:eastAsia="es-MX"/>
          <w14:ligatures w14:val="none"/>
        </w:rPr>
        <w:t>ARTÍCULO 4.6.18. INSCRIPCIÓN CATASTRAL DE INFORMALIDAD POR POSESIONES Y OCUPACIONES. Las posesiones y ocupaciones se inscribirán en la base de datos catastral a nombre de aquellas personas que acrediten este tipo de relación de tenencia mediante cualquier medio probatorio legalmente aceptado.</w:t>
      </w:r>
    </w:p>
    <w:p w14:paraId="38FC0B19"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i/>
          <w:iCs/>
          <w:color w:val="000000"/>
          <w:kern w:val="0"/>
          <w:sz w:val="22"/>
          <w:szCs w:val="22"/>
          <w:lang w:val="es-CO" w:eastAsia="es-MX"/>
          <w14:ligatures w14:val="none"/>
        </w:rPr>
        <w:t>Las posesiones tendrán lugar respecto de predios de naturaleza privada, mientras que las ocupaciones se darán en predios de naturaleza pública, propiedad de la Nación o de entidades u organismos de derecho público. Estos predios pueden ser de naturaleza baldía, presuntamente baldía, fiscal patrimonial o de uso público.</w:t>
      </w:r>
    </w:p>
    <w:p w14:paraId="3842A2DD"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i/>
          <w:iCs/>
          <w:color w:val="000000"/>
          <w:kern w:val="0"/>
          <w:sz w:val="22"/>
          <w:szCs w:val="22"/>
          <w:lang w:val="es-CO" w:eastAsia="es-MX"/>
          <w14:ligatures w14:val="none"/>
        </w:rPr>
        <w:t xml:space="preserve">Los gestores catastrales deberán establecer los polígonos y áreas que constituyen las posesiones u ocupaciones en los predios, sean de naturaleza jurídica privada o pública, donde se identifiquen poseedores u ocupantes, respectivamente. Así mismo, deberán registrar las unidades de construcción presentes en dichos predios, junto con sus atributos, y establecer la propiedad de estas últimas conforme a lo previsto en el anexo 8 de la presente resolución. En el caso de unidades de construcción erigidas en terrenos ajenos de propiedad privada por parte de tenedores </w:t>
      </w:r>
      <w:r w:rsidRPr="00C50186">
        <w:rPr>
          <w:rFonts w:ascii="Verdana" w:eastAsia="Times New Roman" w:hAnsi="Verdana" w:cs="Times New Roman"/>
          <w:i/>
          <w:iCs/>
          <w:color w:val="000000"/>
          <w:kern w:val="0"/>
          <w:sz w:val="22"/>
          <w:szCs w:val="22"/>
          <w:lang w:val="es-CO" w:eastAsia="es-MX"/>
          <w14:ligatures w14:val="none"/>
        </w:rPr>
        <w:lastRenderedPageBreak/>
        <w:t>que no puedan demostrar su calidad de poseedores, dichas unidades serán inscritas a nombre del titular de derecho de dominio del predio en cuestión, en su carácter de formalidad.</w:t>
      </w:r>
    </w:p>
    <w:p w14:paraId="6F6EB786"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i/>
          <w:iCs/>
          <w:color w:val="000000"/>
          <w:kern w:val="0"/>
          <w:sz w:val="22"/>
          <w:szCs w:val="22"/>
          <w:lang w:val="es-CO" w:eastAsia="es-MX"/>
          <w14:ligatures w14:val="none"/>
        </w:rPr>
        <w:t>PARÁGRAFO 1o. Para todos los efectos la identificación de la naturaleza de los predios y de las relaciones de tenencia de posesión u ocupación son de referencia o indicativas para los usuarios de la información catastral y serán tenidas en cuenta como insumo que deberá ser revisado y validado por las autoridades competentes.</w:t>
      </w:r>
    </w:p>
    <w:p w14:paraId="05837536"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i/>
          <w:iCs/>
          <w:color w:val="000000"/>
          <w:kern w:val="0"/>
          <w:sz w:val="22"/>
          <w:szCs w:val="22"/>
          <w:lang w:val="es-CO" w:eastAsia="es-MX"/>
          <w14:ligatures w14:val="none"/>
        </w:rPr>
        <w:t>PARÁGRAFO 2o. No se podrán inscribir en condición de informalidad las construcciones realizadas por los propietarios de cuotas proindiviso y se inscribirán en cabeza de todos los titulares del derecho de dominio.</w:t>
      </w:r>
    </w:p>
    <w:p w14:paraId="1F3450E4"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350FFE1D"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Si el predio de su interés se encuentra en esa situación existirán dos cédulas catastrales: una del terreno y otra de la posesión u ocupación.</w:t>
      </w:r>
    </w:p>
    <w:p w14:paraId="41947CB8"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7881850B"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De ser así, quien ostente la tenencia de la posesión u ocupación será sujeto pasivo del impuesto predial, pero únicamente en relación con las construcciones reconocidas por la autoridad catastral, que no sobre el terreno.</w:t>
      </w:r>
    </w:p>
    <w:p w14:paraId="1BD9EDE9"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1288C150"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Insistimos en que deberá analizarse de maneral detallada la situación del predio por parte de la autoridad municipal para determinar si se causa o no el impuesto y en cabeza de quien.</w:t>
      </w:r>
    </w:p>
    <w:p w14:paraId="236CE059"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22E77859"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i/>
          <w:iCs/>
          <w:color w:val="000000"/>
          <w:kern w:val="0"/>
          <w:lang w:val="es-CO" w:eastAsia="es-MX"/>
          <w14:ligatures w14:val="none"/>
        </w:rPr>
        <w:t>“B. Así mismo ¿me podrían indicar si desde el 2013 y hasta la actualidad,</w:t>
      </w:r>
    </w:p>
    <w:p w14:paraId="2500A2C9"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i/>
          <w:iCs/>
          <w:color w:val="000000"/>
          <w:kern w:val="0"/>
          <w:lang w:val="es-CO" w:eastAsia="es-MX"/>
          <w14:ligatures w14:val="none"/>
        </w:rPr>
        <w:t>estaba obligado a pagar el impuesto predial del predio?</w:t>
      </w:r>
    </w:p>
    <w:p w14:paraId="2471B231"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i/>
          <w:iCs/>
          <w:color w:val="000000"/>
          <w:kern w:val="0"/>
          <w:lang w:val="es-CO" w:eastAsia="es-MX"/>
          <w14:ligatures w14:val="none"/>
        </w:rPr>
        <w:t>C. Con relación a las competencias de la Dirección ¿puedo exigirle a la Alcaldía de Puerto Gaitán que me devuelva el valor total pagado por impuestos prediales desde 2013?</w:t>
      </w:r>
    </w:p>
    <w:p w14:paraId="38CDCBFB"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i/>
          <w:iCs/>
          <w:color w:val="000000"/>
          <w:kern w:val="0"/>
          <w:lang w:val="es-CO" w:eastAsia="es-MX"/>
          <w14:ligatures w14:val="none"/>
        </w:rPr>
        <w:t>D. En caso de que la pregunta anterior resulte afirmativa ¿Puedo solicitar la devolución del valor total pagado en impuestos prediales, o no resulta pertinente adelantar esta solicitud con relación a los impuestos prediales de los primeros años?</w:t>
      </w:r>
    </w:p>
    <w:p w14:paraId="4A172F47" w14:textId="77777777" w:rsidR="00C50186" w:rsidRPr="00C50186" w:rsidRDefault="00C50186" w:rsidP="00C50186">
      <w:pPr>
        <w:ind w:left="709"/>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i/>
          <w:iCs/>
          <w:color w:val="000000"/>
          <w:kern w:val="0"/>
          <w:lang w:val="es-CO" w:eastAsia="es-MX"/>
          <w14:ligatures w14:val="none"/>
        </w:rPr>
        <w:t>E. En caso de que la Alcaldía de Puerto Gaitán me diga que no me puede devolver los valores pagados por concepto del impuesto predial del predio, en el criterio de la Dirección ¿puedo adelantar alguna acción judicial o administrativa ante otras entidades del Estado para que me restituyan el valor pagado?</w:t>
      </w:r>
    </w:p>
    <w:p w14:paraId="767DA17D"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4CA92B6D"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Como se señaló en relación con la consulta anterior, el impuesto predial se causa conforme con la realidad vigente a 1 de enero de cada año.</w:t>
      </w:r>
    </w:p>
    <w:p w14:paraId="10F3C78C"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733AFC41"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lastRenderedPageBreak/>
        <w:t>En esa medida, si entre el año 2013 y la actualidad usted ostentaba la calidad de propietario o poseedor del predio por no haberse surtido el procedimiento de saneamiento de la propiedad adelantado por la Agencia Nacional de Tierras, en criterio de esta Dirección no se presentaría la existencia de un pago de lo no debido que diera lugar a la devolución de los impuestos pagados.</w:t>
      </w:r>
    </w:p>
    <w:p w14:paraId="38EC44DF"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5B1AF135"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Finalmente le recordamos que las respuestas emitidas por este Despacho se dan en los términos y con los estrictos alcances de los artículos 14-2 y 28 del Código de Procedimiento Administrativo y de lo Contencioso Administrativo, por lo que son generales, no tienen efectos obligatorios ni vinculantes, no comprometen la responsabilidad de este Ministerio y pueden ser consultados en www.minhacienda.gov.co, siguiendo la ruta Procesos Misionales / Apoyo Fiscal Territorial / Conceptos en materia tributaria.</w:t>
      </w:r>
    </w:p>
    <w:p w14:paraId="33A4620F" w14:textId="77777777" w:rsidR="00C50186" w:rsidRPr="00C50186" w:rsidRDefault="00C50186" w:rsidP="00C50186">
      <w:pPr>
        <w:spacing w:after="240"/>
        <w:rPr>
          <w:rFonts w:ascii="Times New Roman" w:eastAsia="Times New Roman" w:hAnsi="Times New Roman" w:cs="Times New Roman"/>
          <w:kern w:val="0"/>
          <w:lang w:val="es-CO" w:eastAsia="es-MX"/>
          <w14:ligatures w14:val="none"/>
        </w:rPr>
      </w:pPr>
    </w:p>
    <w:p w14:paraId="4452B131"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Cordialmente</w:t>
      </w:r>
    </w:p>
    <w:p w14:paraId="3364732D" w14:textId="77777777" w:rsidR="00C50186" w:rsidRPr="00C50186" w:rsidRDefault="00C50186" w:rsidP="00C50186">
      <w:pPr>
        <w:spacing w:after="240"/>
        <w:rPr>
          <w:rFonts w:ascii="Times New Roman" w:eastAsia="Times New Roman" w:hAnsi="Times New Roman" w:cs="Times New Roman"/>
          <w:kern w:val="0"/>
          <w:lang w:val="es-CO" w:eastAsia="es-MX"/>
          <w14:ligatures w14:val="none"/>
        </w:rPr>
      </w:pPr>
      <w:r w:rsidRPr="00C50186">
        <w:rPr>
          <w:rFonts w:ascii="Times New Roman" w:eastAsia="Times New Roman" w:hAnsi="Times New Roman" w:cs="Times New Roman"/>
          <w:kern w:val="0"/>
          <w:lang w:val="es-CO" w:eastAsia="es-MX"/>
          <w14:ligatures w14:val="none"/>
        </w:rPr>
        <w:br/>
      </w:r>
    </w:p>
    <w:p w14:paraId="2FA35F0A"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b/>
          <w:bCs/>
          <w:color w:val="000000"/>
          <w:kern w:val="0"/>
          <w:lang w:val="es-CO" w:eastAsia="es-MX"/>
          <w14:ligatures w14:val="none"/>
        </w:rPr>
        <w:t>CLAUDIA HELENA OTÁLORA CRISTANCHO</w:t>
      </w:r>
    </w:p>
    <w:p w14:paraId="2981C65F"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Subdirectora de Fortalecimiento Institucional Territorial</w:t>
      </w:r>
    </w:p>
    <w:p w14:paraId="72A3E5C7" w14:textId="77777777" w:rsidR="00C50186" w:rsidRPr="00C50186" w:rsidRDefault="00C50186" w:rsidP="00C50186">
      <w:pPr>
        <w:jc w:val="both"/>
        <w:rPr>
          <w:rFonts w:ascii="Times New Roman" w:eastAsia="Times New Roman" w:hAnsi="Times New Roman" w:cs="Times New Roman"/>
          <w:kern w:val="0"/>
          <w:lang w:val="es-CO" w:eastAsia="es-MX"/>
          <w14:ligatures w14:val="none"/>
        </w:rPr>
      </w:pPr>
      <w:r w:rsidRPr="00C50186">
        <w:rPr>
          <w:rFonts w:ascii="Verdana" w:eastAsia="Times New Roman" w:hAnsi="Verdana" w:cs="Times New Roman"/>
          <w:color w:val="000000"/>
          <w:kern w:val="0"/>
          <w:lang w:val="es-CO" w:eastAsia="es-MX"/>
          <w14:ligatures w14:val="none"/>
        </w:rPr>
        <w:t>Dirección General de Apoyo Fiscal</w:t>
      </w:r>
    </w:p>
    <w:p w14:paraId="14B2F723" w14:textId="77777777" w:rsidR="00C50186" w:rsidRPr="00C50186" w:rsidRDefault="00C50186" w:rsidP="00C50186">
      <w:pPr>
        <w:rPr>
          <w:rFonts w:ascii="Times New Roman" w:eastAsia="Times New Roman" w:hAnsi="Times New Roman" w:cs="Times New Roman"/>
          <w:kern w:val="0"/>
          <w:lang w:val="es-CO" w:eastAsia="es-MX"/>
          <w14:ligatures w14:val="none"/>
        </w:rPr>
      </w:pPr>
    </w:p>
    <w:p w14:paraId="54EC521C" w14:textId="77777777" w:rsidR="00537D8F" w:rsidRDefault="00537D8F"/>
    <w:sectPr w:rsidR="00537D8F"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86"/>
    <w:rsid w:val="000B2285"/>
    <w:rsid w:val="00537D8F"/>
    <w:rsid w:val="00B83A7B"/>
    <w:rsid w:val="00C50186"/>
    <w:rsid w:val="00DD78AA"/>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E679050"/>
  <w14:defaultImageDpi w14:val="32767"/>
  <w15:chartTrackingRefBased/>
  <w15:docId w15:val="{1F1E6065-D028-C741-AE47-D3CE5BF0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01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501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5018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5018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5018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5018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018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018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018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018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5018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5018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5018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5018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501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501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501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50186"/>
    <w:rPr>
      <w:rFonts w:eastAsiaTheme="majorEastAsia" w:cstheme="majorBidi"/>
      <w:color w:val="272727" w:themeColor="text1" w:themeTint="D8"/>
    </w:rPr>
  </w:style>
  <w:style w:type="paragraph" w:styleId="Ttulo">
    <w:name w:val="Title"/>
    <w:basedOn w:val="Normal"/>
    <w:next w:val="Normal"/>
    <w:link w:val="TtuloCar"/>
    <w:uiPriority w:val="10"/>
    <w:qFormat/>
    <w:rsid w:val="00C5018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01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5018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01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5018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50186"/>
    <w:rPr>
      <w:i/>
      <w:iCs/>
      <w:color w:val="404040" w:themeColor="text1" w:themeTint="BF"/>
    </w:rPr>
  </w:style>
  <w:style w:type="paragraph" w:styleId="Prrafodelista">
    <w:name w:val="List Paragraph"/>
    <w:basedOn w:val="Normal"/>
    <w:uiPriority w:val="34"/>
    <w:qFormat/>
    <w:rsid w:val="00C50186"/>
    <w:pPr>
      <w:ind w:left="720"/>
      <w:contextualSpacing/>
    </w:pPr>
  </w:style>
  <w:style w:type="character" w:styleId="nfasisintenso">
    <w:name w:val="Intense Emphasis"/>
    <w:basedOn w:val="Fuentedeprrafopredeter"/>
    <w:uiPriority w:val="21"/>
    <w:qFormat/>
    <w:rsid w:val="00C50186"/>
    <w:rPr>
      <w:i/>
      <w:iCs/>
      <w:color w:val="2F5496" w:themeColor="accent1" w:themeShade="BF"/>
    </w:rPr>
  </w:style>
  <w:style w:type="paragraph" w:styleId="Citadestacada">
    <w:name w:val="Intense Quote"/>
    <w:basedOn w:val="Normal"/>
    <w:next w:val="Normal"/>
    <w:link w:val="CitadestacadaCar"/>
    <w:uiPriority w:val="30"/>
    <w:qFormat/>
    <w:rsid w:val="00C501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50186"/>
    <w:rPr>
      <w:i/>
      <w:iCs/>
      <w:color w:val="2F5496" w:themeColor="accent1" w:themeShade="BF"/>
    </w:rPr>
  </w:style>
  <w:style w:type="character" w:styleId="Referenciaintensa">
    <w:name w:val="Intense Reference"/>
    <w:basedOn w:val="Fuentedeprrafopredeter"/>
    <w:uiPriority w:val="32"/>
    <w:qFormat/>
    <w:rsid w:val="00C50186"/>
    <w:rPr>
      <w:b/>
      <w:bCs/>
      <w:smallCaps/>
      <w:color w:val="2F5496" w:themeColor="accent1" w:themeShade="BF"/>
      <w:spacing w:val="5"/>
    </w:rPr>
  </w:style>
  <w:style w:type="paragraph" w:styleId="NormalWeb">
    <w:name w:val="Normal (Web)"/>
    <w:basedOn w:val="Normal"/>
    <w:uiPriority w:val="99"/>
    <w:semiHidden/>
    <w:unhideWhenUsed/>
    <w:rsid w:val="00C50186"/>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C50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1181</Words>
  <Characters>6497</Characters>
  <Application>Microsoft Office Word</Application>
  <DocSecurity>0</DocSecurity>
  <Lines>54</Lines>
  <Paragraphs>15</Paragraphs>
  <ScaleCrop>false</ScaleCrop>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2026-07-21T14:56:00Z</dcterms:created>
  <dcterms:modified xsi:type="dcterms:W3CDTF">2026-07-21T14:58:00Z</dcterms:modified>
</cp:coreProperties>
</file>