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F59CB3"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b/>
          <w:bCs/>
          <w:color w:val="000000"/>
          <w:kern w:val="0"/>
          <w:lang w:val="es-CO" w:eastAsia="es-MX"/>
          <w14:ligatures w14:val="none"/>
        </w:rPr>
        <w:t>CONCEPTO 442 DEL 30 DE MARZO DE 2026</w:t>
      </w:r>
    </w:p>
    <w:p w14:paraId="0D897C29"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b/>
          <w:bCs/>
          <w:color w:val="000000"/>
          <w:kern w:val="0"/>
          <w:lang w:val="es-CO" w:eastAsia="es-MX"/>
          <w14:ligatures w14:val="none"/>
        </w:rPr>
        <w:t>DIRECCIÓN DE IMPUESTOS Y ADUANAS NACIONALES</w:t>
      </w:r>
    </w:p>
    <w:p w14:paraId="6E6CF168"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64760BAE"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Bogotá D.C.,</w:t>
      </w:r>
    </w:p>
    <w:p w14:paraId="1FAAF771"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7CE36CBC"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b/>
          <w:bCs/>
          <w:color w:val="000000"/>
          <w:kern w:val="0"/>
          <w:lang w:val="es-CO" w:eastAsia="es-MX"/>
          <w14:ligatures w14:val="none"/>
        </w:rPr>
        <w:t>Tema:</w:t>
      </w:r>
      <w:r w:rsidRPr="00BE413A">
        <w:rPr>
          <w:rFonts w:ascii="Verdana" w:eastAsia="Times New Roman" w:hAnsi="Verdana" w:cs="Times New Roman"/>
          <w:b/>
          <w:bCs/>
          <w:color w:val="000000"/>
          <w:kern w:val="0"/>
          <w:lang w:val="es-CO" w:eastAsia="es-MX"/>
          <w14:ligatures w14:val="none"/>
        </w:rPr>
        <w:tab/>
      </w:r>
      <w:r w:rsidRPr="00BE413A">
        <w:rPr>
          <w:rFonts w:ascii="Verdana" w:eastAsia="Times New Roman" w:hAnsi="Verdana" w:cs="Times New Roman"/>
          <w:b/>
          <w:bCs/>
          <w:color w:val="000000"/>
          <w:kern w:val="0"/>
          <w:lang w:val="es-CO" w:eastAsia="es-MX"/>
          <w14:ligatures w14:val="none"/>
        </w:rPr>
        <w:tab/>
      </w:r>
      <w:r w:rsidRPr="00BE413A">
        <w:rPr>
          <w:rFonts w:ascii="Verdana" w:eastAsia="Times New Roman" w:hAnsi="Verdana" w:cs="Times New Roman"/>
          <w:b/>
          <w:bCs/>
          <w:color w:val="000000"/>
          <w:kern w:val="0"/>
          <w:lang w:val="es-CO" w:eastAsia="es-MX"/>
          <w14:ligatures w14:val="none"/>
        </w:rPr>
        <w:tab/>
      </w:r>
      <w:r w:rsidRPr="00BE413A">
        <w:rPr>
          <w:rFonts w:ascii="Verdana" w:eastAsia="Times New Roman" w:hAnsi="Verdana" w:cs="Times New Roman"/>
          <w:color w:val="000000"/>
          <w:kern w:val="0"/>
          <w:lang w:val="es-CO" w:eastAsia="es-MX"/>
          <w14:ligatures w14:val="none"/>
        </w:rPr>
        <w:t>Impuesto sobre la renta</w:t>
      </w:r>
    </w:p>
    <w:p w14:paraId="3BCF5B76"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b/>
          <w:bCs/>
          <w:color w:val="000000"/>
          <w:kern w:val="0"/>
          <w:lang w:val="es-CO" w:eastAsia="es-MX"/>
          <w14:ligatures w14:val="none"/>
        </w:rPr>
        <w:t>Descriptores:</w:t>
      </w:r>
      <w:r w:rsidRPr="00BE413A">
        <w:rPr>
          <w:rFonts w:ascii="Verdana" w:eastAsia="Times New Roman" w:hAnsi="Verdana" w:cs="Times New Roman"/>
          <w:b/>
          <w:bCs/>
          <w:color w:val="000000"/>
          <w:kern w:val="0"/>
          <w:lang w:val="es-CO" w:eastAsia="es-MX"/>
          <w14:ligatures w14:val="none"/>
        </w:rPr>
        <w:tab/>
      </w:r>
      <w:r w:rsidRPr="00BE413A">
        <w:rPr>
          <w:rFonts w:ascii="Verdana" w:eastAsia="Times New Roman" w:hAnsi="Verdana" w:cs="Times New Roman"/>
          <w:b/>
          <w:bCs/>
          <w:color w:val="000000"/>
          <w:kern w:val="0"/>
          <w:lang w:val="es-CO" w:eastAsia="es-MX"/>
          <w14:ligatures w14:val="none"/>
        </w:rPr>
        <w:tab/>
      </w:r>
      <w:r w:rsidRPr="00BE413A">
        <w:rPr>
          <w:rFonts w:ascii="Verdana" w:eastAsia="Times New Roman" w:hAnsi="Verdana" w:cs="Times New Roman"/>
          <w:color w:val="000000"/>
          <w:kern w:val="0"/>
          <w:lang w:val="es-CO" w:eastAsia="es-MX"/>
          <w14:ligatures w14:val="none"/>
        </w:rPr>
        <w:t>Retención en la fuente socios gestores y ocultos</w:t>
      </w:r>
    </w:p>
    <w:p w14:paraId="1CF49EC0" w14:textId="77777777" w:rsidR="00BE413A" w:rsidRPr="00BE413A" w:rsidRDefault="00BE413A" w:rsidP="00BE413A">
      <w:pPr>
        <w:ind w:left="2836"/>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Aplicación proporcional de retenciones practicadas</w:t>
      </w:r>
    </w:p>
    <w:p w14:paraId="6F7B0044" w14:textId="77777777" w:rsidR="00BE413A" w:rsidRPr="00BE413A" w:rsidRDefault="00BE413A" w:rsidP="00BE413A">
      <w:pPr>
        <w:ind w:left="2836"/>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No declarantes</w:t>
      </w:r>
    </w:p>
    <w:p w14:paraId="5CC62CB5" w14:textId="77777777" w:rsidR="00BE413A" w:rsidRPr="00BE413A" w:rsidRDefault="00BE413A" w:rsidP="00BE413A">
      <w:pPr>
        <w:ind w:left="2127" w:firstLine="709"/>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No contribuyentes</w:t>
      </w:r>
    </w:p>
    <w:p w14:paraId="39AE0D45" w14:textId="77777777" w:rsidR="00BE413A" w:rsidRPr="00BE413A" w:rsidRDefault="00BE413A" w:rsidP="00BE413A">
      <w:pPr>
        <w:ind w:left="2127" w:firstLine="709"/>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Contratos de cuentas en participación</w:t>
      </w:r>
    </w:p>
    <w:p w14:paraId="653FF106"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b/>
          <w:bCs/>
          <w:color w:val="000000"/>
          <w:kern w:val="0"/>
          <w:lang w:val="es-CO" w:eastAsia="es-MX"/>
          <w14:ligatures w14:val="none"/>
        </w:rPr>
        <w:t>Fuentes formales:</w:t>
      </w:r>
      <w:r w:rsidRPr="00BE413A">
        <w:rPr>
          <w:rFonts w:ascii="Verdana" w:eastAsia="Times New Roman" w:hAnsi="Verdana" w:cs="Times New Roman"/>
          <w:b/>
          <w:bCs/>
          <w:color w:val="000000"/>
          <w:kern w:val="0"/>
          <w:lang w:val="es-CO" w:eastAsia="es-MX"/>
          <w14:ligatures w14:val="none"/>
        </w:rPr>
        <w:tab/>
      </w:r>
      <w:r w:rsidRPr="00BE413A">
        <w:rPr>
          <w:rFonts w:ascii="Verdana" w:eastAsia="Times New Roman" w:hAnsi="Verdana" w:cs="Times New Roman"/>
          <w:color w:val="000000"/>
          <w:kern w:val="0"/>
          <w:lang w:val="es-CO" w:eastAsia="es-MX"/>
          <w14:ligatures w14:val="none"/>
        </w:rPr>
        <w:t>Artículos 6 y 18 del Estatuto Tributario.</w:t>
      </w:r>
    </w:p>
    <w:p w14:paraId="610E4EAA" w14:textId="77777777" w:rsidR="00BE413A" w:rsidRPr="00BE413A" w:rsidRDefault="00BE413A" w:rsidP="00BE413A">
      <w:pPr>
        <w:ind w:left="2836"/>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Sentencia del 30 de agosto de 2024, Radicado: 11001-03-27-000-2021-00003-00 (26085). Sección Cuarta del Consejo de Estado.</w:t>
      </w:r>
    </w:p>
    <w:p w14:paraId="7CECC7A4"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22B3D065"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Cordial saludo,</w:t>
      </w:r>
    </w:p>
    <w:p w14:paraId="674E893B" w14:textId="77777777" w:rsidR="00BE413A" w:rsidRPr="00BE413A" w:rsidRDefault="00BE413A" w:rsidP="00BE413A">
      <w:pPr>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br/>
      </w:r>
    </w:p>
    <w:p w14:paraId="4AF394C5" w14:textId="77777777" w:rsidR="00BE413A" w:rsidRPr="00BE413A" w:rsidRDefault="00BE413A" w:rsidP="00BE413A">
      <w:pPr>
        <w:numPr>
          <w:ilvl w:val="0"/>
          <w:numId w:val="1"/>
        </w:numPr>
        <w:jc w:val="both"/>
        <w:textAlignment w:val="baseline"/>
        <w:rPr>
          <w:rFonts w:ascii="Verdana" w:eastAsia="Times New Roman" w:hAnsi="Verdana" w:cs="Times New Roman"/>
          <w:color w:val="000000"/>
          <w:kern w:val="0"/>
          <w:lang w:val="es-CO" w:eastAsia="es-MX"/>
          <w14:ligatures w14:val="none"/>
        </w:rPr>
      </w:pPr>
      <w:r w:rsidRPr="00BE413A">
        <w:rPr>
          <w:rFonts w:ascii="Verdana" w:eastAsia="Times New Roman" w:hAnsi="Verdana" w:cs="Times New Roman"/>
          <w:color w:val="000000"/>
          <w:kern w:val="0"/>
          <w:lang w:val="es-CO" w:eastAsia="es-MX"/>
          <w14:ligatures w14:val="none"/>
        </w:rPr>
        <w:t>Esta Subdirección está facultada para resolver las consultas escritas, presentadas de manera general, sobre la interpretación y aplicación de las normas tributarias, aduaneras y de fiscalización cambiaria, en lo de competencia de la DIAN. En este sentido, la doctrina emitida será de carácter general, no se referirá a asuntos particulares y se someterá a lo consagrado en el artículo 131 de la Ley 2010 de 2019.</w:t>
      </w:r>
    </w:p>
    <w:p w14:paraId="7D9F1876" w14:textId="77777777" w:rsidR="00BE413A" w:rsidRPr="00BE413A" w:rsidRDefault="00BE413A" w:rsidP="00BE413A">
      <w:pPr>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br/>
      </w:r>
    </w:p>
    <w:p w14:paraId="5B7A7155" w14:textId="77777777" w:rsidR="00BE413A" w:rsidRPr="00BE413A" w:rsidRDefault="00BE413A" w:rsidP="00BE413A">
      <w:pPr>
        <w:numPr>
          <w:ilvl w:val="0"/>
          <w:numId w:val="2"/>
        </w:numPr>
        <w:jc w:val="both"/>
        <w:textAlignment w:val="baseline"/>
        <w:rPr>
          <w:rFonts w:ascii="Verdana" w:eastAsia="Times New Roman" w:hAnsi="Verdana" w:cs="Times New Roman"/>
          <w:color w:val="000000"/>
          <w:kern w:val="0"/>
          <w:lang w:val="es-CO" w:eastAsia="es-MX"/>
          <w14:ligatures w14:val="none"/>
        </w:rPr>
      </w:pPr>
      <w:r w:rsidRPr="00BE413A">
        <w:rPr>
          <w:rFonts w:ascii="Verdana" w:eastAsia="Times New Roman" w:hAnsi="Verdana" w:cs="Times New Roman"/>
          <w:color w:val="000000"/>
          <w:kern w:val="0"/>
          <w:lang w:val="es-CO" w:eastAsia="es-MX"/>
          <w14:ligatures w14:val="none"/>
        </w:rPr>
        <w:t>Solicita aclaración del Concepto No. 000011 (</w:t>
      </w:r>
      <w:proofErr w:type="spellStart"/>
      <w:r w:rsidRPr="00BE413A">
        <w:rPr>
          <w:rFonts w:ascii="Verdana" w:eastAsia="Times New Roman" w:hAnsi="Verdana" w:cs="Times New Roman"/>
          <w:color w:val="000000"/>
          <w:kern w:val="0"/>
          <w:lang w:val="es-CO" w:eastAsia="es-MX"/>
          <w14:ligatures w14:val="none"/>
        </w:rPr>
        <w:t>int</w:t>
      </w:r>
      <w:proofErr w:type="spellEnd"/>
      <w:r w:rsidRPr="00BE413A">
        <w:rPr>
          <w:rFonts w:ascii="Verdana" w:eastAsia="Times New Roman" w:hAnsi="Verdana" w:cs="Times New Roman"/>
          <w:color w:val="000000"/>
          <w:kern w:val="0"/>
          <w:lang w:val="es-CO" w:eastAsia="es-MX"/>
          <w14:ligatures w14:val="none"/>
        </w:rPr>
        <w:t xml:space="preserve"> 2476) del 31 de diciembre de 2025, sobre la calidad de no contribuyente del Impuesto sobre la renta, cuando se trata de un patrimonio autónomo o fideicomiso.</w:t>
      </w:r>
    </w:p>
    <w:p w14:paraId="035ABD7F"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4B246F07"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Al respecto se considera:</w:t>
      </w:r>
    </w:p>
    <w:p w14:paraId="4FC43ABB" w14:textId="77777777" w:rsidR="00BE413A" w:rsidRPr="00BE413A" w:rsidRDefault="00BE413A" w:rsidP="00BE413A">
      <w:pPr>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br/>
      </w:r>
    </w:p>
    <w:p w14:paraId="360DF3F2" w14:textId="77777777" w:rsidR="00BE413A" w:rsidRPr="00BE413A" w:rsidRDefault="00BE413A" w:rsidP="00BE413A">
      <w:pPr>
        <w:numPr>
          <w:ilvl w:val="0"/>
          <w:numId w:val="3"/>
        </w:numPr>
        <w:jc w:val="both"/>
        <w:textAlignment w:val="baseline"/>
        <w:rPr>
          <w:rFonts w:ascii="Verdana" w:eastAsia="Times New Roman" w:hAnsi="Verdana" w:cs="Times New Roman"/>
          <w:color w:val="000000"/>
          <w:kern w:val="0"/>
          <w:lang w:val="es-CO" w:eastAsia="es-MX"/>
          <w14:ligatures w14:val="none"/>
        </w:rPr>
      </w:pPr>
      <w:r w:rsidRPr="00BE413A">
        <w:rPr>
          <w:rFonts w:ascii="Verdana" w:eastAsia="Times New Roman" w:hAnsi="Verdana" w:cs="Times New Roman"/>
          <w:color w:val="000000"/>
          <w:kern w:val="0"/>
          <w:lang w:val="es-CO" w:eastAsia="es-MX"/>
          <w14:ligatures w14:val="none"/>
        </w:rPr>
        <w:t>El Concepto No. 000011 (</w:t>
      </w:r>
      <w:proofErr w:type="spellStart"/>
      <w:r w:rsidRPr="00BE413A">
        <w:rPr>
          <w:rFonts w:ascii="Verdana" w:eastAsia="Times New Roman" w:hAnsi="Verdana" w:cs="Times New Roman"/>
          <w:color w:val="000000"/>
          <w:kern w:val="0"/>
          <w:lang w:val="es-CO" w:eastAsia="es-MX"/>
          <w14:ligatures w14:val="none"/>
        </w:rPr>
        <w:t>int</w:t>
      </w:r>
      <w:proofErr w:type="spellEnd"/>
      <w:r w:rsidRPr="00BE413A">
        <w:rPr>
          <w:rFonts w:ascii="Verdana" w:eastAsia="Times New Roman" w:hAnsi="Verdana" w:cs="Times New Roman"/>
          <w:color w:val="000000"/>
          <w:kern w:val="0"/>
          <w:lang w:val="es-CO" w:eastAsia="es-MX"/>
          <w14:ligatures w14:val="none"/>
        </w:rPr>
        <w:t xml:space="preserve"> 2476) del 31 de diciembre de 2025 al reconsiderar el Concepto No 007332 (</w:t>
      </w:r>
      <w:proofErr w:type="spellStart"/>
      <w:r w:rsidRPr="00BE413A">
        <w:rPr>
          <w:rFonts w:ascii="Verdana" w:eastAsia="Times New Roman" w:hAnsi="Verdana" w:cs="Times New Roman"/>
          <w:color w:val="000000"/>
          <w:kern w:val="0"/>
          <w:lang w:val="es-CO" w:eastAsia="es-MX"/>
          <w14:ligatures w14:val="none"/>
        </w:rPr>
        <w:t>int</w:t>
      </w:r>
      <w:proofErr w:type="spellEnd"/>
      <w:r w:rsidRPr="00BE413A">
        <w:rPr>
          <w:rFonts w:ascii="Verdana" w:eastAsia="Times New Roman" w:hAnsi="Verdana" w:cs="Times New Roman"/>
          <w:color w:val="000000"/>
          <w:kern w:val="0"/>
          <w:lang w:val="es-CO" w:eastAsia="es-MX"/>
          <w14:ligatures w14:val="none"/>
        </w:rPr>
        <w:t xml:space="preserve"> 820) del 4 de junio de 2025, proferido por esta Subdirección, adoptó la siguiente tesis jurídica:</w:t>
      </w:r>
    </w:p>
    <w:p w14:paraId="505466DA"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50FA8E2A" w14:textId="77777777" w:rsidR="00BE413A" w:rsidRPr="00BE413A" w:rsidRDefault="00BE413A" w:rsidP="00BE413A">
      <w:pPr>
        <w:ind w:left="1418"/>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i/>
          <w:iCs/>
          <w:color w:val="000000"/>
          <w:kern w:val="0"/>
          <w:sz w:val="22"/>
          <w:szCs w:val="22"/>
          <w:lang w:val="es-CO" w:eastAsia="es-MX"/>
          <w14:ligatures w14:val="none"/>
        </w:rPr>
        <w:t>“18. En consecuencia, si en los contratos de cuentas en participación el socio oculto no es contribuyente del impuesto sobre la renta, las retenciones en la fuente que fueron practicadas en desarrollo del contrato podrán ser descontadas en su totalidad en la respectiva declaración del socio gestor.”</w:t>
      </w:r>
    </w:p>
    <w:p w14:paraId="372CBA59" w14:textId="77777777" w:rsidR="00BE413A" w:rsidRPr="00BE413A" w:rsidRDefault="00BE413A" w:rsidP="00BE413A">
      <w:pPr>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lastRenderedPageBreak/>
        <w:br/>
      </w:r>
    </w:p>
    <w:p w14:paraId="49F5C10C" w14:textId="77777777" w:rsidR="00BE413A" w:rsidRPr="00BE413A" w:rsidRDefault="00BE413A" w:rsidP="00BE413A">
      <w:pPr>
        <w:numPr>
          <w:ilvl w:val="0"/>
          <w:numId w:val="4"/>
        </w:numPr>
        <w:jc w:val="both"/>
        <w:textAlignment w:val="baseline"/>
        <w:rPr>
          <w:rFonts w:ascii="Verdana" w:eastAsia="Times New Roman" w:hAnsi="Verdana" w:cs="Times New Roman"/>
          <w:color w:val="000000"/>
          <w:kern w:val="0"/>
          <w:lang w:val="es-CO" w:eastAsia="es-MX"/>
          <w14:ligatures w14:val="none"/>
        </w:rPr>
      </w:pPr>
      <w:r w:rsidRPr="00BE413A">
        <w:rPr>
          <w:rFonts w:ascii="Verdana" w:eastAsia="Times New Roman" w:hAnsi="Verdana" w:cs="Times New Roman"/>
          <w:color w:val="000000"/>
          <w:kern w:val="0"/>
          <w:lang w:val="es-CO" w:eastAsia="es-MX"/>
          <w14:ligatures w14:val="none"/>
        </w:rPr>
        <w:t>Dentro de las reglas señaladas en el Concepto No. 000011 (</w:t>
      </w:r>
      <w:proofErr w:type="spellStart"/>
      <w:r w:rsidRPr="00BE413A">
        <w:rPr>
          <w:rFonts w:ascii="Verdana" w:eastAsia="Times New Roman" w:hAnsi="Verdana" w:cs="Times New Roman"/>
          <w:color w:val="000000"/>
          <w:kern w:val="0"/>
          <w:lang w:val="es-CO" w:eastAsia="es-MX"/>
          <w14:ligatures w14:val="none"/>
        </w:rPr>
        <w:t>int</w:t>
      </w:r>
      <w:proofErr w:type="spellEnd"/>
      <w:r w:rsidRPr="00BE413A">
        <w:rPr>
          <w:rFonts w:ascii="Verdana" w:eastAsia="Times New Roman" w:hAnsi="Verdana" w:cs="Times New Roman"/>
          <w:color w:val="000000"/>
          <w:kern w:val="0"/>
          <w:lang w:val="es-CO" w:eastAsia="es-MX"/>
          <w14:ligatures w14:val="none"/>
        </w:rPr>
        <w:t xml:space="preserve"> 2476) del 31 de diciembre de 2025, se interpretó que:</w:t>
      </w:r>
    </w:p>
    <w:p w14:paraId="73FBC598"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1CD84910" w14:textId="77777777" w:rsidR="00BE413A" w:rsidRPr="00BE413A" w:rsidRDefault="00BE413A" w:rsidP="00BE413A">
      <w:pPr>
        <w:ind w:left="360"/>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i/>
          <w:iCs/>
          <w:color w:val="000000"/>
          <w:kern w:val="0"/>
          <w:sz w:val="22"/>
          <w:szCs w:val="22"/>
          <w:lang w:val="es-CO" w:eastAsia="es-MX"/>
          <w14:ligatures w14:val="none"/>
        </w:rPr>
        <w:t xml:space="preserve">19.5. Para finalizar, es importante mencionar </w:t>
      </w:r>
      <w:r w:rsidRPr="00BE413A">
        <w:rPr>
          <w:rFonts w:ascii="Verdana" w:eastAsia="Times New Roman" w:hAnsi="Verdana" w:cs="Times New Roman"/>
          <w:i/>
          <w:iCs/>
          <w:color w:val="000000"/>
          <w:kern w:val="0"/>
          <w:sz w:val="22"/>
          <w:szCs w:val="22"/>
          <w:u w:val="single"/>
          <w:lang w:val="es-CO" w:eastAsia="es-MX"/>
          <w14:ligatures w14:val="none"/>
        </w:rPr>
        <w:t>el supuesto en el que un patrimonio autónomo o un fondo de inversión colectiva es socio oculto en un contrato de cuentas en participación.</w:t>
      </w:r>
      <w:r w:rsidRPr="00BE413A">
        <w:rPr>
          <w:rFonts w:ascii="Verdana" w:eastAsia="Times New Roman" w:hAnsi="Verdana" w:cs="Times New Roman"/>
          <w:i/>
          <w:iCs/>
          <w:color w:val="000000"/>
          <w:kern w:val="0"/>
          <w:sz w:val="22"/>
          <w:szCs w:val="22"/>
          <w:lang w:val="es-CO" w:eastAsia="es-MX"/>
          <w14:ligatures w14:val="none"/>
        </w:rPr>
        <w:t xml:space="preserve"> En ese escenario, y con el fin de cumplir lo previsto en la Sentencia y en observancia del principio de transparencia previsto en los artículos 23-1 y 102 del ET, </w:t>
      </w:r>
      <w:r w:rsidRPr="00BE413A">
        <w:rPr>
          <w:rFonts w:ascii="Verdana" w:eastAsia="Times New Roman" w:hAnsi="Verdana" w:cs="Times New Roman"/>
          <w:i/>
          <w:iCs/>
          <w:color w:val="000000"/>
          <w:kern w:val="0"/>
          <w:sz w:val="22"/>
          <w:szCs w:val="22"/>
          <w:u w:val="single"/>
          <w:lang w:val="es-CO" w:eastAsia="es-MX"/>
          <w14:ligatures w14:val="none"/>
        </w:rPr>
        <w:t>la retención practicada al socio gestor deberá, en principio, trasladarse a los beneficiarios del patrimonio autónomo o del fondo de inversión colectiva</w:t>
      </w:r>
      <w:r w:rsidRPr="00BE413A">
        <w:rPr>
          <w:rFonts w:ascii="Verdana" w:eastAsia="Times New Roman" w:hAnsi="Verdana" w:cs="Times New Roman"/>
          <w:i/>
          <w:iCs/>
          <w:color w:val="000000"/>
          <w:kern w:val="0"/>
          <w:sz w:val="22"/>
          <w:szCs w:val="22"/>
          <w:lang w:val="es-CO" w:eastAsia="es-MX"/>
          <w14:ligatures w14:val="none"/>
        </w:rPr>
        <w:t xml:space="preserve"> y darle el tratamiento en función de sus calidades tributarias.</w:t>
      </w:r>
    </w:p>
    <w:p w14:paraId="3077B36B"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7B2AEA15" w14:textId="77777777" w:rsidR="00BE413A" w:rsidRPr="00BE413A" w:rsidRDefault="00BE413A" w:rsidP="00BE413A">
      <w:pPr>
        <w:ind w:left="360"/>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i/>
          <w:iCs/>
          <w:color w:val="000000"/>
          <w:kern w:val="0"/>
          <w:sz w:val="22"/>
          <w:szCs w:val="22"/>
          <w:lang w:val="es-CO" w:eastAsia="es-MX"/>
          <w14:ligatures w14:val="none"/>
        </w:rPr>
        <w:t xml:space="preserve">19.6. Lo anterior, </w:t>
      </w:r>
      <w:r w:rsidRPr="00BE413A">
        <w:rPr>
          <w:rFonts w:ascii="Verdana" w:eastAsia="Times New Roman" w:hAnsi="Verdana" w:cs="Times New Roman"/>
          <w:i/>
          <w:iCs/>
          <w:color w:val="000000"/>
          <w:kern w:val="0"/>
          <w:sz w:val="22"/>
          <w:szCs w:val="22"/>
          <w:u w:val="single"/>
          <w:lang w:val="es-CO" w:eastAsia="es-MX"/>
          <w14:ligatures w14:val="none"/>
        </w:rPr>
        <w:t>salvo que el beneficiario sea una persona de aquellas no contribuyentes no declarantes, caso en el cual no procede el traslado de la retención</w:t>
      </w:r>
      <w:r w:rsidRPr="00BE413A">
        <w:rPr>
          <w:rFonts w:ascii="Verdana" w:eastAsia="Times New Roman" w:hAnsi="Verdana" w:cs="Times New Roman"/>
          <w:i/>
          <w:iCs/>
          <w:color w:val="000000"/>
          <w:kern w:val="0"/>
          <w:sz w:val="22"/>
          <w:szCs w:val="22"/>
          <w:lang w:val="es-CO" w:eastAsia="es-MX"/>
          <w14:ligatures w14:val="none"/>
        </w:rPr>
        <w:t xml:space="preserve"> pues, como se ha explicado, no habría lugar al recaudo anticipado del tributo ni forma de imputar tal retención a través de una declaración. De existir múltiples beneficiarios, deberá revisarse las calidades tributarias de cada uno de ellos. Si existe al menos un beneficiario que sea no contribuyente no declarante, el socio gestor se reputará como dueño único del negocio y se aplicará la regla prevista en los párrafos 18 y 19 de este concepto.</w:t>
      </w:r>
      <w:r w:rsidRPr="00BE413A">
        <w:rPr>
          <w:rFonts w:ascii="Verdana" w:eastAsia="Times New Roman" w:hAnsi="Verdana" w:cs="Times New Roman"/>
          <w:color w:val="000000"/>
          <w:kern w:val="0"/>
          <w:lang w:val="es-CO" w:eastAsia="es-MX"/>
          <w14:ligatures w14:val="none"/>
        </w:rPr>
        <w:t xml:space="preserve"> (Subrayas fuera del texto original)</w:t>
      </w:r>
    </w:p>
    <w:p w14:paraId="38631C25" w14:textId="77777777" w:rsidR="00BE413A" w:rsidRPr="00BE413A" w:rsidRDefault="00BE413A" w:rsidP="00BE413A">
      <w:pPr>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br/>
      </w:r>
    </w:p>
    <w:p w14:paraId="4D3B7C4D" w14:textId="77777777" w:rsidR="00BE413A" w:rsidRPr="00BE413A" w:rsidRDefault="00BE413A" w:rsidP="00BE413A">
      <w:pPr>
        <w:numPr>
          <w:ilvl w:val="0"/>
          <w:numId w:val="5"/>
        </w:numPr>
        <w:jc w:val="both"/>
        <w:textAlignment w:val="baseline"/>
        <w:rPr>
          <w:rFonts w:ascii="Verdana" w:eastAsia="Times New Roman" w:hAnsi="Verdana" w:cs="Times New Roman"/>
          <w:color w:val="000000"/>
          <w:kern w:val="0"/>
          <w:lang w:val="es-CO" w:eastAsia="es-MX"/>
          <w14:ligatures w14:val="none"/>
        </w:rPr>
      </w:pPr>
      <w:r w:rsidRPr="00BE413A">
        <w:rPr>
          <w:rFonts w:ascii="Verdana" w:eastAsia="Times New Roman" w:hAnsi="Verdana" w:cs="Times New Roman"/>
          <w:color w:val="000000"/>
          <w:kern w:val="0"/>
          <w:lang w:val="es-CO" w:eastAsia="es-MX"/>
          <w14:ligatures w14:val="none"/>
        </w:rPr>
        <w:t>En virtud de lo anterior, resulta claro el tratamiento aplicable a las retenciones en la fuente practicadas a título del Impuesto sobre la Renta por los ingresos percibidos en virtud de un contrato de cuentas en participación en el que el socio oculto sea un patrimonio autónomo o fideicomiso. En efecto, aun cuando dicho patrimonio autónomo o fideicomiso no sea contribuyente del Impuesto sobre la Renta, las retenciones deben trasladarse a cada beneficiario del patrimonio o fideicomiso, siempre y cuando estos últimos sean contribuyentes o declarantes.</w:t>
      </w:r>
    </w:p>
    <w:p w14:paraId="7E1C6D09" w14:textId="77777777" w:rsidR="00BE413A" w:rsidRPr="00BE413A" w:rsidRDefault="00BE413A" w:rsidP="00BE413A">
      <w:pPr>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br/>
      </w:r>
    </w:p>
    <w:p w14:paraId="238FF505" w14:textId="77777777" w:rsidR="00BE413A" w:rsidRPr="00BE413A" w:rsidRDefault="00BE413A" w:rsidP="00BE413A">
      <w:pPr>
        <w:numPr>
          <w:ilvl w:val="0"/>
          <w:numId w:val="6"/>
        </w:numPr>
        <w:jc w:val="both"/>
        <w:textAlignment w:val="baseline"/>
        <w:rPr>
          <w:rFonts w:ascii="Verdana" w:eastAsia="Times New Roman" w:hAnsi="Verdana" w:cs="Times New Roman"/>
          <w:color w:val="000000"/>
          <w:kern w:val="0"/>
          <w:lang w:val="es-CO" w:eastAsia="es-MX"/>
          <w14:ligatures w14:val="none"/>
        </w:rPr>
      </w:pPr>
      <w:r w:rsidRPr="00BE413A">
        <w:rPr>
          <w:rFonts w:ascii="Verdana" w:eastAsia="Times New Roman" w:hAnsi="Verdana" w:cs="Times New Roman"/>
          <w:color w:val="000000"/>
          <w:kern w:val="0"/>
          <w:lang w:val="es-CO" w:eastAsia="es-MX"/>
          <w14:ligatures w14:val="none"/>
        </w:rPr>
        <w:t>Caso contrario, es decir, si el beneficiario del patrimonio o fideicomiso no es contribuyente o declarante del Impuesto sobre la Renta, el socio gestor podrá imputar la totalidad de la retención practicada por tales ingresos derivados del contrato de cuentas en participación.</w:t>
      </w:r>
    </w:p>
    <w:p w14:paraId="64B7994E" w14:textId="77777777" w:rsidR="00BE413A" w:rsidRPr="00BE413A" w:rsidRDefault="00BE413A" w:rsidP="00BE413A">
      <w:pPr>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br/>
      </w:r>
    </w:p>
    <w:p w14:paraId="72813307" w14:textId="77777777" w:rsidR="00BE413A" w:rsidRPr="00BE413A" w:rsidRDefault="00BE413A" w:rsidP="00BE413A">
      <w:pPr>
        <w:numPr>
          <w:ilvl w:val="0"/>
          <w:numId w:val="7"/>
        </w:numPr>
        <w:jc w:val="both"/>
        <w:textAlignment w:val="baseline"/>
        <w:rPr>
          <w:rFonts w:ascii="Verdana" w:eastAsia="Times New Roman" w:hAnsi="Verdana" w:cs="Times New Roman"/>
          <w:color w:val="000000"/>
          <w:kern w:val="0"/>
          <w:lang w:val="es-CO" w:eastAsia="es-MX"/>
          <w14:ligatures w14:val="none"/>
        </w:rPr>
      </w:pPr>
      <w:r w:rsidRPr="00BE413A">
        <w:rPr>
          <w:rFonts w:ascii="Verdana" w:eastAsia="Times New Roman" w:hAnsi="Verdana" w:cs="Times New Roman"/>
          <w:color w:val="000000"/>
          <w:kern w:val="0"/>
          <w:lang w:val="es-CO" w:eastAsia="es-MX"/>
          <w14:ligatures w14:val="none"/>
        </w:rPr>
        <w:t xml:space="preserve">En los anteriores términos se absuelve su petición y se recuerda que la normativa, jurisprudencia y doctrina en materia tributaria, aduanera y de fiscalización cambiaria, en lo de competencia de esta Entidad, puede </w:t>
      </w:r>
      <w:r w:rsidRPr="00BE413A">
        <w:rPr>
          <w:rFonts w:ascii="Verdana" w:eastAsia="Times New Roman" w:hAnsi="Verdana" w:cs="Times New Roman"/>
          <w:color w:val="000000"/>
          <w:kern w:val="0"/>
          <w:lang w:val="es-CO" w:eastAsia="es-MX"/>
          <w14:ligatures w14:val="none"/>
        </w:rPr>
        <w:lastRenderedPageBreak/>
        <w:t xml:space="preserve">consultarse en el normograma DIAN: </w:t>
      </w:r>
      <w:r w:rsidRPr="00BE413A">
        <w:rPr>
          <w:rFonts w:ascii="Verdana" w:eastAsia="Times New Roman" w:hAnsi="Verdana" w:cs="Times New Roman"/>
          <w:color w:val="000000"/>
          <w:kern w:val="0"/>
          <w:u w:val="single"/>
          <w:lang w:val="es-CO" w:eastAsia="es-MX"/>
          <w14:ligatures w14:val="none"/>
        </w:rPr>
        <w:t>https://normograma.dian.gov.co/dian/</w:t>
      </w:r>
    </w:p>
    <w:p w14:paraId="618F90BF" w14:textId="77777777" w:rsidR="00BE413A" w:rsidRPr="00BE413A" w:rsidRDefault="00BE413A" w:rsidP="00BE413A">
      <w:pPr>
        <w:spacing w:after="240"/>
        <w:rPr>
          <w:rFonts w:ascii="Times New Roman" w:eastAsia="Times New Roman" w:hAnsi="Times New Roman" w:cs="Times New Roman"/>
          <w:kern w:val="0"/>
          <w:lang w:val="es-CO" w:eastAsia="es-MX"/>
          <w14:ligatures w14:val="none"/>
        </w:rPr>
      </w:pPr>
    </w:p>
    <w:p w14:paraId="5BB0DD4E"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Atentamente,</w:t>
      </w:r>
    </w:p>
    <w:p w14:paraId="2B26E516" w14:textId="77777777" w:rsidR="00BE413A" w:rsidRPr="00BE413A" w:rsidRDefault="00BE413A" w:rsidP="00BE413A">
      <w:pPr>
        <w:spacing w:after="240"/>
        <w:rPr>
          <w:rFonts w:ascii="Times New Roman" w:eastAsia="Times New Roman" w:hAnsi="Times New Roman" w:cs="Times New Roman"/>
          <w:kern w:val="0"/>
          <w:lang w:val="es-CO" w:eastAsia="es-MX"/>
          <w14:ligatures w14:val="none"/>
        </w:rPr>
      </w:pPr>
      <w:r w:rsidRPr="00BE413A">
        <w:rPr>
          <w:rFonts w:ascii="Times New Roman" w:eastAsia="Times New Roman" w:hAnsi="Times New Roman" w:cs="Times New Roman"/>
          <w:kern w:val="0"/>
          <w:lang w:val="es-CO" w:eastAsia="es-MX"/>
          <w14:ligatures w14:val="none"/>
        </w:rPr>
        <w:br/>
      </w:r>
    </w:p>
    <w:p w14:paraId="0E2F381D"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b/>
          <w:bCs/>
          <w:color w:val="000000"/>
          <w:kern w:val="0"/>
          <w:lang w:val="es-CO" w:eastAsia="es-MX"/>
          <w14:ligatures w14:val="none"/>
        </w:rPr>
        <w:t>INGRID CASTAÑEDA CEPEDA</w:t>
      </w:r>
    </w:p>
    <w:p w14:paraId="44887013"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Subdirectora de Normativa y Doctrina (A)</w:t>
      </w:r>
    </w:p>
    <w:p w14:paraId="414063F1"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Subdirección de Normativa y Doctrina</w:t>
      </w:r>
    </w:p>
    <w:p w14:paraId="5E46E2A0"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lang w:val="es-CO" w:eastAsia="es-MX"/>
          <w14:ligatures w14:val="none"/>
        </w:rPr>
        <w:t>Dirección de Gestión Jurídica</w:t>
      </w:r>
    </w:p>
    <w:p w14:paraId="6070F84D" w14:textId="77777777" w:rsidR="00BE413A" w:rsidRPr="00BE413A" w:rsidRDefault="00BE413A" w:rsidP="00BE413A">
      <w:pPr>
        <w:jc w:val="both"/>
        <w:rPr>
          <w:rFonts w:ascii="Times New Roman" w:eastAsia="Times New Roman" w:hAnsi="Times New Roman" w:cs="Times New Roman"/>
          <w:kern w:val="0"/>
          <w:lang w:val="es-CO" w:eastAsia="es-MX"/>
          <w14:ligatures w14:val="none"/>
        </w:rPr>
      </w:pPr>
      <w:r w:rsidRPr="00BE413A">
        <w:rPr>
          <w:rFonts w:ascii="Verdana" w:eastAsia="Times New Roman" w:hAnsi="Verdana" w:cs="Times New Roman"/>
          <w:color w:val="000000"/>
          <w:kern w:val="0"/>
          <w:u w:val="single"/>
          <w:lang w:val="es-CO" w:eastAsia="es-MX"/>
          <w14:ligatures w14:val="none"/>
        </w:rPr>
        <w:t>www.dian.gov.co</w:t>
      </w:r>
    </w:p>
    <w:p w14:paraId="68F29C8E" w14:textId="77777777" w:rsidR="00BE413A" w:rsidRPr="00BE413A" w:rsidRDefault="00BE413A" w:rsidP="00BE413A">
      <w:pPr>
        <w:rPr>
          <w:rFonts w:ascii="Times New Roman" w:eastAsia="Times New Roman" w:hAnsi="Times New Roman" w:cs="Times New Roman"/>
          <w:kern w:val="0"/>
          <w:lang w:val="es-CO" w:eastAsia="es-MX"/>
          <w14:ligatures w14:val="none"/>
        </w:rPr>
      </w:pPr>
    </w:p>
    <w:p w14:paraId="2869AAF5" w14:textId="77777777" w:rsidR="00537D8F" w:rsidRDefault="00537D8F"/>
    <w:sectPr w:rsidR="00537D8F"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E4B5E"/>
    <w:multiLevelType w:val="multilevel"/>
    <w:tmpl w:val="5D889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C5750"/>
    <w:multiLevelType w:val="multilevel"/>
    <w:tmpl w:val="5D8897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1771F"/>
    <w:multiLevelType w:val="multilevel"/>
    <w:tmpl w:val="5D8897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6D070D"/>
    <w:multiLevelType w:val="multilevel"/>
    <w:tmpl w:val="5D8897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366F45"/>
    <w:multiLevelType w:val="multilevel"/>
    <w:tmpl w:val="5D8897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534C0E"/>
    <w:multiLevelType w:val="multilevel"/>
    <w:tmpl w:val="5D889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863B6"/>
    <w:multiLevelType w:val="multilevel"/>
    <w:tmpl w:val="5D889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1444540">
    <w:abstractNumId w:val="6"/>
  </w:num>
  <w:num w:numId="2" w16cid:durableId="1649505792">
    <w:abstractNumId w:val="0"/>
    <w:lvlOverride w:ilvl="0">
      <w:lvl w:ilvl="0">
        <w:numFmt w:val="decimal"/>
        <w:lvlText w:val="%1."/>
        <w:lvlJc w:val="left"/>
      </w:lvl>
    </w:lvlOverride>
  </w:num>
  <w:num w:numId="3" w16cid:durableId="1825393166">
    <w:abstractNumId w:val="1"/>
    <w:lvlOverride w:ilvl="0">
      <w:lvl w:ilvl="0">
        <w:numFmt w:val="decimal"/>
        <w:lvlText w:val="%1."/>
        <w:lvlJc w:val="left"/>
      </w:lvl>
    </w:lvlOverride>
  </w:num>
  <w:num w:numId="4" w16cid:durableId="44525719">
    <w:abstractNumId w:val="5"/>
    <w:lvlOverride w:ilvl="0">
      <w:lvl w:ilvl="0">
        <w:numFmt w:val="decimal"/>
        <w:lvlText w:val="%1."/>
        <w:lvlJc w:val="left"/>
      </w:lvl>
    </w:lvlOverride>
  </w:num>
  <w:num w:numId="5" w16cid:durableId="483199788">
    <w:abstractNumId w:val="4"/>
    <w:lvlOverride w:ilvl="0">
      <w:lvl w:ilvl="0">
        <w:numFmt w:val="decimal"/>
        <w:lvlText w:val="%1."/>
        <w:lvlJc w:val="left"/>
      </w:lvl>
    </w:lvlOverride>
  </w:num>
  <w:num w:numId="6" w16cid:durableId="544221071">
    <w:abstractNumId w:val="2"/>
    <w:lvlOverride w:ilvl="0">
      <w:lvl w:ilvl="0">
        <w:numFmt w:val="decimal"/>
        <w:lvlText w:val="%1."/>
        <w:lvlJc w:val="left"/>
      </w:lvl>
    </w:lvlOverride>
  </w:num>
  <w:num w:numId="7" w16cid:durableId="2127776305">
    <w:abstractNumId w:val="3"/>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3A"/>
    <w:rsid w:val="000B2285"/>
    <w:rsid w:val="00537D8F"/>
    <w:rsid w:val="00B83A7B"/>
    <w:rsid w:val="00BE413A"/>
    <w:rsid w:val="00DD78AA"/>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9B4FF50"/>
  <w14:defaultImageDpi w14:val="32767"/>
  <w15:chartTrackingRefBased/>
  <w15:docId w15:val="{363A9D40-5FC9-1B46-9CF4-5CDDE8D4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41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E41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E413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E413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E413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E413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413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413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413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413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E413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E413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E413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E413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E41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41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41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413A"/>
    <w:rPr>
      <w:rFonts w:eastAsiaTheme="majorEastAsia" w:cstheme="majorBidi"/>
      <w:color w:val="272727" w:themeColor="text1" w:themeTint="D8"/>
    </w:rPr>
  </w:style>
  <w:style w:type="paragraph" w:styleId="Ttulo">
    <w:name w:val="Title"/>
    <w:basedOn w:val="Normal"/>
    <w:next w:val="Normal"/>
    <w:link w:val="TtuloCar"/>
    <w:uiPriority w:val="10"/>
    <w:qFormat/>
    <w:rsid w:val="00BE413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41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413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41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413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E413A"/>
    <w:rPr>
      <w:i/>
      <w:iCs/>
      <w:color w:val="404040" w:themeColor="text1" w:themeTint="BF"/>
    </w:rPr>
  </w:style>
  <w:style w:type="paragraph" w:styleId="Prrafodelista">
    <w:name w:val="List Paragraph"/>
    <w:basedOn w:val="Normal"/>
    <w:uiPriority w:val="34"/>
    <w:qFormat/>
    <w:rsid w:val="00BE413A"/>
    <w:pPr>
      <w:ind w:left="720"/>
      <w:contextualSpacing/>
    </w:pPr>
  </w:style>
  <w:style w:type="character" w:styleId="nfasisintenso">
    <w:name w:val="Intense Emphasis"/>
    <w:basedOn w:val="Fuentedeprrafopredeter"/>
    <w:uiPriority w:val="21"/>
    <w:qFormat/>
    <w:rsid w:val="00BE413A"/>
    <w:rPr>
      <w:i/>
      <w:iCs/>
      <w:color w:val="2F5496" w:themeColor="accent1" w:themeShade="BF"/>
    </w:rPr>
  </w:style>
  <w:style w:type="paragraph" w:styleId="Citadestacada">
    <w:name w:val="Intense Quote"/>
    <w:basedOn w:val="Normal"/>
    <w:next w:val="Normal"/>
    <w:link w:val="CitadestacadaCar"/>
    <w:uiPriority w:val="30"/>
    <w:qFormat/>
    <w:rsid w:val="00BE41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E413A"/>
    <w:rPr>
      <w:i/>
      <w:iCs/>
      <w:color w:val="2F5496" w:themeColor="accent1" w:themeShade="BF"/>
    </w:rPr>
  </w:style>
  <w:style w:type="character" w:styleId="Referenciaintensa">
    <w:name w:val="Intense Reference"/>
    <w:basedOn w:val="Fuentedeprrafopredeter"/>
    <w:uiPriority w:val="32"/>
    <w:qFormat/>
    <w:rsid w:val="00BE413A"/>
    <w:rPr>
      <w:b/>
      <w:bCs/>
      <w:smallCaps/>
      <w:color w:val="2F5496" w:themeColor="accent1" w:themeShade="BF"/>
      <w:spacing w:val="5"/>
    </w:rPr>
  </w:style>
  <w:style w:type="paragraph" w:styleId="NormalWeb">
    <w:name w:val="Normal (Web)"/>
    <w:basedOn w:val="Normal"/>
    <w:uiPriority w:val="99"/>
    <w:semiHidden/>
    <w:unhideWhenUsed/>
    <w:rsid w:val="00BE413A"/>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BE4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660</Words>
  <Characters>3635</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2026-07-24T21:17:00Z</dcterms:created>
  <dcterms:modified xsi:type="dcterms:W3CDTF">2026-07-24T21:19:00Z</dcterms:modified>
</cp:coreProperties>
</file>