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898DBA"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CONCEPTO 651 DEL 4 DE MAYO DE 2026</w:t>
      </w:r>
    </w:p>
    <w:p w14:paraId="6F0EDF60"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DIRECCIÓN DE IMPUESTOS Y ADUANAS NACIONALES</w:t>
      </w:r>
    </w:p>
    <w:p w14:paraId="289C58AB" w14:textId="77777777" w:rsidR="001A1BFF" w:rsidRPr="001A1BFF" w:rsidRDefault="001A1BFF" w:rsidP="001A1BFF">
      <w:pPr>
        <w:rPr>
          <w:rFonts w:ascii="Times New Roman" w:eastAsia="Times New Roman" w:hAnsi="Times New Roman" w:cs="Times New Roman"/>
          <w:kern w:val="0"/>
          <w:lang w:val="es-CO" w:eastAsia="es-MX"/>
          <w14:ligatures w14:val="none"/>
        </w:rPr>
      </w:pPr>
    </w:p>
    <w:p w14:paraId="11025617"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color w:val="000000"/>
          <w:kern w:val="0"/>
          <w:lang w:val="es-CO" w:eastAsia="es-MX"/>
          <w14:ligatures w14:val="none"/>
        </w:rPr>
        <w:t>Bogotá, D.C.</w:t>
      </w:r>
    </w:p>
    <w:p w14:paraId="21AD6C27" w14:textId="77777777" w:rsidR="001A1BFF" w:rsidRPr="001A1BFF" w:rsidRDefault="001A1BFF" w:rsidP="001A1BFF">
      <w:pPr>
        <w:rPr>
          <w:rFonts w:ascii="Times New Roman" w:eastAsia="Times New Roman" w:hAnsi="Times New Roman" w:cs="Times New Roman"/>
          <w:kern w:val="0"/>
          <w:lang w:val="es-CO" w:eastAsia="es-MX"/>
          <w14:ligatures w14:val="none"/>
        </w:rPr>
      </w:pPr>
    </w:p>
    <w:p w14:paraId="151AC5B3"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Área del Derecho</w:t>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color w:val="000000"/>
          <w:kern w:val="0"/>
          <w:lang w:val="es-CO" w:eastAsia="es-MX"/>
          <w14:ligatures w14:val="none"/>
        </w:rPr>
        <w:t>Aduanero</w:t>
      </w:r>
    </w:p>
    <w:p w14:paraId="3F1F19FA"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Banco de Datos</w:t>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color w:val="000000"/>
          <w:kern w:val="0"/>
          <w:lang w:val="es-CO" w:eastAsia="es-MX"/>
          <w14:ligatures w14:val="none"/>
        </w:rPr>
        <w:t>Aduanas</w:t>
      </w:r>
    </w:p>
    <w:p w14:paraId="27345D45"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Descriptores</w:t>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color w:val="000000"/>
          <w:kern w:val="0"/>
          <w:lang w:val="es-CO" w:eastAsia="es-MX"/>
          <w14:ligatures w14:val="none"/>
        </w:rPr>
        <w:t>Modalidad de Exportación en tratamiento Tributario y CP para Sociedades de Comercialización Internacional</w:t>
      </w:r>
    </w:p>
    <w:p w14:paraId="1EEAE48E"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Fuentes Formales</w:t>
      </w:r>
      <w:r w:rsidRPr="001A1BFF">
        <w:rPr>
          <w:rFonts w:ascii="Verdana" w:eastAsia="Times New Roman" w:hAnsi="Verdana" w:cs="Times New Roman"/>
          <w:b/>
          <w:bCs/>
          <w:color w:val="000000"/>
          <w:kern w:val="0"/>
          <w:lang w:val="es-CO" w:eastAsia="es-MX"/>
          <w14:ligatures w14:val="none"/>
        </w:rPr>
        <w:tab/>
      </w:r>
      <w:r w:rsidRPr="001A1BFF">
        <w:rPr>
          <w:rFonts w:ascii="Verdana" w:eastAsia="Times New Roman" w:hAnsi="Verdana" w:cs="Times New Roman"/>
          <w:color w:val="000000"/>
          <w:kern w:val="0"/>
          <w:lang w:val="es-CO" w:eastAsia="es-MX"/>
          <w14:ligatures w14:val="none"/>
        </w:rPr>
        <w:t>Ley 67 de 1979. Artículo 1</w:t>
      </w:r>
    </w:p>
    <w:p w14:paraId="344ECFD0" w14:textId="77777777" w:rsidR="001A1BFF" w:rsidRPr="001A1BFF" w:rsidRDefault="001A1BFF" w:rsidP="001A1BFF">
      <w:pPr>
        <w:ind w:left="2127" w:firstLine="709"/>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color w:val="000000"/>
          <w:kern w:val="0"/>
          <w:lang w:val="es-CO" w:eastAsia="es-MX"/>
          <w14:ligatures w14:val="none"/>
        </w:rPr>
        <w:t>Decreto 1165 de 2019. Artículo 65</w:t>
      </w:r>
    </w:p>
    <w:p w14:paraId="4E872931" w14:textId="77777777" w:rsidR="001A1BFF" w:rsidRPr="001A1BFF" w:rsidRDefault="001A1BFF" w:rsidP="001A1BFF">
      <w:pPr>
        <w:rPr>
          <w:rFonts w:ascii="Times New Roman" w:eastAsia="Times New Roman" w:hAnsi="Times New Roman" w:cs="Times New Roman"/>
          <w:kern w:val="0"/>
          <w:lang w:val="es-CO" w:eastAsia="es-MX"/>
          <w14:ligatures w14:val="none"/>
        </w:rPr>
      </w:pPr>
    </w:p>
    <w:p w14:paraId="32441358" w14:textId="77777777" w:rsidR="001A1BFF" w:rsidRPr="001A1BFF" w:rsidRDefault="001A1BFF" w:rsidP="001A1BFF">
      <w:pPr>
        <w:jc w:val="both"/>
        <w:rPr>
          <w:rFonts w:ascii="Times New Roman" w:eastAsia="Times New Roman" w:hAnsi="Times New Roman" w:cs="Times New Roman"/>
          <w:kern w:val="0"/>
          <w:lang w:val="es-CO" w:eastAsia="es-MX"/>
          <w14:ligatures w14:val="none"/>
        </w:rPr>
      </w:pPr>
      <w:r w:rsidRPr="001A1BFF">
        <w:rPr>
          <w:rFonts w:ascii="Verdana" w:eastAsia="Times New Roman" w:hAnsi="Verdana" w:cs="Times New Roman"/>
          <w:b/>
          <w:bCs/>
          <w:color w:val="000000"/>
          <w:kern w:val="0"/>
          <w:lang w:val="es-CO" w:eastAsia="es-MX"/>
          <w14:ligatures w14:val="none"/>
        </w:rPr>
        <w:t>Extracto</w:t>
      </w:r>
    </w:p>
    <w:p w14:paraId="78A6E8F0" w14:textId="77777777" w:rsidR="001A1BFF" w:rsidRPr="001A1BFF" w:rsidRDefault="001A1BFF" w:rsidP="001A1BFF">
      <w:pPr>
        <w:rPr>
          <w:rFonts w:ascii="Times New Roman" w:eastAsia="Times New Roman" w:hAnsi="Times New Roman" w:cs="Times New Roman"/>
          <w:kern w:val="0"/>
          <w:lang w:val="es-CO" w:eastAsia="es-MX"/>
          <w14:ligatures w14:val="none"/>
        </w:rPr>
      </w:pPr>
      <w:r w:rsidRPr="001A1BFF">
        <w:rPr>
          <w:rFonts w:ascii="Times New Roman" w:eastAsia="Times New Roman" w:hAnsi="Times New Roman" w:cs="Times New Roman"/>
          <w:kern w:val="0"/>
          <w:lang w:val="es-CO" w:eastAsia="es-MX"/>
          <w14:ligatures w14:val="none"/>
        </w:rPr>
        <w:br/>
      </w:r>
    </w:p>
    <w:p w14:paraId="36433474" w14:textId="77777777" w:rsidR="001A1BFF" w:rsidRPr="001A1BFF" w:rsidRDefault="001A1BFF" w:rsidP="001A1BFF">
      <w:pPr>
        <w:numPr>
          <w:ilvl w:val="0"/>
          <w:numId w:val="1"/>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Esta Subdirección está facultada para absolver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4B4003F5" w14:textId="77777777" w:rsidR="001A1BFF" w:rsidRPr="001A1BFF" w:rsidRDefault="001A1BFF" w:rsidP="001A1BFF">
      <w:pPr>
        <w:rPr>
          <w:rFonts w:ascii="Times New Roman" w:eastAsia="Times New Roman" w:hAnsi="Times New Roman" w:cs="Times New Roman"/>
          <w:kern w:val="0"/>
          <w:lang w:val="es-CO" w:eastAsia="es-MX"/>
          <w14:ligatures w14:val="none"/>
        </w:rPr>
      </w:pPr>
      <w:r w:rsidRPr="001A1BFF">
        <w:rPr>
          <w:rFonts w:ascii="Times New Roman" w:eastAsia="Times New Roman" w:hAnsi="Times New Roman" w:cs="Times New Roman"/>
          <w:kern w:val="0"/>
          <w:lang w:val="es-CO" w:eastAsia="es-MX"/>
          <w14:ligatures w14:val="none"/>
        </w:rPr>
        <w:br/>
      </w:r>
    </w:p>
    <w:p w14:paraId="71E4A238" w14:textId="77777777" w:rsidR="001A1BFF" w:rsidRDefault="001A1BFF" w:rsidP="001A1BFF">
      <w:pPr>
        <w:numPr>
          <w:ilvl w:val="0"/>
          <w:numId w:val="2"/>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Mediante el radicado de la referencia preguntan si es viable que una Sociedad de Comercialización Internacional (C.I.) expida un Certificado al Proveedor (CP) para amparar la compra de mercancías en el mercado nacional, cuando dichas mercancías no están destinadas a una exportación definitiva, sino a una Exportación Temporal para Perfeccionamiento Pasivo. También consultan si se considera acreditado el cumplimiento de la obligación de "exportar las mercancías" (Art. 65 del Decreto 1165 de 2019) cuando la salida física de los bienes se realiza bajo una modalidad temporal que conlleva su posterior reimportación, o se requiere necesariamente de una modalidad de exportación definitiva. Por último consultan si es el beneficio de exención de IVA legalmente aplicable a las mercancías adquiridas por una C.I. mediante Certificado al Proveedor (CP), cuando estas son objeto de una exportación temporal o si el retorno de los bienes al país tras su transformación obliga a la C.I. a liquidar y pagar el IVA del cual fue eximida inicialmente en la compra nacional.</w:t>
      </w:r>
    </w:p>
    <w:p w14:paraId="6E2A8DF9" w14:textId="77777777" w:rsidR="001A1BFF" w:rsidRPr="001A1BFF" w:rsidRDefault="001A1BFF" w:rsidP="001A1BFF">
      <w:pPr>
        <w:jc w:val="both"/>
        <w:textAlignment w:val="baseline"/>
        <w:rPr>
          <w:rFonts w:ascii="Verdana" w:eastAsia="Times New Roman" w:hAnsi="Verdana" w:cs="Times New Roman"/>
          <w:color w:val="000000"/>
          <w:kern w:val="0"/>
          <w:lang w:val="es-CO" w:eastAsia="es-MX"/>
          <w14:ligatures w14:val="none"/>
        </w:rPr>
      </w:pPr>
    </w:p>
    <w:p w14:paraId="6B3044D6" w14:textId="77777777" w:rsidR="001A1BFF" w:rsidRPr="001A1BFF" w:rsidRDefault="001A1BFF" w:rsidP="001A1BFF">
      <w:pPr>
        <w:numPr>
          <w:ilvl w:val="0"/>
          <w:numId w:val="3"/>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 xml:space="preserve">Sobre el particular El artículo 1 de la Ley 67 de 1979 dispuso que: "Con el fin de fomentar las exportaciones de conformidad con los términos de la presente Ley y en desarrollo del ordinal 22 del artículo 120 de la </w:t>
      </w:r>
      <w:r w:rsidRPr="001A1BFF">
        <w:rPr>
          <w:rFonts w:ascii="Verdana" w:eastAsia="Times New Roman" w:hAnsi="Verdana" w:cs="Times New Roman"/>
          <w:color w:val="000000"/>
          <w:kern w:val="0"/>
          <w:lang w:val="es-CO" w:eastAsia="es-MX"/>
          <w14:ligatures w14:val="none"/>
        </w:rPr>
        <w:lastRenderedPageBreak/>
        <w:t>Constitución Nacional, el Gobierno podrá otorgar incentivos especiales a las sociedades nacionales o mixtas que tengan por objeto la comercialización de productos colombianos en el exterior. Entre sus actividades dichas compañías podrán contemplar también la importación de bienes o insumos, bien sea para abastecer el mercado interno o para la fabricación de productos exportables". (Subrayado y negrillas fuera de texto).</w:t>
      </w:r>
    </w:p>
    <w:p w14:paraId="35CDC7BE" w14:textId="77777777" w:rsidR="001A1BFF" w:rsidRPr="001A1BFF" w:rsidRDefault="001A1BFF" w:rsidP="001A1BFF">
      <w:pPr>
        <w:rPr>
          <w:rFonts w:ascii="Times New Roman" w:eastAsia="Times New Roman" w:hAnsi="Times New Roman" w:cs="Times New Roman"/>
          <w:kern w:val="0"/>
          <w:lang w:val="es-CO" w:eastAsia="es-MX"/>
          <w14:ligatures w14:val="none"/>
        </w:rPr>
      </w:pPr>
      <w:r w:rsidRPr="001A1BFF">
        <w:rPr>
          <w:rFonts w:ascii="Times New Roman" w:eastAsia="Times New Roman" w:hAnsi="Times New Roman" w:cs="Times New Roman"/>
          <w:kern w:val="0"/>
          <w:lang w:val="es-CO" w:eastAsia="es-MX"/>
          <w14:ligatures w14:val="none"/>
        </w:rPr>
        <w:br/>
      </w:r>
    </w:p>
    <w:p w14:paraId="3274A38F" w14:textId="77777777" w:rsidR="001A1BFF" w:rsidRPr="001A1BFF" w:rsidRDefault="001A1BFF" w:rsidP="001A1BFF">
      <w:pPr>
        <w:numPr>
          <w:ilvl w:val="0"/>
          <w:numId w:val="4"/>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Por su parte, el artículo 65 del Decreto 1165 de 2019 establece que las Sociedades de Comercialización Internacional son aquellas personas jurídicas que tienen por objeto social principal la comercialización y venta de productos colombianos al exterior adquiridos en el mercado interno o fabricados por productores socios de estas.</w:t>
      </w:r>
    </w:p>
    <w:p w14:paraId="3FB36F21" w14:textId="77777777" w:rsidR="001A1BFF" w:rsidRPr="001A1BFF" w:rsidRDefault="001A1BFF" w:rsidP="001A1BFF">
      <w:pPr>
        <w:rPr>
          <w:rFonts w:ascii="Times New Roman" w:eastAsia="Times New Roman" w:hAnsi="Times New Roman" w:cs="Times New Roman"/>
          <w:kern w:val="0"/>
          <w:lang w:val="es-CO" w:eastAsia="es-MX"/>
          <w14:ligatures w14:val="none"/>
        </w:rPr>
      </w:pPr>
      <w:r w:rsidRPr="001A1BFF">
        <w:rPr>
          <w:rFonts w:ascii="Times New Roman" w:eastAsia="Times New Roman" w:hAnsi="Times New Roman" w:cs="Times New Roman"/>
          <w:kern w:val="0"/>
          <w:lang w:val="es-CO" w:eastAsia="es-MX"/>
          <w14:ligatures w14:val="none"/>
        </w:rPr>
        <w:br/>
      </w:r>
    </w:p>
    <w:p w14:paraId="61BB1815" w14:textId="77777777" w:rsidR="001A1BFF" w:rsidRPr="001A1BFF" w:rsidRDefault="001A1BFF" w:rsidP="001A1BFF">
      <w:pPr>
        <w:numPr>
          <w:ilvl w:val="0"/>
          <w:numId w:val="5"/>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Desde los artículos y apartes señalados en los numerales anteriores, está suficientemente claro que, para que operen los incentivos tributarios operativizados a través del CP (Certificado del Proveedor), es necesario que la exportación por parte de la Sociedad de Comercialización Internacional sea "Definitiva", lo cual ha sido refrendado por la doctrina de esta Subdirección en conceptos tales como, entre otros, el Concepto 15215 de 2023.</w:t>
      </w:r>
    </w:p>
    <w:p w14:paraId="6197C853" w14:textId="77777777" w:rsidR="001A1BFF" w:rsidRPr="001A1BFF" w:rsidRDefault="001A1BFF" w:rsidP="001A1BFF">
      <w:pPr>
        <w:rPr>
          <w:rFonts w:ascii="Times New Roman" w:eastAsia="Times New Roman" w:hAnsi="Times New Roman" w:cs="Times New Roman"/>
          <w:kern w:val="0"/>
          <w:lang w:val="es-CO" w:eastAsia="es-MX"/>
          <w14:ligatures w14:val="none"/>
        </w:rPr>
      </w:pPr>
      <w:r w:rsidRPr="001A1BFF">
        <w:rPr>
          <w:rFonts w:ascii="Times New Roman" w:eastAsia="Times New Roman" w:hAnsi="Times New Roman" w:cs="Times New Roman"/>
          <w:kern w:val="0"/>
          <w:lang w:val="es-CO" w:eastAsia="es-MX"/>
          <w14:ligatures w14:val="none"/>
        </w:rPr>
        <w:br/>
      </w:r>
    </w:p>
    <w:p w14:paraId="16ED0B2C" w14:textId="77777777" w:rsidR="001A1BFF" w:rsidRPr="001A1BFF" w:rsidRDefault="001A1BFF" w:rsidP="001A1BFF">
      <w:pPr>
        <w:numPr>
          <w:ilvl w:val="0"/>
          <w:numId w:val="6"/>
        </w:numPr>
        <w:jc w:val="both"/>
        <w:textAlignment w:val="baseline"/>
        <w:rPr>
          <w:rFonts w:ascii="Verdana" w:eastAsia="Times New Roman" w:hAnsi="Verdana" w:cs="Times New Roman"/>
          <w:color w:val="000000"/>
          <w:kern w:val="0"/>
          <w:lang w:val="es-CO" w:eastAsia="es-MX"/>
          <w14:ligatures w14:val="none"/>
        </w:rPr>
      </w:pPr>
      <w:r w:rsidRPr="001A1BFF">
        <w:rPr>
          <w:rFonts w:ascii="Verdana" w:eastAsia="Times New Roman" w:hAnsi="Verdana" w:cs="Times New Roman"/>
          <w:color w:val="000000"/>
          <w:kern w:val="0"/>
          <w:lang w:val="es-CO" w:eastAsia="es-MX"/>
          <w14:ligatures w14:val="none"/>
        </w:rPr>
        <w:t>En los anteriores términos se absuelve su petición y se recuerda que la normativa, jurisprudencia y doctrina en materia tributaria, aduanera y de fiscalización cambiaria, en lo de competencia de esta Entidad, puede consultarse en el normograma DIAN: https://normograma.dian.gov.co/dian/.</w:t>
      </w:r>
    </w:p>
    <w:p w14:paraId="2643DAC2"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6120CC"/>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4875C0"/>
    <w:multiLevelType w:val="multilevel"/>
    <w:tmpl w:val="5D889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15215F"/>
    <w:multiLevelType w:val="multilevel"/>
    <w:tmpl w:val="5D88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3F5997"/>
    <w:multiLevelType w:val="multilevel"/>
    <w:tmpl w:val="5D889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A7356"/>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8735650">
    <w:abstractNumId w:val="0"/>
  </w:num>
  <w:num w:numId="2" w16cid:durableId="1279948052">
    <w:abstractNumId w:val="2"/>
    <w:lvlOverride w:ilvl="0">
      <w:lvl w:ilvl="0">
        <w:numFmt w:val="decimal"/>
        <w:lvlText w:val="%1."/>
        <w:lvlJc w:val="left"/>
      </w:lvl>
    </w:lvlOverride>
  </w:num>
  <w:num w:numId="3" w16cid:durableId="926498326">
    <w:abstractNumId w:val="2"/>
    <w:lvlOverride w:ilvl="0">
      <w:lvl w:ilvl="0">
        <w:numFmt w:val="decimal"/>
        <w:lvlText w:val="%1."/>
        <w:lvlJc w:val="left"/>
      </w:lvl>
    </w:lvlOverride>
  </w:num>
  <w:num w:numId="4" w16cid:durableId="865873783">
    <w:abstractNumId w:val="3"/>
    <w:lvlOverride w:ilvl="0">
      <w:lvl w:ilvl="0">
        <w:numFmt w:val="decimal"/>
        <w:lvlText w:val="%1."/>
        <w:lvlJc w:val="left"/>
      </w:lvl>
    </w:lvlOverride>
  </w:num>
  <w:num w:numId="5" w16cid:durableId="469637824">
    <w:abstractNumId w:val="1"/>
    <w:lvlOverride w:ilvl="0">
      <w:lvl w:ilvl="0">
        <w:numFmt w:val="decimal"/>
        <w:lvlText w:val="%1."/>
        <w:lvlJc w:val="left"/>
      </w:lvl>
    </w:lvlOverride>
  </w:num>
  <w:num w:numId="6" w16cid:durableId="183372041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FF"/>
    <w:rsid w:val="000B2285"/>
    <w:rsid w:val="001A1BFF"/>
    <w:rsid w:val="00537D8F"/>
    <w:rsid w:val="00B83A7B"/>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B6A97E7"/>
  <w14:defaultImageDpi w14:val="32767"/>
  <w15:chartTrackingRefBased/>
  <w15:docId w15:val="{33B27E9C-96EA-EF4C-8BEA-B306F310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1B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A1B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A1BF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A1BF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A1BF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A1BF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1BF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1BF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1BF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1BF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A1BF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A1BF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A1BF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A1BF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A1B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1B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1B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1BFF"/>
    <w:rPr>
      <w:rFonts w:eastAsiaTheme="majorEastAsia" w:cstheme="majorBidi"/>
      <w:color w:val="272727" w:themeColor="text1" w:themeTint="D8"/>
    </w:rPr>
  </w:style>
  <w:style w:type="paragraph" w:styleId="Ttulo">
    <w:name w:val="Title"/>
    <w:basedOn w:val="Normal"/>
    <w:next w:val="Normal"/>
    <w:link w:val="TtuloCar"/>
    <w:uiPriority w:val="10"/>
    <w:qFormat/>
    <w:rsid w:val="001A1BF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1B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1BF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1B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1BF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A1BFF"/>
    <w:rPr>
      <w:i/>
      <w:iCs/>
      <w:color w:val="404040" w:themeColor="text1" w:themeTint="BF"/>
    </w:rPr>
  </w:style>
  <w:style w:type="paragraph" w:styleId="Prrafodelista">
    <w:name w:val="List Paragraph"/>
    <w:basedOn w:val="Normal"/>
    <w:uiPriority w:val="34"/>
    <w:qFormat/>
    <w:rsid w:val="001A1BFF"/>
    <w:pPr>
      <w:ind w:left="720"/>
      <w:contextualSpacing/>
    </w:pPr>
  </w:style>
  <w:style w:type="character" w:styleId="nfasisintenso">
    <w:name w:val="Intense Emphasis"/>
    <w:basedOn w:val="Fuentedeprrafopredeter"/>
    <w:uiPriority w:val="21"/>
    <w:qFormat/>
    <w:rsid w:val="001A1BFF"/>
    <w:rPr>
      <w:i/>
      <w:iCs/>
      <w:color w:val="2F5496" w:themeColor="accent1" w:themeShade="BF"/>
    </w:rPr>
  </w:style>
  <w:style w:type="paragraph" w:styleId="Citadestacada">
    <w:name w:val="Intense Quote"/>
    <w:basedOn w:val="Normal"/>
    <w:next w:val="Normal"/>
    <w:link w:val="CitadestacadaCar"/>
    <w:uiPriority w:val="30"/>
    <w:qFormat/>
    <w:rsid w:val="001A1B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A1BFF"/>
    <w:rPr>
      <w:i/>
      <w:iCs/>
      <w:color w:val="2F5496" w:themeColor="accent1" w:themeShade="BF"/>
    </w:rPr>
  </w:style>
  <w:style w:type="character" w:styleId="Referenciaintensa">
    <w:name w:val="Intense Reference"/>
    <w:basedOn w:val="Fuentedeprrafopredeter"/>
    <w:uiPriority w:val="32"/>
    <w:qFormat/>
    <w:rsid w:val="001A1BFF"/>
    <w:rPr>
      <w:b/>
      <w:bCs/>
      <w:smallCaps/>
      <w:color w:val="2F5496" w:themeColor="accent1" w:themeShade="BF"/>
      <w:spacing w:val="5"/>
    </w:rPr>
  </w:style>
  <w:style w:type="paragraph" w:styleId="NormalWeb">
    <w:name w:val="Normal (Web)"/>
    <w:basedOn w:val="Normal"/>
    <w:uiPriority w:val="99"/>
    <w:semiHidden/>
    <w:unhideWhenUsed/>
    <w:rsid w:val="001A1BFF"/>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1A1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545</Words>
  <Characters>2998</Characters>
  <Application>Microsoft Office Word</Application>
  <DocSecurity>0</DocSecurity>
  <Lines>24</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2026-07-24T21:21:00Z</dcterms:created>
  <dcterms:modified xsi:type="dcterms:W3CDTF">2026-07-24T21:24:00Z</dcterms:modified>
</cp:coreProperties>
</file>