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699914" w14:textId="77777777" w:rsidR="004E4EE0" w:rsidRDefault="004E4EE0">
      <w:pPr>
        <w:rPr>
          <w:rFonts w:ascii="Verdana" w:hAnsi="Verdana"/>
          <w:b/>
          <w:bCs/>
          <w:color w:val="000000"/>
        </w:rPr>
      </w:pPr>
    </w:p>
    <w:p w14:paraId="7390E19B"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color w:val="000000"/>
          <w:kern w:val="0"/>
          <w:lang w:val="es-CO" w:eastAsia="es-MX"/>
          <w14:ligatures w14:val="none"/>
        </w:rPr>
        <w:t>OFICIO 220-297693 DEL 3 DE JUNIO DE 2026</w:t>
      </w:r>
    </w:p>
    <w:p w14:paraId="182BF4D1"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color w:val="000000"/>
          <w:kern w:val="0"/>
          <w:lang w:val="es-CO" w:eastAsia="es-MX"/>
          <w14:ligatures w14:val="none"/>
        </w:rPr>
        <w:t>SUPERINTENDENCIA DE SOCIEDADES</w:t>
      </w:r>
    </w:p>
    <w:p w14:paraId="695BB2FD"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DEE9588"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color w:val="000000"/>
          <w:kern w:val="0"/>
          <w:lang w:val="es-CO" w:eastAsia="es-MX"/>
          <w14:ligatures w14:val="none"/>
        </w:rPr>
        <w:t>ASUNTO</w:t>
      </w:r>
      <w:r w:rsidRPr="004E4EE0">
        <w:rPr>
          <w:rFonts w:ascii="Verdana" w:eastAsia="Times New Roman" w:hAnsi="Verdana" w:cs="Times New Roman"/>
          <w:b/>
          <w:bCs/>
          <w:color w:val="000000"/>
          <w:kern w:val="0"/>
          <w:lang w:val="es-CO" w:eastAsia="es-MX"/>
          <w14:ligatures w14:val="none"/>
        </w:rPr>
        <w:tab/>
        <w:t>LIQUIDACIÓN VOLUNTARIA DE SOCIEDADES</w:t>
      </w:r>
    </w:p>
    <w:p w14:paraId="44EB8BC0"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B5D1CA5"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Me refiero a su comunicación radicada con el número de la referencia mediante la cual, en uso del derecho de petición en la modalidad de consulta, formula once (11) interrogantes condensados en ocho (8) títulos, así:</w:t>
      </w:r>
    </w:p>
    <w:p w14:paraId="5E209BE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4094B47"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w:t>
      </w:r>
      <w:r w:rsidRPr="004E4EE0">
        <w:rPr>
          <w:rFonts w:ascii="Verdana" w:eastAsia="Times New Roman" w:hAnsi="Verdana" w:cs="Times New Roman"/>
          <w:b/>
          <w:bCs/>
          <w:i/>
          <w:iCs/>
          <w:color w:val="000000"/>
          <w:kern w:val="0"/>
          <w:lang w:val="es-CO" w:eastAsia="es-MX"/>
          <w14:ligatures w14:val="none"/>
        </w:rPr>
        <w:t>1. Convocatoria de reuniones en sociedades en liquidación.</w:t>
      </w:r>
      <w:r w:rsidRPr="004E4EE0">
        <w:rPr>
          <w:rFonts w:ascii="Verdana" w:eastAsia="Times New Roman" w:hAnsi="Verdana" w:cs="Times New Roman"/>
          <w:i/>
          <w:iCs/>
          <w:color w:val="000000"/>
          <w:kern w:val="0"/>
          <w:lang w:val="es-CO" w:eastAsia="es-MX"/>
          <w14:ligatures w14:val="none"/>
        </w:rPr>
        <w:t xml:space="preserve"> En el marco del régimen general de las sociedades en liquidación voluntaria,</w:t>
      </w:r>
    </w:p>
    <w:p w14:paraId="1399A748"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¿existe la obligación de convocar reuniones ordinarias del máximo órgano social en períodos determinados, o la periodicidad de dichas reuniones queda sujeta a las necesidades propias del proceso </w:t>
      </w:r>
      <w:proofErr w:type="spellStart"/>
      <w:r w:rsidRPr="004E4EE0">
        <w:rPr>
          <w:rFonts w:ascii="Verdana" w:eastAsia="Times New Roman" w:hAnsi="Verdana" w:cs="Times New Roman"/>
          <w:i/>
          <w:iCs/>
          <w:color w:val="000000"/>
          <w:kern w:val="0"/>
          <w:lang w:val="es-CO" w:eastAsia="es-MX"/>
          <w14:ligatures w14:val="none"/>
        </w:rPr>
        <w:t>liquidatorio</w:t>
      </w:r>
      <w:proofErr w:type="spellEnd"/>
      <w:r w:rsidRPr="004E4EE0">
        <w:rPr>
          <w:rFonts w:ascii="Verdana" w:eastAsia="Times New Roman" w:hAnsi="Verdana" w:cs="Times New Roman"/>
          <w:i/>
          <w:iCs/>
          <w:color w:val="000000"/>
          <w:kern w:val="0"/>
          <w:lang w:val="es-CO" w:eastAsia="es-MX"/>
          <w14:ligatures w14:val="none"/>
        </w:rPr>
        <w:t>?</w:t>
      </w:r>
    </w:p>
    <w:p w14:paraId="08B3296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C475F3B"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2. Aprobación de informes del liquidador.</w:t>
      </w:r>
      <w:r w:rsidRPr="004E4EE0">
        <w:rPr>
          <w:rFonts w:ascii="Verdana" w:eastAsia="Times New Roman" w:hAnsi="Verdana" w:cs="Times New Roman"/>
          <w:i/>
          <w:iCs/>
          <w:color w:val="000000"/>
          <w:kern w:val="0"/>
          <w:lang w:val="es-CO" w:eastAsia="es-MX"/>
          <w14:ligatures w14:val="none"/>
        </w:rPr>
        <w:t xml:space="preserve"> En desarrollo de las funciones del liquidador, ¿los informes de gestión y estados financieros presentados al máximo órgano social deben ser sometidos a aprobación de dicho órgano, o su presentación cumple únicamente fines informativos?</w:t>
      </w:r>
    </w:p>
    <w:p w14:paraId="391D30F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FECB8CB"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3. Orden del día en reuniones del máximo órgano social.</w:t>
      </w:r>
      <w:r w:rsidRPr="004E4EE0">
        <w:rPr>
          <w:rFonts w:ascii="Verdana" w:eastAsia="Times New Roman" w:hAnsi="Verdana" w:cs="Times New Roman"/>
          <w:i/>
          <w:iCs/>
          <w:color w:val="000000"/>
          <w:kern w:val="0"/>
          <w:lang w:val="es-CO" w:eastAsia="es-MX"/>
          <w14:ligatures w14:val="none"/>
        </w:rPr>
        <w:t xml:space="preserve"> En las reuniones del máximo órgano social durante la etapa de liquidación,</w:t>
      </w:r>
    </w:p>
    <w:p w14:paraId="277A12A6"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¿resulta jurídicamente obligatorio establecer un orden del día previo?</w:t>
      </w:r>
    </w:p>
    <w:p w14:paraId="112A280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94F219D"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En caso afirmativo, ¿existe la obligación de incluir puntos específicos como la aprobación del acta anterior?</w:t>
      </w:r>
    </w:p>
    <w:p w14:paraId="0BC941EE"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2F2FC49"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4. Inclusión de temas no previstos en el orden del día.</w:t>
      </w:r>
      <w:r w:rsidRPr="004E4EE0">
        <w:rPr>
          <w:rFonts w:ascii="Verdana" w:eastAsia="Times New Roman" w:hAnsi="Verdana" w:cs="Times New Roman"/>
          <w:i/>
          <w:iCs/>
          <w:color w:val="000000"/>
          <w:kern w:val="0"/>
          <w:lang w:val="es-CO" w:eastAsia="es-MX"/>
          <w14:ligatures w14:val="none"/>
        </w:rPr>
        <w:t xml:space="preserve"> Desde una perspectiva general, ¿es procedente que durante el desarrollo de una reunión del máximo órgano social se incorporen temas no previstos en el orden del día inicialmente comunicado?</w:t>
      </w:r>
    </w:p>
    <w:p w14:paraId="7EC5588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3E23557"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5. Punto de proposiciones y varios.</w:t>
      </w:r>
      <w:r w:rsidRPr="004E4EE0">
        <w:rPr>
          <w:rFonts w:ascii="Verdana" w:eastAsia="Times New Roman" w:hAnsi="Verdana" w:cs="Times New Roman"/>
          <w:i/>
          <w:iCs/>
          <w:color w:val="000000"/>
          <w:kern w:val="0"/>
          <w:lang w:val="es-CO" w:eastAsia="es-MX"/>
          <w14:ligatures w14:val="none"/>
        </w:rPr>
        <w:t xml:space="preserve"> En el marco de la normativa societaria, ¿la inclusión del punto “proposiciones y varios” en el orden del día constituye un requisito obligatorio, o su omisión no afecta la validez de la reunión?</w:t>
      </w:r>
    </w:p>
    <w:p w14:paraId="4825460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8FBC139"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lastRenderedPageBreak/>
        <w:t>6. Representación mediante poder en reuniones sociales.</w:t>
      </w:r>
      <w:r w:rsidRPr="004E4EE0">
        <w:rPr>
          <w:rFonts w:ascii="Verdana" w:eastAsia="Times New Roman" w:hAnsi="Verdana" w:cs="Times New Roman"/>
          <w:i/>
          <w:iCs/>
          <w:color w:val="000000"/>
          <w:kern w:val="0"/>
          <w:lang w:val="es-CO" w:eastAsia="es-MX"/>
          <w14:ligatures w14:val="none"/>
        </w:rPr>
        <w:t xml:space="preserve"> De conformidad con las reglas generales del derecho societario, ¿cuáles son los requisitos formales que deben cumplir los poderes otorgados para la representación de socios en reuniones del máximo órgano social?</w:t>
      </w:r>
    </w:p>
    <w:p w14:paraId="4D308345"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928C68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En particular, ¿es admisible alguna forma de representación no escrita o todos los poderes deben constar por escrito conforme a la ley?</w:t>
      </w:r>
    </w:p>
    <w:p w14:paraId="0C56234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F9457FF"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7. Facultades del liquidador respecto de los activos sociales.</w:t>
      </w:r>
      <w:r w:rsidRPr="004E4EE0">
        <w:rPr>
          <w:rFonts w:ascii="Verdana" w:eastAsia="Times New Roman" w:hAnsi="Verdana" w:cs="Times New Roman"/>
          <w:i/>
          <w:iCs/>
          <w:color w:val="000000"/>
          <w:kern w:val="0"/>
          <w:lang w:val="es-CO" w:eastAsia="es-MX"/>
          <w14:ligatures w14:val="none"/>
        </w:rPr>
        <w:t xml:space="preserve"> Dentro del régimen general de la liquidación voluntaria, ¿cuál es el alcance de las facultades del liquidador en relación con la administración, conservación y eventual valorización de los activos sociales antes de su enajenación?</w:t>
      </w:r>
    </w:p>
    <w:p w14:paraId="5900BF7B"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CBEB677"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8. Alcance de cláusulas estatutarias frente a la calidad de socio.</w:t>
      </w:r>
      <w:r w:rsidRPr="004E4EE0">
        <w:rPr>
          <w:rFonts w:ascii="Verdana" w:eastAsia="Times New Roman" w:hAnsi="Verdana" w:cs="Times New Roman"/>
          <w:i/>
          <w:iCs/>
          <w:color w:val="000000"/>
          <w:kern w:val="0"/>
          <w:lang w:val="es-CO" w:eastAsia="es-MX"/>
          <w14:ligatures w14:val="none"/>
        </w:rPr>
        <w:t xml:space="preserve"> Desde el punto de vista doctrinal y general, ¿cuál es el alcance de las cláusulas estatutarias que restringen el ingreso de terceros como socios, particularmente frente a situaciones de transmisión de participaciones por causa de muerte?</w:t>
      </w:r>
    </w:p>
    <w:p w14:paraId="0B6AB27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74D8B20"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Adicionalmente, ¿qué mecanismos generales prevé el ordenamiento jurídico para controvertir inscripciones en el registro mercantil cuando se considere que estas contravienen disposiciones estatutarias o legales?”</w:t>
      </w:r>
    </w:p>
    <w:p w14:paraId="14DF02D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A7C14F8"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Previamente a responder sus inquietudes, debe señalarse que, en atención al derecho de petición en la modalidad de consulta, la Superintendencia de Sociedades con fundamento en los artículos 14 y 28 del Código de Procedimiento Administrativo y de lo Contencioso Administrativo, </w:t>
      </w:r>
      <w:r w:rsidRPr="004E4EE0">
        <w:rPr>
          <w:rFonts w:ascii="Verdana" w:eastAsia="Times New Roman" w:hAnsi="Verdana" w:cs="Times New Roman"/>
          <w:color w:val="000000"/>
          <w:kern w:val="0"/>
          <w:u w:val="single"/>
          <w:lang w:val="es-CO" w:eastAsia="es-MX"/>
          <w14:ligatures w14:val="none"/>
        </w:rPr>
        <w:t>emite conceptos de carácter general y abstracto sobre las materias a su cargo</w:t>
      </w:r>
      <w:r w:rsidRPr="004E4EE0">
        <w:rPr>
          <w:rFonts w:ascii="Verdana" w:eastAsia="Times New Roman" w:hAnsi="Verdana" w:cs="Times New Roman"/>
          <w:color w:val="000000"/>
          <w:kern w:val="0"/>
          <w:lang w:val="es-CO" w:eastAsia="es-MX"/>
          <w14:ligatures w14:val="none"/>
        </w:rPr>
        <w:t>, que no se dirigen a resolver situaciones de orden particular, ni constituyen asesoría encaminada a solucionar controversias, o determinar consecuencias jurídicas derivadas de actos o decisiones de los órganos de una sociedad determinada. A su vez, sus respuestas a las consultas no son vinculantes ni comprometen la responsabilidad de la Entidad.</w:t>
      </w:r>
    </w:p>
    <w:p w14:paraId="153D506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C423EE1"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Con el alcance indicado, este Despacho procede a resolver su consulta en los siguientes términos:</w:t>
      </w:r>
    </w:p>
    <w:p w14:paraId="4473382C"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133EC22F" w14:textId="77777777" w:rsidR="004E4EE0" w:rsidRPr="004E4EE0" w:rsidRDefault="004E4EE0" w:rsidP="004E4EE0">
      <w:pPr>
        <w:numPr>
          <w:ilvl w:val="0"/>
          <w:numId w:val="1"/>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 xml:space="preserve">“¿Existe la obligación de convocar reuniones ordinarias del máximo órgano social en períodos determinados, o la </w:t>
      </w:r>
      <w:r w:rsidRPr="004E4EE0">
        <w:rPr>
          <w:rFonts w:ascii="Verdana" w:eastAsia="Times New Roman" w:hAnsi="Verdana" w:cs="Times New Roman"/>
          <w:b/>
          <w:bCs/>
          <w:i/>
          <w:iCs/>
          <w:color w:val="000000"/>
          <w:kern w:val="0"/>
          <w:lang w:val="es-CO" w:eastAsia="es-MX"/>
          <w14:ligatures w14:val="none"/>
        </w:rPr>
        <w:lastRenderedPageBreak/>
        <w:t xml:space="preserve">periodicidad de dichas reuniones queda sujeta a las necesidades propias del proceso </w:t>
      </w:r>
      <w:proofErr w:type="spellStart"/>
      <w:r w:rsidRPr="004E4EE0">
        <w:rPr>
          <w:rFonts w:ascii="Verdana" w:eastAsia="Times New Roman" w:hAnsi="Verdana" w:cs="Times New Roman"/>
          <w:b/>
          <w:bCs/>
          <w:i/>
          <w:iCs/>
          <w:color w:val="000000"/>
          <w:kern w:val="0"/>
          <w:lang w:val="es-CO" w:eastAsia="es-MX"/>
          <w14:ligatures w14:val="none"/>
        </w:rPr>
        <w:t>liquidatorio</w:t>
      </w:r>
      <w:proofErr w:type="spellEnd"/>
      <w:r w:rsidRPr="004E4EE0">
        <w:rPr>
          <w:rFonts w:ascii="Verdana" w:eastAsia="Times New Roman" w:hAnsi="Verdana" w:cs="Times New Roman"/>
          <w:b/>
          <w:bCs/>
          <w:i/>
          <w:iCs/>
          <w:color w:val="000000"/>
          <w:kern w:val="0"/>
          <w:lang w:val="es-CO" w:eastAsia="es-MX"/>
          <w14:ligatures w14:val="none"/>
        </w:rPr>
        <w:t>?”</w:t>
      </w:r>
    </w:p>
    <w:p w14:paraId="69AC428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08099B3"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En primer lugar, es preciso determinar cuáles actos están permitidos para una sociedad en proceso de liquidación voluntaria o privada, asunto sobre el que esta Oficina, en el Oficio 220-063693 del 9 de abril de 2020, señaló:</w:t>
      </w:r>
    </w:p>
    <w:p w14:paraId="3095100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1952952"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“Como es de conocimiento, la liquidación privada o voluntaria, es la consecuencia de la declaratoria de disolución de una compañía por ocurrencia de unas de las causales previstas en los estatutos o en la ley, es decir, las generales previstas para cualquier tipo de sociedad, y las especiales de acuerdo con el tipo societario de que se trate.</w:t>
      </w:r>
    </w:p>
    <w:p w14:paraId="325F18E4"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54A9E1A"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w:t>
      </w:r>
    </w:p>
    <w:p w14:paraId="1A9FF28F"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5292AC0"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Dentro de las normas que regulan dicho proceso, se encuentra el artículo 222 </w:t>
      </w:r>
      <w:proofErr w:type="spellStart"/>
      <w:r w:rsidRPr="004E4EE0">
        <w:rPr>
          <w:rFonts w:ascii="Verdana" w:eastAsia="Times New Roman" w:hAnsi="Verdana" w:cs="Times New Roman"/>
          <w:i/>
          <w:iCs/>
          <w:color w:val="000000"/>
          <w:kern w:val="0"/>
          <w:lang w:val="es-CO" w:eastAsia="es-MX"/>
          <w14:ligatures w14:val="none"/>
        </w:rPr>
        <w:t>ibídem</w:t>
      </w:r>
      <w:proofErr w:type="spellEnd"/>
      <w:r w:rsidRPr="004E4EE0">
        <w:rPr>
          <w:rFonts w:ascii="Verdana" w:eastAsia="Times New Roman" w:hAnsi="Verdana" w:cs="Times New Roman"/>
          <w:i/>
          <w:iCs/>
          <w:color w:val="000000"/>
          <w:kern w:val="0"/>
          <w:lang w:val="es-CO" w:eastAsia="es-MX"/>
          <w14:ligatures w14:val="none"/>
        </w:rPr>
        <w:t xml:space="preserve">, que preceptúa: “Disuelta la sociedad se procederá de inmediato a su liquidación. </w:t>
      </w:r>
      <w:r w:rsidRPr="004E4EE0">
        <w:rPr>
          <w:rFonts w:ascii="Verdana" w:eastAsia="Times New Roman" w:hAnsi="Verdana" w:cs="Times New Roman"/>
          <w:b/>
          <w:bCs/>
          <w:i/>
          <w:iCs/>
          <w:color w:val="000000"/>
          <w:kern w:val="0"/>
          <w:u w:val="single"/>
          <w:lang w:val="es-CO" w:eastAsia="es-MX"/>
          <w14:ligatures w14:val="none"/>
        </w:rPr>
        <w:t>En consecuencia, no podrá iniciar nuevas operaciones en desarrollo de su objeto social y conservará su capacidad jurídica únicamente para los actos necesarios a la inmediata liquidación. Cualquier operación o acto ajeno a este fin, salvo los autorizados expresamente por la ley, hará responsables frente a la sociedad, a los asociados y a terceros, en forma ilimitada y solidaria, al liquidador, y al revisor fiscal que no se hubiere opuesto.</w:t>
      </w:r>
      <w:r w:rsidRPr="004E4EE0">
        <w:rPr>
          <w:rFonts w:ascii="Verdana" w:eastAsia="Times New Roman" w:hAnsi="Verdana" w:cs="Times New Roman"/>
          <w:i/>
          <w:iCs/>
          <w:color w:val="000000"/>
          <w:kern w:val="0"/>
          <w:lang w:val="es-CO" w:eastAsia="es-MX"/>
          <w14:ligatures w14:val="none"/>
        </w:rPr>
        <w:t xml:space="preserve"> (…)”. (El llamado es nuestro).</w:t>
      </w:r>
    </w:p>
    <w:p w14:paraId="1759B03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6C9E4C0"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Del estudio de la norma antes transcrita, se desprende que el advenimiento de la disolución de una sociedad trae consigo importantes cambios en su estructura y finalidad, de suerte que a partir de ese momento no es posible continuar ejerciendo el objeto social para el cual fue creada, lo cual implica que carece de capacidad para iniciar nuevas operaciones en desarrollo del mismo y la conserva solamente para los actos que la inmediata liquidación requiere, como por ejemplo la venta de bienes, pago a acreedores, cancelación de hipotecas, atención de los gastos propios del proceso, entre otros.</w:t>
      </w:r>
    </w:p>
    <w:p w14:paraId="6A59917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92F25E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Cualquier acto que no se despliegue para ese fin, con excepción de los expresamente autorizados por la ley, hace responsables a las personas allí mencionadas. Sin embargo, es de advertir que al tenor de lo dispuesto en numeral 1 del artículo 238 </w:t>
      </w:r>
      <w:proofErr w:type="spellStart"/>
      <w:r w:rsidRPr="004E4EE0">
        <w:rPr>
          <w:rFonts w:ascii="Verdana" w:eastAsia="Times New Roman" w:hAnsi="Verdana" w:cs="Times New Roman"/>
          <w:i/>
          <w:iCs/>
          <w:color w:val="000000"/>
          <w:kern w:val="0"/>
          <w:lang w:val="es-CO" w:eastAsia="es-MX"/>
          <w14:ligatures w14:val="none"/>
        </w:rPr>
        <w:t>ejusdem</w:t>
      </w:r>
      <w:proofErr w:type="spellEnd"/>
      <w:r w:rsidRPr="004E4EE0">
        <w:rPr>
          <w:rFonts w:ascii="Verdana" w:eastAsia="Times New Roman" w:hAnsi="Verdana" w:cs="Times New Roman"/>
          <w:i/>
          <w:iCs/>
          <w:color w:val="000000"/>
          <w:kern w:val="0"/>
          <w:lang w:val="es-CO" w:eastAsia="es-MX"/>
          <w14:ligatures w14:val="none"/>
        </w:rPr>
        <w:t xml:space="preserve">, los </w:t>
      </w:r>
      <w:r w:rsidRPr="004E4EE0">
        <w:rPr>
          <w:rFonts w:ascii="Verdana" w:eastAsia="Times New Roman" w:hAnsi="Verdana" w:cs="Times New Roman"/>
          <w:i/>
          <w:iCs/>
          <w:color w:val="000000"/>
          <w:kern w:val="0"/>
          <w:lang w:val="es-CO" w:eastAsia="es-MX"/>
          <w14:ligatures w14:val="none"/>
        </w:rPr>
        <w:lastRenderedPageBreak/>
        <w:t>liquidadores deberán proceder a continuar y concluir las operaciones sociales pendientes al tiempo de la disolución.</w:t>
      </w:r>
    </w:p>
    <w:p w14:paraId="70CED3CE"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9A07674"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Tales operaciones no suspenden el proceso liquidatario, pues éste continúa en cuanto a la enajenación de activos y el pago de las obligaciones a cargo de la sociedad deudora, pero aquellas deben concluirse por parte del liquidador antes de que se protocolice en una notaría la cuenta final de liquidación y se inscriba la escritura respectiva en el registro mercantil, a partir de lo cual el ente jurídico se extingue como tal.”</w:t>
      </w:r>
    </w:p>
    <w:p w14:paraId="2BED1A4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2160357"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Establecida la capacidad de una sociedad en liquidación voluntaria, se precisa determinar las funciones y limitaciones que circunscriben el actuar del máximo órgano social de la compañía en liquidación privada, cuestión también tratada previamente por esta Oficina en el Oficio 220-042244 del 31 de agosto de 2007, en los siguientes términos:</w:t>
      </w:r>
    </w:p>
    <w:p w14:paraId="618AE982"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92D1651"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“1. FUNCIONAMIENTO DE LOS ÓRGANOS SOCIALES DURANTE EL TRÁMITE DE LIQUIDACIÓN VOLUNTARIA</w:t>
      </w:r>
    </w:p>
    <w:p w14:paraId="41BDDF1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C246201"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La capacidad jurídica de una sociedad disuelta y en etapa de liquidación se circunscribe única y exclusivamente a los actos tendientes a la inmediata liquidación, por lo que no resulta posible iniciar nuevas operaciones en desarrollo del objeto social (artículo 222 </w:t>
      </w:r>
      <w:proofErr w:type="spellStart"/>
      <w:r w:rsidRPr="004E4EE0">
        <w:rPr>
          <w:rFonts w:ascii="Verdana" w:eastAsia="Times New Roman" w:hAnsi="Verdana" w:cs="Times New Roman"/>
          <w:i/>
          <w:iCs/>
          <w:color w:val="000000"/>
          <w:kern w:val="0"/>
          <w:lang w:val="es-CO" w:eastAsia="es-MX"/>
          <w14:ligatures w14:val="none"/>
        </w:rPr>
        <w:t>C.Co</w:t>
      </w:r>
      <w:proofErr w:type="spellEnd"/>
      <w:r w:rsidRPr="004E4EE0">
        <w:rPr>
          <w:rFonts w:ascii="Verdana" w:eastAsia="Times New Roman" w:hAnsi="Verdana" w:cs="Times New Roman"/>
          <w:i/>
          <w:iCs/>
          <w:color w:val="000000"/>
          <w:kern w:val="0"/>
          <w:lang w:val="es-CO" w:eastAsia="es-MX"/>
          <w14:ligatures w14:val="none"/>
        </w:rPr>
        <w:t>). Ello significa que la sociedad conserva su personería jurídica y como tal los órganos sociales que la constituyen, con la diferencia de que se presenta una variación en el giro de las funciones de dichos órganos, las cuales por mandato legal deben tener relación directa con la liquidación y ya no con la ejecución de la actividad social.</w:t>
      </w:r>
    </w:p>
    <w:p w14:paraId="0AD08261"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C2677AF"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u w:val="single"/>
          <w:lang w:val="es-CO" w:eastAsia="es-MX"/>
          <w14:ligatures w14:val="none"/>
        </w:rPr>
        <w:t>Como desarrollo de lo anterior el artículo 225 del Estatuto Mercantil impone la obligación a la junta de socios y a la asamblea general de accionistas de reunirse durante la liquidación en las fechas indicadas en los estatutos para sus sesiones ordinarias, o cuando sea convocada por los liquidadores, el revisor fiscal o la Superintendencia de Sociedades.</w:t>
      </w:r>
      <w:r w:rsidRPr="004E4EE0">
        <w:rPr>
          <w:rFonts w:ascii="Verdana" w:eastAsia="Times New Roman" w:hAnsi="Verdana" w:cs="Times New Roman"/>
          <w:i/>
          <w:iCs/>
          <w:color w:val="000000"/>
          <w:kern w:val="0"/>
          <w:lang w:val="es-CO" w:eastAsia="es-MX"/>
          <w14:ligatures w14:val="none"/>
        </w:rPr>
        <w:t xml:space="preserve"> Las reuniones deben adelantarse en el lugar del domicilio social, entendido este como el espacio geográfico designado en los estatutos para el ejercicio de los derechos y el cumplimiento de las obligaciones de la compañía, y no como el lugar físico en el que funcionan las oficinas de administración. El único evento en el que el máximo órgano social puede reunirse por fuera del domicilio principal, es aquel en el que se encuentra representada </w:t>
      </w:r>
      <w:r w:rsidRPr="004E4EE0">
        <w:rPr>
          <w:rFonts w:ascii="Verdana" w:eastAsia="Times New Roman" w:hAnsi="Verdana" w:cs="Times New Roman"/>
          <w:i/>
          <w:iCs/>
          <w:color w:val="000000"/>
          <w:kern w:val="0"/>
          <w:lang w:val="es-CO" w:eastAsia="es-MX"/>
          <w14:ligatures w14:val="none"/>
        </w:rPr>
        <w:lastRenderedPageBreak/>
        <w:t xml:space="preserve">la totalidad de los asociados sin previa convocatoria (artículos 110 </w:t>
      </w:r>
      <w:proofErr w:type="spellStart"/>
      <w:r w:rsidRPr="004E4EE0">
        <w:rPr>
          <w:rFonts w:ascii="Verdana" w:eastAsia="Times New Roman" w:hAnsi="Verdana" w:cs="Times New Roman"/>
          <w:i/>
          <w:iCs/>
          <w:color w:val="000000"/>
          <w:kern w:val="0"/>
          <w:lang w:val="es-CO" w:eastAsia="es-MX"/>
          <w14:ligatures w14:val="none"/>
        </w:rPr>
        <w:t>Num</w:t>
      </w:r>
      <w:proofErr w:type="spellEnd"/>
      <w:r w:rsidRPr="004E4EE0">
        <w:rPr>
          <w:rFonts w:ascii="Verdana" w:eastAsia="Times New Roman" w:hAnsi="Verdana" w:cs="Times New Roman"/>
          <w:i/>
          <w:iCs/>
          <w:color w:val="000000"/>
          <w:kern w:val="0"/>
          <w:lang w:val="es-CO" w:eastAsia="es-MX"/>
          <w14:ligatures w14:val="none"/>
        </w:rPr>
        <w:t xml:space="preserve">. 3º, 182 y 186 </w:t>
      </w:r>
      <w:proofErr w:type="spellStart"/>
      <w:r w:rsidRPr="004E4EE0">
        <w:rPr>
          <w:rFonts w:ascii="Verdana" w:eastAsia="Times New Roman" w:hAnsi="Verdana" w:cs="Times New Roman"/>
          <w:i/>
          <w:iCs/>
          <w:color w:val="000000"/>
          <w:kern w:val="0"/>
          <w:lang w:val="es-CO" w:eastAsia="es-MX"/>
          <w14:ligatures w14:val="none"/>
        </w:rPr>
        <w:t>C.Co</w:t>
      </w:r>
      <w:proofErr w:type="spellEnd"/>
      <w:r w:rsidRPr="004E4EE0">
        <w:rPr>
          <w:rFonts w:ascii="Verdana" w:eastAsia="Times New Roman" w:hAnsi="Verdana" w:cs="Times New Roman"/>
          <w:i/>
          <w:iCs/>
          <w:color w:val="000000"/>
          <w:kern w:val="0"/>
          <w:lang w:val="es-CO" w:eastAsia="es-MX"/>
          <w14:ligatures w14:val="none"/>
        </w:rPr>
        <w:t xml:space="preserve">). </w:t>
      </w:r>
      <w:r w:rsidRPr="004E4EE0">
        <w:rPr>
          <w:rFonts w:ascii="Verdana" w:eastAsia="Times New Roman" w:hAnsi="Verdana" w:cs="Times New Roman"/>
          <w:color w:val="000000"/>
          <w:kern w:val="0"/>
          <w:lang w:val="es-CO" w:eastAsia="es-MX"/>
          <w14:ligatures w14:val="none"/>
        </w:rPr>
        <w:t>(El llamado es nuestro).</w:t>
      </w:r>
    </w:p>
    <w:p w14:paraId="6ACA7A7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4C93E35"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Ahora bien, las determinaciones de la junta de socios o de la asamblea general de accionistas deben tener relación directa con la liquidación, de conformidad con lo previsto en el artículo 223 del Código de Comercio. De allí que el máximo órgano social cuente entre sus facultades con las de nombrar liquidador, considerar los estados de liquidación, el inventario y el informe del liquidador, aprobar el balance así como la cuenta final de liquidación, documentos estos que el liquidador está obligado a presentar a la junta de socios o a la asamblea de accionistas, En los términos de los artículos 226 y 248 del mencionado ordenamiento.</w:t>
      </w:r>
    </w:p>
    <w:p w14:paraId="676477C1"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45314BD"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Lo anterior significa que la junta de socios o la asamblea de accionistas, según el tipo societario de que se trate, están legitimadas para adoptar decisiones en materia de liquidación, orientando y direccionando la labor del liquidador en dicho proceso, sin que ello implique que el máximo órgano social asuma las facultades y obligaciones legales del mencionado administrador, toda vez que tal circunstancia solo se presenta cuando quiera que en sociedades por cuotas o partes de interés los socios por unanimidad deciden adelantar por sí mismos y de manera directa la liquidación, en cuyo caso estos sí tienen las facultades y obligaciones de dicho liquidador (artículo 229 </w:t>
      </w:r>
      <w:proofErr w:type="spellStart"/>
      <w:r w:rsidRPr="004E4EE0">
        <w:rPr>
          <w:rFonts w:ascii="Verdana" w:eastAsia="Times New Roman" w:hAnsi="Verdana" w:cs="Times New Roman"/>
          <w:i/>
          <w:iCs/>
          <w:color w:val="000000"/>
          <w:kern w:val="0"/>
          <w:lang w:val="es-CO" w:eastAsia="es-MX"/>
          <w14:ligatures w14:val="none"/>
        </w:rPr>
        <w:t>C.Co</w:t>
      </w:r>
      <w:proofErr w:type="spellEnd"/>
      <w:r w:rsidRPr="004E4EE0">
        <w:rPr>
          <w:rFonts w:ascii="Verdana" w:eastAsia="Times New Roman" w:hAnsi="Verdana" w:cs="Times New Roman"/>
          <w:i/>
          <w:iCs/>
          <w:color w:val="000000"/>
          <w:kern w:val="0"/>
          <w:lang w:val="es-CO" w:eastAsia="es-MX"/>
          <w14:ligatures w14:val="none"/>
        </w:rPr>
        <w:t>).</w:t>
      </w:r>
    </w:p>
    <w:p w14:paraId="524F402B"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55DA396"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Y por ser el máximo órgano social quien designa al liquidador, este debe rendir cuentas de su gestión y presentar estados de la liquidación a dicho órgano (artículos 238 </w:t>
      </w:r>
      <w:proofErr w:type="spellStart"/>
      <w:r w:rsidRPr="004E4EE0">
        <w:rPr>
          <w:rFonts w:ascii="Verdana" w:eastAsia="Times New Roman" w:hAnsi="Verdana" w:cs="Times New Roman"/>
          <w:i/>
          <w:iCs/>
          <w:color w:val="000000"/>
          <w:kern w:val="0"/>
          <w:lang w:val="es-CO" w:eastAsia="es-MX"/>
          <w14:ligatures w14:val="none"/>
        </w:rPr>
        <w:t>Num</w:t>
      </w:r>
      <w:proofErr w:type="spellEnd"/>
      <w:r w:rsidRPr="004E4EE0">
        <w:rPr>
          <w:rFonts w:ascii="Verdana" w:eastAsia="Times New Roman" w:hAnsi="Verdana" w:cs="Times New Roman"/>
          <w:i/>
          <w:iCs/>
          <w:color w:val="000000"/>
          <w:kern w:val="0"/>
          <w:lang w:val="es-CO" w:eastAsia="es-MX"/>
          <w14:ligatures w14:val="none"/>
        </w:rPr>
        <w:t xml:space="preserve">. 8º </w:t>
      </w:r>
      <w:proofErr w:type="spellStart"/>
      <w:r w:rsidRPr="004E4EE0">
        <w:rPr>
          <w:rFonts w:ascii="Verdana" w:eastAsia="Times New Roman" w:hAnsi="Verdana" w:cs="Times New Roman"/>
          <w:i/>
          <w:iCs/>
          <w:color w:val="000000"/>
          <w:kern w:val="0"/>
          <w:lang w:val="es-CO" w:eastAsia="es-MX"/>
          <w14:ligatures w14:val="none"/>
        </w:rPr>
        <w:t>C.Co</w:t>
      </w:r>
      <w:proofErr w:type="spellEnd"/>
      <w:r w:rsidRPr="004E4EE0">
        <w:rPr>
          <w:rFonts w:ascii="Verdana" w:eastAsia="Times New Roman" w:hAnsi="Verdana" w:cs="Times New Roman"/>
          <w:i/>
          <w:iCs/>
          <w:color w:val="000000"/>
          <w:kern w:val="0"/>
          <w:lang w:val="es-CO" w:eastAsia="es-MX"/>
          <w14:ligatures w14:val="none"/>
        </w:rPr>
        <w:t xml:space="preserve"> y 45 Ley 222 de 1995), lo cual indica que la junta de socios o la asamblea ejercen la dirección y el control sobre el proceso </w:t>
      </w:r>
      <w:proofErr w:type="spellStart"/>
      <w:r w:rsidRPr="004E4EE0">
        <w:rPr>
          <w:rFonts w:ascii="Verdana" w:eastAsia="Times New Roman" w:hAnsi="Verdana" w:cs="Times New Roman"/>
          <w:i/>
          <w:iCs/>
          <w:color w:val="000000"/>
          <w:kern w:val="0"/>
          <w:lang w:val="es-CO" w:eastAsia="es-MX"/>
          <w14:ligatures w14:val="none"/>
        </w:rPr>
        <w:t>liquidatorio</w:t>
      </w:r>
      <w:proofErr w:type="spellEnd"/>
      <w:r w:rsidRPr="004E4EE0">
        <w:rPr>
          <w:rFonts w:ascii="Verdana" w:eastAsia="Times New Roman" w:hAnsi="Verdana" w:cs="Times New Roman"/>
          <w:i/>
          <w:iCs/>
          <w:color w:val="000000"/>
          <w:kern w:val="0"/>
          <w:lang w:val="es-CO" w:eastAsia="es-MX"/>
          <w14:ligatures w14:val="none"/>
        </w:rPr>
        <w:t>, pudiendo impartir instrucciones al liquidador sobre el particular, sin perjuicio de las funciones que por ley le corresponden a dicho administrador.</w:t>
      </w:r>
    </w:p>
    <w:p w14:paraId="345995E6"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BD85B50"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Dentro de las funciones del liquidador se encuentran las consagradas en el artículo 238 del Estatuto Mercantil, las que si bien son de carácter amplio están restringidas por circunstancias de orden general y particular. A nivel general los actos y operaciones que adelanta el liquidador encuentran límites en la finalidad perseguida en el trámite </w:t>
      </w:r>
      <w:proofErr w:type="spellStart"/>
      <w:r w:rsidRPr="004E4EE0">
        <w:rPr>
          <w:rFonts w:ascii="Verdana" w:eastAsia="Times New Roman" w:hAnsi="Verdana" w:cs="Times New Roman"/>
          <w:i/>
          <w:iCs/>
          <w:color w:val="000000"/>
          <w:kern w:val="0"/>
          <w:lang w:val="es-CO" w:eastAsia="es-MX"/>
          <w14:ligatures w14:val="none"/>
        </w:rPr>
        <w:t>liquidatorio</w:t>
      </w:r>
      <w:proofErr w:type="spellEnd"/>
      <w:r w:rsidRPr="004E4EE0">
        <w:rPr>
          <w:rFonts w:ascii="Verdana" w:eastAsia="Times New Roman" w:hAnsi="Verdana" w:cs="Times New Roman"/>
          <w:i/>
          <w:iCs/>
          <w:color w:val="000000"/>
          <w:kern w:val="0"/>
          <w:lang w:val="es-CO" w:eastAsia="es-MX"/>
          <w14:ligatures w14:val="none"/>
        </w:rPr>
        <w:t xml:space="preserve">, cual es la de proceder a la inmediata liquidación de la sociedad, así como en las determinaciones de la junta de socios o asamblea de accionistas como órgano de dirección y control del proceso (artículos 222 y 228 </w:t>
      </w:r>
      <w:proofErr w:type="spellStart"/>
      <w:r w:rsidRPr="004E4EE0">
        <w:rPr>
          <w:rFonts w:ascii="Verdana" w:eastAsia="Times New Roman" w:hAnsi="Verdana" w:cs="Times New Roman"/>
          <w:i/>
          <w:iCs/>
          <w:color w:val="000000"/>
          <w:kern w:val="0"/>
          <w:lang w:val="es-CO" w:eastAsia="es-MX"/>
          <w14:ligatures w14:val="none"/>
        </w:rPr>
        <w:lastRenderedPageBreak/>
        <w:t>C.Co</w:t>
      </w:r>
      <w:proofErr w:type="spellEnd"/>
      <w:r w:rsidRPr="004E4EE0">
        <w:rPr>
          <w:rFonts w:ascii="Verdana" w:eastAsia="Times New Roman" w:hAnsi="Verdana" w:cs="Times New Roman"/>
          <w:i/>
          <w:iCs/>
          <w:color w:val="000000"/>
          <w:kern w:val="0"/>
          <w:lang w:val="es-CO" w:eastAsia="es-MX"/>
          <w14:ligatures w14:val="none"/>
        </w:rPr>
        <w:t xml:space="preserve">). En tanto que en el plano particular la restricción a las facultades del liquidador la contempla la ley en materia de venta de activos sociales, en donde dicho administrador no está legitimado para vender aquellos bienes que por razón del contrato social o de disposición de los asociados deben ser distribuidos en especie (artículo 238 </w:t>
      </w:r>
      <w:proofErr w:type="spellStart"/>
      <w:r w:rsidRPr="004E4EE0">
        <w:rPr>
          <w:rFonts w:ascii="Verdana" w:eastAsia="Times New Roman" w:hAnsi="Verdana" w:cs="Times New Roman"/>
          <w:i/>
          <w:iCs/>
          <w:color w:val="000000"/>
          <w:kern w:val="0"/>
          <w:lang w:val="es-CO" w:eastAsia="es-MX"/>
          <w14:ligatures w14:val="none"/>
        </w:rPr>
        <w:t>Num</w:t>
      </w:r>
      <w:proofErr w:type="spellEnd"/>
      <w:r w:rsidRPr="004E4EE0">
        <w:rPr>
          <w:rFonts w:ascii="Verdana" w:eastAsia="Times New Roman" w:hAnsi="Verdana" w:cs="Times New Roman"/>
          <w:i/>
          <w:iCs/>
          <w:color w:val="000000"/>
          <w:kern w:val="0"/>
          <w:lang w:val="es-CO" w:eastAsia="es-MX"/>
          <w14:ligatures w14:val="none"/>
        </w:rPr>
        <w:t xml:space="preserve">. 5º </w:t>
      </w:r>
      <w:proofErr w:type="spellStart"/>
      <w:r w:rsidRPr="004E4EE0">
        <w:rPr>
          <w:rFonts w:ascii="Verdana" w:eastAsia="Times New Roman" w:hAnsi="Verdana" w:cs="Times New Roman"/>
          <w:i/>
          <w:iCs/>
          <w:color w:val="000000"/>
          <w:kern w:val="0"/>
          <w:lang w:val="es-CO" w:eastAsia="es-MX"/>
          <w14:ligatures w14:val="none"/>
        </w:rPr>
        <w:t>ibídem</w:t>
      </w:r>
      <w:proofErr w:type="spellEnd"/>
      <w:r w:rsidRPr="004E4EE0">
        <w:rPr>
          <w:rFonts w:ascii="Verdana" w:eastAsia="Times New Roman" w:hAnsi="Verdana" w:cs="Times New Roman"/>
          <w:i/>
          <w:iCs/>
          <w:color w:val="000000"/>
          <w:kern w:val="0"/>
          <w:lang w:val="es-CO" w:eastAsia="es-MX"/>
          <w14:ligatures w14:val="none"/>
        </w:rPr>
        <w:t>). “</w:t>
      </w:r>
    </w:p>
    <w:p w14:paraId="66340632"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4DE88D9"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Se colige de lo anterior que, al estar la sociedad en liquidación voluntaria o privada, su capacidad queda reducida a los actos de la inmediata liquidación, restricción que ata las funciones del máximo órgano social, el cual sí debe reunirse. Tales reuniones (ordinarias o extraordinarias) se referirán a iniciar, desarrollar y concluir el proceso de liquidación en lo que a las atribuciones del máximo órgano social alude.</w:t>
      </w:r>
    </w:p>
    <w:p w14:paraId="1834E120"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3FAD3881" w14:textId="77777777" w:rsidR="004E4EE0" w:rsidRPr="004E4EE0" w:rsidRDefault="004E4EE0" w:rsidP="004E4EE0">
      <w:pPr>
        <w:numPr>
          <w:ilvl w:val="0"/>
          <w:numId w:val="2"/>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“¿Los informes de gestión y estados financieros presentados al máximo órgano social deben ser sometidos a aprobación de dicho órgano, o su presentación cumple únicamente fines informativos?”</w:t>
      </w:r>
    </w:p>
    <w:p w14:paraId="735D8952"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66A1489"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A diferencia de una liquidación judicial de una sociedad, regida por la Ley 1116 de 2006, que como efecto conlleva la cesación de funciones de los órganos sociales de la persona jurídica, en la liquidación voluntaria el máximo órgano social subsiste en el ejercicio de sus tareas, más como ya se indicó, aminoradas a los fines propios de la liquidación, asunto así previsto en el artículo 225 del Código de Comercio por el cual durante el período de la liquidación, el máximo órgano social seguirá reuniéndose para sus sesiones ordinarias, o cuando sea convocada por el liquidador, el revisor fiscal o la Superintendencia, según el caso.</w:t>
      </w:r>
    </w:p>
    <w:p w14:paraId="0EA2AE74"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20B5416"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Por su parte, los artículos 45 y 46 de la Ley 222 de 1995, obligan al administrador (calidad que conforme al artículo 22 ibidem ostenta el liquidador) en la oportunidad prevista en la ley o en los estatutos, a presentar al máximo órgano social para su aprobación o no, cuentas comprobadas de su gestión (informe de gestión) presentando para el efecto los estados financieros pertinentes a la liquidación que adelanta.</w:t>
      </w:r>
    </w:p>
    <w:p w14:paraId="57A58F75"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57D4F94"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Conforme al Decreto 2420 de 2015, en su Título 5 de la Parte 1 del Libro 1 (Anexo 5, adicionado por el Decreto 2101 de 2016), una sociedad en liquidación voluntaria que aplica la base contable del valor neto de liquidación debe preparar obligatoriamente los siguientes estados financieros:</w:t>
      </w:r>
    </w:p>
    <w:p w14:paraId="33628C9A"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66B8AD62" w14:textId="77777777" w:rsidR="004E4EE0" w:rsidRPr="004E4EE0" w:rsidRDefault="004E4EE0" w:rsidP="004E4EE0">
      <w:pPr>
        <w:numPr>
          <w:ilvl w:val="0"/>
          <w:numId w:val="3"/>
        </w:numPr>
        <w:jc w:val="both"/>
        <w:textAlignment w:val="baseline"/>
        <w:rPr>
          <w:rFonts w:ascii="Verdana" w:eastAsia="Times New Roman" w:hAnsi="Verdana"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Estados financieros obligatorios:</w:t>
      </w:r>
    </w:p>
    <w:p w14:paraId="55E086B4" w14:textId="77777777" w:rsidR="004E4EE0" w:rsidRPr="004E4EE0" w:rsidRDefault="004E4EE0" w:rsidP="004E4EE0">
      <w:pPr>
        <w:numPr>
          <w:ilvl w:val="0"/>
          <w:numId w:val="4"/>
        </w:numPr>
        <w:jc w:val="both"/>
        <w:textAlignment w:val="baseline"/>
        <w:rPr>
          <w:rFonts w:ascii="Noto Sans Symbols" w:eastAsia="Times New Roman" w:hAnsi="Noto Sans Symbols"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lastRenderedPageBreak/>
        <w:t>Estado de los activos netos en liquidación.</w:t>
      </w:r>
    </w:p>
    <w:p w14:paraId="219C9C22" w14:textId="77777777" w:rsidR="004E4EE0" w:rsidRPr="004E4EE0" w:rsidRDefault="004E4EE0" w:rsidP="004E4EE0">
      <w:pPr>
        <w:numPr>
          <w:ilvl w:val="0"/>
          <w:numId w:val="4"/>
        </w:numPr>
        <w:jc w:val="both"/>
        <w:textAlignment w:val="baseline"/>
        <w:rPr>
          <w:rFonts w:ascii="Noto Sans Symbols" w:eastAsia="Times New Roman" w:hAnsi="Noto Sans Symbols"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Estado de cambios en los activos netos en liquidación</w:t>
      </w:r>
    </w:p>
    <w:p w14:paraId="101E77AE"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7BE211F1" w14:textId="77777777" w:rsidR="004E4EE0" w:rsidRPr="004E4EE0" w:rsidRDefault="004E4EE0" w:rsidP="004E4EE0">
      <w:pPr>
        <w:numPr>
          <w:ilvl w:val="0"/>
          <w:numId w:val="5"/>
        </w:numPr>
        <w:jc w:val="both"/>
        <w:textAlignment w:val="baseline"/>
        <w:rPr>
          <w:rFonts w:ascii="Verdana" w:eastAsia="Times New Roman" w:hAnsi="Verdana"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Estados financieros opcionales:</w:t>
      </w:r>
    </w:p>
    <w:p w14:paraId="2AD7528C" w14:textId="77777777" w:rsidR="004E4EE0" w:rsidRPr="004E4EE0" w:rsidRDefault="004E4EE0" w:rsidP="004E4EE0">
      <w:pPr>
        <w:numPr>
          <w:ilvl w:val="0"/>
          <w:numId w:val="6"/>
        </w:numPr>
        <w:jc w:val="both"/>
        <w:textAlignment w:val="baseline"/>
        <w:rPr>
          <w:rFonts w:ascii="Noto Sans Symbols" w:eastAsia="Times New Roman" w:hAnsi="Noto Sans Symbols"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Estado de flujos de efectivo de la liquidación.</w:t>
      </w:r>
    </w:p>
    <w:p w14:paraId="2186926A" w14:textId="77777777" w:rsidR="004E4EE0" w:rsidRPr="004E4EE0" w:rsidRDefault="004E4EE0" w:rsidP="004E4EE0">
      <w:pPr>
        <w:numPr>
          <w:ilvl w:val="0"/>
          <w:numId w:val="6"/>
        </w:numPr>
        <w:jc w:val="both"/>
        <w:textAlignment w:val="baseline"/>
        <w:rPr>
          <w:rFonts w:ascii="Noto Sans Symbols" w:eastAsia="Times New Roman" w:hAnsi="Noto Sans Symbols"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Estado de operaciones de la liquidación.</w:t>
      </w:r>
    </w:p>
    <w:p w14:paraId="42AB9FE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D227859"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Ahora bien, si la entidad opta por </w:t>
      </w:r>
      <w:r w:rsidRPr="004E4EE0">
        <w:rPr>
          <w:rFonts w:ascii="Verdana" w:eastAsia="Times New Roman" w:hAnsi="Verdana" w:cs="Times New Roman"/>
          <w:b/>
          <w:bCs/>
          <w:color w:val="000000"/>
          <w:kern w:val="0"/>
          <w:lang w:val="es-CO" w:eastAsia="es-MX"/>
          <w14:ligatures w14:val="none"/>
        </w:rPr>
        <w:t>no presentar el estado de operaciones de la liquidación</w:t>
      </w:r>
      <w:r w:rsidRPr="004E4EE0">
        <w:rPr>
          <w:rFonts w:ascii="Verdana" w:eastAsia="Times New Roman" w:hAnsi="Verdana" w:cs="Times New Roman"/>
          <w:color w:val="000000"/>
          <w:kern w:val="0"/>
          <w:lang w:val="es-CO" w:eastAsia="es-MX"/>
          <w14:ligatures w14:val="none"/>
        </w:rPr>
        <w:t xml:space="preserve">, los ingresos, gastos y demás cambios de valor de los activos y pasivos ocurridos durante el período deberán detallarse en el </w:t>
      </w:r>
      <w:r w:rsidRPr="004E4EE0">
        <w:rPr>
          <w:rFonts w:ascii="Verdana" w:eastAsia="Times New Roman" w:hAnsi="Verdana" w:cs="Times New Roman"/>
          <w:b/>
          <w:bCs/>
          <w:color w:val="000000"/>
          <w:kern w:val="0"/>
          <w:lang w:val="es-CO" w:eastAsia="es-MX"/>
          <w14:ligatures w14:val="none"/>
        </w:rPr>
        <w:t>estado de cambios en los activos netos en liquidación.</w:t>
      </w:r>
    </w:p>
    <w:p w14:paraId="3E6FCBD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1EBEB51"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Así mismo, si la entidad decide </w:t>
      </w:r>
      <w:r w:rsidRPr="004E4EE0">
        <w:rPr>
          <w:rFonts w:ascii="Verdana" w:eastAsia="Times New Roman" w:hAnsi="Verdana" w:cs="Times New Roman"/>
          <w:b/>
          <w:bCs/>
          <w:color w:val="000000"/>
          <w:kern w:val="0"/>
          <w:lang w:val="es-CO" w:eastAsia="es-MX"/>
          <w14:ligatures w14:val="none"/>
        </w:rPr>
        <w:t>no presentar el estado de flujos de efectivo de la liquidación</w:t>
      </w:r>
      <w:r w:rsidRPr="004E4EE0">
        <w:rPr>
          <w:rFonts w:ascii="Verdana" w:eastAsia="Times New Roman" w:hAnsi="Verdana" w:cs="Times New Roman"/>
          <w:color w:val="000000"/>
          <w:kern w:val="0"/>
          <w:lang w:val="es-CO" w:eastAsia="es-MX"/>
          <w14:ligatures w14:val="none"/>
        </w:rPr>
        <w:t xml:space="preserve">, deberá incluir en las </w:t>
      </w:r>
      <w:r w:rsidRPr="004E4EE0">
        <w:rPr>
          <w:rFonts w:ascii="Verdana" w:eastAsia="Times New Roman" w:hAnsi="Verdana" w:cs="Times New Roman"/>
          <w:b/>
          <w:bCs/>
          <w:color w:val="000000"/>
          <w:kern w:val="0"/>
          <w:lang w:val="es-CO" w:eastAsia="es-MX"/>
          <w14:ligatures w14:val="none"/>
        </w:rPr>
        <w:t>notas a los estados financieros</w:t>
      </w:r>
      <w:r w:rsidRPr="004E4EE0">
        <w:rPr>
          <w:rFonts w:ascii="Verdana" w:eastAsia="Times New Roman" w:hAnsi="Verdana" w:cs="Times New Roman"/>
          <w:color w:val="000000"/>
          <w:kern w:val="0"/>
          <w:lang w:val="es-CO" w:eastAsia="es-MX"/>
          <w14:ligatures w14:val="none"/>
        </w:rPr>
        <w:t xml:space="preserve"> un informe sobre los movimientos de efectivo —entradas y salidas— ocurridos durante el período, derivados de la realización de los activos y la cancelación de los pasivos.</w:t>
      </w:r>
    </w:p>
    <w:p w14:paraId="32AF7810"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09DDE66"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Finalmente, conviene precisar que las </w:t>
      </w:r>
      <w:r w:rsidRPr="004E4EE0">
        <w:rPr>
          <w:rFonts w:ascii="Verdana" w:eastAsia="Times New Roman" w:hAnsi="Verdana" w:cs="Times New Roman"/>
          <w:b/>
          <w:bCs/>
          <w:color w:val="000000"/>
          <w:kern w:val="0"/>
          <w:lang w:val="es-CO" w:eastAsia="es-MX"/>
          <w14:ligatures w14:val="none"/>
        </w:rPr>
        <w:t>notas</w:t>
      </w:r>
      <w:r w:rsidRPr="004E4EE0">
        <w:rPr>
          <w:rFonts w:ascii="Verdana" w:eastAsia="Times New Roman" w:hAnsi="Verdana" w:cs="Times New Roman"/>
          <w:color w:val="000000"/>
          <w:kern w:val="0"/>
          <w:lang w:val="es-CO" w:eastAsia="es-MX"/>
          <w14:ligatures w14:val="none"/>
        </w:rPr>
        <w:t xml:space="preserve"> constituyen </w:t>
      </w:r>
      <w:r w:rsidRPr="004E4EE0">
        <w:rPr>
          <w:rFonts w:ascii="Verdana" w:eastAsia="Times New Roman" w:hAnsi="Verdana" w:cs="Times New Roman"/>
          <w:b/>
          <w:bCs/>
          <w:color w:val="000000"/>
          <w:kern w:val="0"/>
          <w:lang w:val="es-CO" w:eastAsia="es-MX"/>
          <w14:ligatures w14:val="none"/>
        </w:rPr>
        <w:t>parte integral</w:t>
      </w:r>
      <w:r w:rsidRPr="004E4EE0">
        <w:rPr>
          <w:rFonts w:ascii="Verdana" w:eastAsia="Times New Roman" w:hAnsi="Verdana" w:cs="Times New Roman"/>
          <w:color w:val="000000"/>
          <w:kern w:val="0"/>
          <w:lang w:val="es-CO" w:eastAsia="es-MX"/>
          <w14:ligatures w14:val="none"/>
        </w:rPr>
        <w:t xml:space="preserve"> de los estados financieros de una entidad que emplea la base contable del valor neto de liquidación y deben contener la información detallada de sus componentes y las revelaciones mínimas exigidas por la norma. Igualmente, en la fecha inicial de la liquidación debe elaborarse el </w:t>
      </w:r>
      <w:r w:rsidRPr="004E4EE0">
        <w:rPr>
          <w:rFonts w:ascii="Verdana" w:eastAsia="Times New Roman" w:hAnsi="Verdana" w:cs="Times New Roman"/>
          <w:b/>
          <w:bCs/>
          <w:color w:val="000000"/>
          <w:kern w:val="0"/>
          <w:lang w:val="es-CO" w:eastAsia="es-MX"/>
          <w14:ligatures w14:val="none"/>
        </w:rPr>
        <w:t>inventario del patrimonio social</w:t>
      </w:r>
      <w:r w:rsidRPr="004E4EE0">
        <w:rPr>
          <w:rFonts w:ascii="Verdana" w:eastAsia="Times New Roman" w:hAnsi="Verdana" w:cs="Times New Roman"/>
          <w:color w:val="000000"/>
          <w:kern w:val="0"/>
          <w:lang w:val="es-CO" w:eastAsia="es-MX"/>
          <w14:ligatures w14:val="none"/>
        </w:rPr>
        <w:t>, sin que ello sustituya los estados financieros exigidos por el referido marco técnico.</w:t>
      </w:r>
    </w:p>
    <w:p w14:paraId="1369A7B4"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7536427"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Consecuente con lo anterior, el artículo 420 del Código de Comercio detalla las funciones de la asamblea general de accionistas, entre las que serían afines al proceso de liquidación, a manera enunciativa:</w:t>
      </w:r>
    </w:p>
    <w:p w14:paraId="35361C1D"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w:t>
      </w:r>
    </w:p>
    <w:p w14:paraId="77E1463F" w14:textId="77777777" w:rsidR="004E4EE0" w:rsidRPr="004E4EE0" w:rsidRDefault="004E4EE0" w:rsidP="004E4EE0">
      <w:pPr>
        <w:numPr>
          <w:ilvl w:val="0"/>
          <w:numId w:val="7"/>
        </w:numPr>
        <w:jc w:val="both"/>
        <w:textAlignment w:val="baseline"/>
        <w:rPr>
          <w:rFonts w:ascii="Verdana" w:eastAsia="Times New Roman" w:hAnsi="Verdana"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Nombrar al liquidador;</w:t>
      </w:r>
    </w:p>
    <w:p w14:paraId="1850C431"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6D835574" w14:textId="77777777" w:rsidR="004E4EE0" w:rsidRPr="004E4EE0" w:rsidRDefault="004E4EE0" w:rsidP="004E4EE0">
      <w:pPr>
        <w:numPr>
          <w:ilvl w:val="0"/>
          <w:numId w:val="8"/>
        </w:numPr>
        <w:jc w:val="both"/>
        <w:textAlignment w:val="baseline"/>
        <w:rPr>
          <w:rFonts w:ascii="Verdana" w:eastAsia="Times New Roman" w:hAnsi="Verdana"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Considerar los estados de liquidación, el inventario e informes del liquidador;</w:t>
      </w:r>
    </w:p>
    <w:p w14:paraId="6272322F"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1FC1641"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d) (sic) Ordenar las acciones contra el administrador (liquidador) o el revisor fiscal;</w:t>
      </w:r>
    </w:p>
    <w:p w14:paraId="4EEEAC01"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5498DE3"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 (sic) Elegir y remover libremente a los funcionarios cuya designación le corresponda;</w:t>
      </w:r>
    </w:p>
    <w:p w14:paraId="61D50A0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4EF13E6"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f) (sic) Adoptar las medidas que exigiere el interés de la sociedad;</w:t>
      </w:r>
    </w:p>
    <w:p w14:paraId="22DB3879"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lastRenderedPageBreak/>
        <w:t>g) (sic) La aprobación o no de la rendición de cuentas (junto con el informe de gestión del liquidador y los estados financieros consecuentes con la liquidación y cortados a fin del respectivo ejercicio) y;</w:t>
      </w:r>
    </w:p>
    <w:p w14:paraId="4F122C3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737CF12"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h) (sic) Conforme a lo previsto en el artículo 248 del Código de Comercio las cuentas del liquidador y el acta de distribución de remanente entre socios,</w:t>
      </w:r>
    </w:p>
    <w:p w14:paraId="030F8DC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6BED387"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Todas, atribuciones concordantes a lo estatuido en el artículo 226 ibidem, por el cual el liquidador debe presentar en las reuniones ordinarias de la asamblea o de la junta de socios </w:t>
      </w:r>
      <w:r w:rsidRPr="004E4EE0">
        <w:rPr>
          <w:rFonts w:ascii="Verdana" w:eastAsia="Times New Roman" w:hAnsi="Verdana" w:cs="Times New Roman"/>
          <w:i/>
          <w:iCs/>
          <w:color w:val="000000"/>
          <w:kern w:val="0"/>
          <w:lang w:val="es-CO" w:eastAsia="es-MX"/>
          <w14:ligatures w14:val="none"/>
        </w:rPr>
        <w:t>“estados de liquidación, con un informe razonado sobre su desarrollo, un balance general y un inventario detallado”</w:t>
      </w:r>
      <w:r w:rsidRPr="004E4EE0">
        <w:rPr>
          <w:rFonts w:ascii="Verdana" w:eastAsia="Times New Roman" w:hAnsi="Verdana" w:cs="Times New Roman"/>
          <w:color w:val="000000"/>
          <w:kern w:val="0"/>
          <w:lang w:val="es-CO" w:eastAsia="es-MX"/>
          <w14:ligatures w14:val="none"/>
        </w:rPr>
        <w:t>, documentos que además deberán estar a disposición de los asociados durante el término de la convocatoria, para el respectivo ejercicio de su derecho de inspección.</w:t>
      </w:r>
    </w:p>
    <w:p w14:paraId="61C5996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49B7141"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Las preguntas 3° y 4° serán atendidas en única respuesta, por ser conexas.</w:t>
      </w:r>
    </w:p>
    <w:p w14:paraId="0A54C1E7"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709F74FC" w14:textId="77777777" w:rsidR="004E4EE0" w:rsidRPr="004E4EE0" w:rsidRDefault="004E4EE0" w:rsidP="004E4EE0">
      <w:pPr>
        <w:numPr>
          <w:ilvl w:val="0"/>
          <w:numId w:val="9"/>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“¿Resulta jurídicamente obligatorio establecer un orden del día previo? En caso afirmativo,</w:t>
      </w:r>
    </w:p>
    <w:p w14:paraId="3057DEF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612318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¿existe la obligación de incluir puntos específicos como la aprobación del acta anterior?”</w:t>
      </w:r>
    </w:p>
    <w:p w14:paraId="7303DD6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6521AA0"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El acto de convocatoria a la reunión del máximo órgano social es de suma importancia para el funcionamiento de una sociedad, sin importar si adelanta una liquidación voluntaria, pues éste pondera la transparencia y claridad en la información del administrador/liquidador con los asociados, imperando que se informe a todos los socios de manera oportuna, clara y completa los temas que serán discutidos, cuyo propósito es que se cuente y esté a disposición de los asociados con la información necesaria para el adecuado ejercicio del derecho de inspección cuando haya lugar, lo cual les permita informarse y ejercer sus derechos.</w:t>
      </w:r>
    </w:p>
    <w:p w14:paraId="46D4545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AB4CDA5"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Frente al contenido de la convocatoria debe remitirse a los artículos 181, 422 y 424 del Código de Comercio y 20 y 21 de la Ley 1258 de 2008.</w:t>
      </w:r>
    </w:p>
    <w:p w14:paraId="654221AF"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Así mismo, en su Circular Básica Jurídica esta entidad advierte sobre contenido de la convocatoria del máximo órgano social, aparte que se transcribe:</w:t>
      </w:r>
    </w:p>
    <w:p w14:paraId="3513223F"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A15A567"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 Contenido de la convocatoria. La convocatoria deberá tener cuanto menos, lo siguiente:</w:t>
      </w:r>
    </w:p>
    <w:p w14:paraId="6B77241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4AFEDE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lastRenderedPageBreak/>
        <w:t>3.4.1.</w:t>
      </w:r>
      <w:r w:rsidRPr="004E4EE0">
        <w:rPr>
          <w:rFonts w:ascii="Verdana" w:eastAsia="Times New Roman" w:hAnsi="Verdana" w:cs="Times New Roman"/>
          <w:i/>
          <w:iCs/>
          <w:color w:val="000000"/>
          <w:kern w:val="0"/>
          <w:lang w:val="es-CO" w:eastAsia="es-MX"/>
          <w14:ligatures w14:val="none"/>
        </w:rPr>
        <w:tab/>
        <w:t>Nombre de la sociedad.</w:t>
      </w:r>
    </w:p>
    <w:p w14:paraId="7C47950E"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12E32D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3.4.2.</w:t>
      </w:r>
      <w:r w:rsidRPr="004E4EE0">
        <w:rPr>
          <w:rFonts w:ascii="Verdana" w:eastAsia="Times New Roman" w:hAnsi="Verdana" w:cs="Times New Roman"/>
          <w:i/>
          <w:iCs/>
          <w:color w:val="000000"/>
          <w:kern w:val="0"/>
          <w:lang w:val="es-CO" w:eastAsia="es-MX"/>
          <w14:ligatures w14:val="none"/>
        </w:rPr>
        <w:tab/>
        <w:t>Órgano que convoca.</w:t>
      </w:r>
    </w:p>
    <w:p w14:paraId="4462675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E23FFC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3.4.3.</w:t>
      </w:r>
      <w:r w:rsidRPr="004E4EE0">
        <w:rPr>
          <w:rFonts w:ascii="Verdana" w:eastAsia="Times New Roman" w:hAnsi="Verdana" w:cs="Times New Roman"/>
          <w:i/>
          <w:iCs/>
          <w:color w:val="000000"/>
          <w:kern w:val="0"/>
          <w:lang w:val="es-CO" w:eastAsia="es-MX"/>
          <w14:ligatures w14:val="none"/>
        </w:rPr>
        <w:tab/>
        <w:t>Fecha de la reunión.</w:t>
      </w:r>
    </w:p>
    <w:p w14:paraId="16192AF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E926194"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3.4.4.</w:t>
      </w:r>
      <w:r w:rsidRPr="004E4EE0">
        <w:rPr>
          <w:rFonts w:ascii="Verdana" w:eastAsia="Times New Roman" w:hAnsi="Verdana" w:cs="Times New Roman"/>
          <w:i/>
          <w:iCs/>
          <w:color w:val="000000"/>
          <w:kern w:val="0"/>
          <w:lang w:val="es-CO" w:eastAsia="es-MX"/>
          <w14:ligatures w14:val="none"/>
        </w:rPr>
        <w:tab/>
        <w:t>Hora de la reunión.</w:t>
      </w:r>
    </w:p>
    <w:p w14:paraId="30B663C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01E8A2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3.4.5.</w:t>
      </w:r>
      <w:r w:rsidRPr="004E4EE0">
        <w:rPr>
          <w:rFonts w:ascii="Verdana" w:eastAsia="Times New Roman" w:hAnsi="Verdana" w:cs="Times New Roman"/>
          <w:i/>
          <w:iCs/>
          <w:color w:val="000000"/>
          <w:kern w:val="0"/>
          <w:lang w:val="es-CO" w:eastAsia="es-MX"/>
          <w14:ligatures w14:val="none"/>
        </w:rPr>
        <w:tab/>
        <w:t>Ciudad.</w:t>
      </w:r>
    </w:p>
    <w:p w14:paraId="0EA7EC1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B18FEFA"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3.4.6.</w:t>
      </w:r>
      <w:r w:rsidRPr="004E4EE0">
        <w:rPr>
          <w:rFonts w:ascii="Verdana" w:eastAsia="Times New Roman" w:hAnsi="Verdana" w:cs="Times New Roman"/>
          <w:i/>
          <w:iCs/>
          <w:color w:val="000000"/>
          <w:kern w:val="0"/>
          <w:lang w:val="es-CO" w:eastAsia="es-MX"/>
          <w14:ligatures w14:val="none"/>
        </w:rPr>
        <w:tab/>
        <w:t>Indicar si la reunión es presencial, no presencial o mixta. (…)”</w:t>
      </w:r>
    </w:p>
    <w:p w14:paraId="68FAA7BE"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3020594"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3.4.7. Para las reuniones no presenciales y mixtas, será necesario advertir sobre el medio utilizado para el desarrollo de la reunión (plataforma tecnológica, línea telefónica, entre otras), el procedimiento para la verificación de la identidad de los participantes y la forma en la que se dará el uso de la palabra.</w:t>
      </w:r>
    </w:p>
    <w:p w14:paraId="2F9CEBA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208A335"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3.4.8. </w:t>
      </w:r>
      <w:r w:rsidRPr="004E4EE0">
        <w:rPr>
          <w:rFonts w:ascii="Verdana" w:eastAsia="Times New Roman" w:hAnsi="Verdana" w:cs="Times New Roman"/>
          <w:b/>
          <w:bCs/>
          <w:i/>
          <w:iCs/>
          <w:color w:val="000000"/>
          <w:kern w:val="0"/>
          <w:u w:val="single"/>
          <w:lang w:val="es-CO" w:eastAsia="es-MX"/>
          <w14:ligatures w14:val="none"/>
        </w:rPr>
        <w:t>Orden del día, cuando se trate de reuniones extraordinarias o en las ordinarias o extraordinarias de la S.A.S.</w:t>
      </w:r>
    </w:p>
    <w:p w14:paraId="1069FDAD"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D358C05"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w:t>
      </w:r>
    </w:p>
    <w:p w14:paraId="1A49822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1138A1C"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3.4.11. Cuando se trate de aprobar estados financieros, se sugiere indicar a los asociados que tienen a su disposición todos los documentos para el ejercicio del derecho de inspección.</w:t>
      </w:r>
    </w:p>
    <w:p w14:paraId="35A60986"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DC819BE"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3.4.12. Las previsiones legales en materia de convocatoria para la S.A.S., son de carácter supletivo, por lo que los asociados podrán pactar en los estatutos reglas diferentes sobre medio y personas facultadas para convocar. En caso de la antelación para convocar, podrán pactarse reglas superiores. También en este tipo social, los accionistas podrán renunciar a su derecho a ser convocados a una reunión determinada de la asamblea, mediante comunicación escrita enviada al representante legal de la sociedad antes, durante o después de la sesión correspondiente. Igualmente, si no hubieren sido convocados a la asamblea, se entenderá que los accionistas que asistan a la reunión correspondiente han renunciado al derecho a ser convocados, a menos que manifiesten su inconformidad con la falta de convocatoria antes de que la reunión se lleve a cabo. (…)”</w:t>
      </w:r>
    </w:p>
    <w:p w14:paraId="4090737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0AAE6EA"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Conforme a lo anterior, la respuesta a esta pregunta presenta ciertas variables:</w:t>
      </w:r>
    </w:p>
    <w:p w14:paraId="37695F72"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lastRenderedPageBreak/>
        <w:br/>
      </w:r>
    </w:p>
    <w:p w14:paraId="607F7A58" w14:textId="77777777" w:rsidR="004E4EE0" w:rsidRPr="004E4EE0" w:rsidRDefault="004E4EE0" w:rsidP="004E4EE0">
      <w:pPr>
        <w:numPr>
          <w:ilvl w:val="0"/>
          <w:numId w:val="10"/>
        </w:numPr>
        <w:jc w:val="both"/>
        <w:textAlignment w:val="baseline"/>
        <w:rPr>
          <w:rFonts w:ascii="Verdana" w:eastAsia="Times New Roman" w:hAnsi="Verdana"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Si es una sociedad regida por el Código de Comercio:</w:t>
      </w:r>
    </w:p>
    <w:p w14:paraId="158576C9" w14:textId="77777777" w:rsidR="004E4EE0" w:rsidRPr="004E4EE0" w:rsidRDefault="004E4EE0" w:rsidP="004E4EE0">
      <w:pPr>
        <w:numPr>
          <w:ilvl w:val="0"/>
          <w:numId w:val="11"/>
        </w:numPr>
        <w:jc w:val="both"/>
        <w:textAlignment w:val="baseline"/>
        <w:rPr>
          <w:rFonts w:ascii="Noto Sans Symbols" w:eastAsia="Times New Roman" w:hAnsi="Noto Sans Symbols" w:cs="Times New Roman"/>
          <w:color w:val="000000"/>
          <w:kern w:val="0"/>
          <w:lang w:val="es-CO" w:eastAsia="es-MX"/>
          <w14:ligatures w14:val="none"/>
        </w:rPr>
      </w:pPr>
      <w:r w:rsidRPr="004E4EE0">
        <w:rPr>
          <w:rFonts w:ascii="Verdana" w:eastAsia="Times New Roman" w:hAnsi="Verdana" w:cs="Times New Roman"/>
          <w:b/>
          <w:bCs/>
          <w:color w:val="000000"/>
          <w:kern w:val="0"/>
          <w:lang w:val="es-CO" w:eastAsia="es-MX"/>
          <w14:ligatures w14:val="none"/>
        </w:rPr>
        <w:t>No es un requisito legal</w:t>
      </w:r>
      <w:r w:rsidRPr="004E4EE0">
        <w:rPr>
          <w:rFonts w:ascii="Verdana" w:eastAsia="Times New Roman" w:hAnsi="Verdana" w:cs="Times New Roman"/>
          <w:color w:val="000000"/>
          <w:kern w:val="0"/>
          <w:lang w:val="es-CO" w:eastAsia="es-MX"/>
          <w14:ligatures w14:val="none"/>
        </w:rPr>
        <w:t xml:space="preserve"> que la convocatoria de la </w:t>
      </w:r>
      <w:r w:rsidRPr="004E4EE0">
        <w:rPr>
          <w:rFonts w:ascii="Verdana" w:eastAsia="Times New Roman" w:hAnsi="Verdana" w:cs="Times New Roman"/>
          <w:b/>
          <w:bCs/>
          <w:color w:val="000000"/>
          <w:kern w:val="0"/>
          <w:lang w:val="es-CO" w:eastAsia="es-MX"/>
          <w14:ligatures w14:val="none"/>
        </w:rPr>
        <w:t>reunión ordinaria</w:t>
      </w:r>
      <w:r w:rsidRPr="004E4EE0">
        <w:rPr>
          <w:rFonts w:ascii="Verdana" w:eastAsia="Times New Roman" w:hAnsi="Verdana" w:cs="Times New Roman"/>
          <w:color w:val="000000"/>
          <w:kern w:val="0"/>
          <w:lang w:val="es-CO" w:eastAsia="es-MX"/>
          <w14:ligatures w14:val="none"/>
        </w:rPr>
        <w:t xml:space="preserve"> incluya el orden del día, salvo que los estatutos de esa sociedad sí lo exijan. (Artículos 181, 422 y 424 del Código de Comercio).</w:t>
      </w:r>
    </w:p>
    <w:p w14:paraId="3C2AB750"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4DC75E0A" w14:textId="77777777" w:rsidR="004E4EE0" w:rsidRPr="004E4EE0" w:rsidRDefault="004E4EE0" w:rsidP="004E4EE0">
      <w:pPr>
        <w:numPr>
          <w:ilvl w:val="0"/>
          <w:numId w:val="12"/>
        </w:numPr>
        <w:jc w:val="both"/>
        <w:textAlignment w:val="baseline"/>
        <w:rPr>
          <w:rFonts w:ascii="Noto Sans Symbols" w:eastAsia="Times New Roman" w:hAnsi="Noto Sans Symbols" w:cs="Times New Roman"/>
          <w:color w:val="000000"/>
          <w:kern w:val="0"/>
          <w:lang w:val="es-CO" w:eastAsia="es-MX"/>
          <w14:ligatures w14:val="none"/>
        </w:rPr>
      </w:pPr>
      <w:r w:rsidRPr="004E4EE0">
        <w:rPr>
          <w:rFonts w:ascii="Verdana" w:eastAsia="Times New Roman" w:hAnsi="Verdana" w:cs="Times New Roman"/>
          <w:b/>
          <w:bCs/>
          <w:color w:val="000000"/>
          <w:kern w:val="0"/>
          <w:lang w:val="es-CO" w:eastAsia="es-MX"/>
          <w14:ligatures w14:val="none"/>
        </w:rPr>
        <w:t>Si es requisito legal</w:t>
      </w:r>
      <w:r w:rsidRPr="004E4EE0">
        <w:rPr>
          <w:rFonts w:ascii="Verdana" w:eastAsia="Times New Roman" w:hAnsi="Verdana" w:cs="Times New Roman"/>
          <w:color w:val="000000"/>
          <w:kern w:val="0"/>
          <w:lang w:val="es-CO" w:eastAsia="es-MX"/>
          <w14:ligatures w14:val="none"/>
        </w:rPr>
        <w:t xml:space="preserve"> que en la convocatoria para </w:t>
      </w:r>
      <w:r w:rsidRPr="004E4EE0">
        <w:rPr>
          <w:rFonts w:ascii="Verdana" w:eastAsia="Times New Roman" w:hAnsi="Verdana" w:cs="Times New Roman"/>
          <w:b/>
          <w:bCs/>
          <w:color w:val="000000"/>
          <w:kern w:val="0"/>
          <w:lang w:val="es-CO" w:eastAsia="es-MX"/>
          <w14:ligatures w14:val="none"/>
        </w:rPr>
        <w:t>reuniones extraordinarias</w:t>
      </w:r>
      <w:r w:rsidRPr="004E4EE0">
        <w:rPr>
          <w:rFonts w:ascii="Verdana" w:eastAsia="Times New Roman" w:hAnsi="Verdana" w:cs="Times New Roman"/>
          <w:color w:val="000000"/>
          <w:kern w:val="0"/>
          <w:lang w:val="es-CO" w:eastAsia="es-MX"/>
          <w14:ligatures w14:val="none"/>
        </w:rPr>
        <w:t xml:space="preserve"> se especifique los asuntos sobre los que se deliberará y decidirá. (artículos 181, 422 y 424 del Código de Comercio). (Artículos 20 y 21 de la Ley 1258 de 2008).</w:t>
      </w:r>
    </w:p>
    <w:p w14:paraId="746F87A3"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75B36888" w14:textId="77777777" w:rsidR="004E4EE0" w:rsidRPr="004E4EE0" w:rsidRDefault="004E4EE0" w:rsidP="004E4EE0">
      <w:pPr>
        <w:numPr>
          <w:ilvl w:val="0"/>
          <w:numId w:val="13"/>
        </w:numPr>
        <w:jc w:val="both"/>
        <w:textAlignment w:val="baseline"/>
        <w:rPr>
          <w:rFonts w:ascii="Verdana" w:eastAsia="Times New Roman" w:hAnsi="Verdana" w:cs="Times New Roman"/>
          <w:color w:val="000000"/>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Si la sociedad es una S.A.S., independientemente de si se trata de una reunión ordinaria o extraordinaria, en principio </w:t>
      </w:r>
      <w:r w:rsidRPr="004E4EE0">
        <w:rPr>
          <w:rFonts w:ascii="Verdana" w:eastAsia="Times New Roman" w:hAnsi="Verdana" w:cs="Times New Roman"/>
          <w:b/>
          <w:bCs/>
          <w:color w:val="000000"/>
          <w:kern w:val="0"/>
          <w:lang w:val="es-CO" w:eastAsia="es-MX"/>
          <w14:ligatures w14:val="none"/>
        </w:rPr>
        <w:t>sí debe incluirse el orden del día en el aviso de convocatoria</w:t>
      </w:r>
      <w:r w:rsidRPr="004E4EE0">
        <w:rPr>
          <w:rFonts w:ascii="Verdana" w:eastAsia="Times New Roman" w:hAnsi="Verdana" w:cs="Times New Roman"/>
          <w:color w:val="000000"/>
          <w:kern w:val="0"/>
          <w:lang w:val="es-CO" w:eastAsia="es-MX"/>
          <w14:ligatures w14:val="none"/>
        </w:rPr>
        <w:t>.</w:t>
      </w:r>
    </w:p>
    <w:p w14:paraId="7EBE0E0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C2D4702"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En este orden de ideas, la respuesta a si en la convocatoria a una reunión de la asamblea o junta de socios, es o no obligatorio incluir el orden del día, dependerá del tipo societario (S.A., S.A.S., </w:t>
      </w:r>
      <w:proofErr w:type="spellStart"/>
      <w:r w:rsidRPr="004E4EE0">
        <w:rPr>
          <w:rFonts w:ascii="Verdana" w:eastAsia="Times New Roman" w:hAnsi="Verdana" w:cs="Times New Roman"/>
          <w:color w:val="000000"/>
          <w:kern w:val="0"/>
          <w:lang w:val="es-CO" w:eastAsia="es-MX"/>
          <w14:ligatures w14:val="none"/>
        </w:rPr>
        <w:t>Ltda</w:t>
      </w:r>
      <w:proofErr w:type="spellEnd"/>
      <w:r w:rsidRPr="004E4EE0">
        <w:rPr>
          <w:rFonts w:ascii="Verdana" w:eastAsia="Times New Roman" w:hAnsi="Verdana" w:cs="Times New Roman"/>
          <w:color w:val="000000"/>
          <w:kern w:val="0"/>
          <w:lang w:val="es-CO" w:eastAsia="es-MX"/>
          <w14:ligatures w14:val="none"/>
        </w:rPr>
        <w:t>, etc.) y el tipo de reunión (ordinaria o extraordinaria).</w:t>
      </w:r>
    </w:p>
    <w:p w14:paraId="500A0C8A"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C8FEACB"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Las preguntas 5° y 6° serán atendidas en forma conjunta por la afinidad de sus temas.</w:t>
      </w:r>
    </w:p>
    <w:p w14:paraId="282F2D5D"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34EC046E" w14:textId="77777777" w:rsidR="004E4EE0" w:rsidRPr="004E4EE0" w:rsidRDefault="004E4EE0" w:rsidP="004E4EE0">
      <w:pPr>
        <w:numPr>
          <w:ilvl w:val="0"/>
          <w:numId w:val="14"/>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“¿Es procedente que durante el desarrollo de una reunión del máximo órgano social se incorporen temas no previstos en el orden del día inicialmente comunicado?</w:t>
      </w:r>
    </w:p>
    <w:p w14:paraId="5D72B9EA"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15532A91" w14:textId="77777777" w:rsidR="004E4EE0" w:rsidRPr="004E4EE0" w:rsidRDefault="004E4EE0" w:rsidP="004E4EE0">
      <w:pPr>
        <w:numPr>
          <w:ilvl w:val="0"/>
          <w:numId w:val="15"/>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¿La inclusión del punto “proposiciones y varios” en el orden del día constituye un requisito obligatorio, o su omisión no afecta la validez de la reunión?”</w:t>
      </w:r>
    </w:p>
    <w:p w14:paraId="3294A70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BD7E99F"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Aunado a lo antes indicado, es importante precisar que el artículo 182 del Código de Comercio advierte que en una reunión ordinaria del máximo órgano social a petición de los directores o cualquier asociado, la asamblea podrá ocuparse de temas no indicados en la convocatoria. No así fue previsto para las reuniones extraordinarias, sesiones en las que, en principio, debe acatarse el orden del día que previamente fue previsto en el aviso de la convocatoria.</w:t>
      </w:r>
    </w:p>
    <w:p w14:paraId="752A2FD5"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E79EB9F"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lastRenderedPageBreak/>
        <w:t>Por lo anterior, en las reuniones extraordinarias por regla general solo puede debatirse y decidirse respecto de aquellos asuntos incluidos en el orden del día; no obstante, por decisión de los asociados, la asamblea o junta de socios podría ocuparse de temas diferentes, siempre que anticipadamente se haya agotado el orden del día objeto de convocatoria, regla que se encuentra contenida en el artículo 425 del Código de Comercio, que establece:</w:t>
      </w:r>
    </w:p>
    <w:p w14:paraId="56512C85"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325CA9A"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w:t>
      </w:r>
      <w:r w:rsidRPr="004E4EE0">
        <w:rPr>
          <w:rFonts w:ascii="Verdana" w:eastAsia="Times New Roman" w:hAnsi="Verdana" w:cs="Times New Roman"/>
          <w:b/>
          <w:bCs/>
          <w:i/>
          <w:iCs/>
          <w:color w:val="000000"/>
          <w:kern w:val="0"/>
          <w:lang w:val="es-CO" w:eastAsia="es-MX"/>
          <w14:ligatures w14:val="none"/>
        </w:rPr>
        <w:t>Artículo 425.</w:t>
      </w:r>
      <w:r w:rsidRPr="004E4EE0">
        <w:rPr>
          <w:rFonts w:ascii="Verdana" w:eastAsia="Times New Roman" w:hAnsi="Verdana" w:cs="Times New Roman"/>
          <w:i/>
          <w:iCs/>
          <w:color w:val="000000"/>
          <w:kern w:val="0"/>
          <w:lang w:val="es-CO" w:eastAsia="es-MX"/>
          <w14:ligatures w14:val="none"/>
        </w:rPr>
        <w:t xml:space="preserve"> La asamblea extraordinaria no podrá tomar decisiones sobre temas no incluidos en el orden del día publicado. Pero por decisión del setenta por ciento de las acciones representadas podrá ocuparse de otros temas, una vez agotado el orden del día, y en todo caso podrá remover a los administradores y demás funcionarios cuya designación le corresponda”.</w:t>
      </w:r>
    </w:p>
    <w:p w14:paraId="5BDA3914"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DCCAAE1"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La lectura anterior advierte que aun en una reunión extraordinaria y con la mayoría decisoria que impone la citada disposición, y atendida la finalidad de la convocatoria que motivó la reunión, el máximo órgano social pueda a su discreción adoptar la decisión que a bien tenga sobre otros asuntos que en tal momento sean sometidos a su consideración.</w:t>
      </w:r>
    </w:p>
    <w:p w14:paraId="0FC458D3"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7A905D62" w14:textId="77777777" w:rsidR="004E4EE0" w:rsidRPr="004E4EE0" w:rsidRDefault="004E4EE0" w:rsidP="004E4EE0">
      <w:pPr>
        <w:numPr>
          <w:ilvl w:val="0"/>
          <w:numId w:val="16"/>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“¿Cuáles son los requisitos formales que deben cumplir los poderes otorgados para la representación de socios en reuniones del máximo órgano social? En particular,</w:t>
      </w:r>
    </w:p>
    <w:p w14:paraId="0F5B646D"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0286BC2" w14:textId="77777777" w:rsidR="004E4EE0" w:rsidRPr="004E4EE0" w:rsidRDefault="004E4EE0" w:rsidP="004E4EE0">
      <w:pPr>
        <w:ind w:left="720"/>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¿es admisible alguna forma de representación no escrita o todos los poderes deben constar por escrito conforme a la ley?”</w:t>
      </w:r>
    </w:p>
    <w:p w14:paraId="69BADA3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052BA5D"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El artículo 184 del Código de Comercio (modificado por el artículo 18 de la ley 222 de 1995) prevé que es posible, en una reunión del máximo órganos social, que un asociado sea representado mediante </w:t>
      </w:r>
      <w:r w:rsidRPr="004E4EE0">
        <w:rPr>
          <w:rFonts w:ascii="Verdana" w:eastAsia="Times New Roman" w:hAnsi="Verdana" w:cs="Times New Roman"/>
          <w:b/>
          <w:bCs/>
          <w:color w:val="000000"/>
          <w:kern w:val="0"/>
          <w:u w:val="single"/>
          <w:lang w:val="es-CO" w:eastAsia="es-MX"/>
          <w14:ligatures w14:val="none"/>
        </w:rPr>
        <w:t>poder otorgado por escrito</w:t>
      </w:r>
      <w:r w:rsidRPr="004E4EE0">
        <w:rPr>
          <w:rFonts w:ascii="Verdana" w:eastAsia="Times New Roman" w:hAnsi="Verdana" w:cs="Times New Roman"/>
          <w:color w:val="000000"/>
          <w:kern w:val="0"/>
          <w:lang w:val="es-CO" w:eastAsia="es-MX"/>
          <w14:ligatures w14:val="none"/>
        </w:rPr>
        <w:t>.</w:t>
      </w:r>
    </w:p>
    <w:p w14:paraId="40C44CB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5BFD488"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Sobre las demás formalidades se insta al estudio del numeral 3.16 de la Circular Básica Jurídica 100-000008 de 2022 de esta Entidad.</w:t>
      </w:r>
    </w:p>
    <w:p w14:paraId="6B494D41"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7625AD5F" w14:textId="77777777" w:rsidR="004E4EE0" w:rsidRPr="004E4EE0" w:rsidRDefault="004E4EE0" w:rsidP="004E4EE0">
      <w:pPr>
        <w:numPr>
          <w:ilvl w:val="0"/>
          <w:numId w:val="17"/>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“¿Cuál es el alcance de las facultades del liquidador en relación con la administración, conservación y eventual valorización de los activos sociales antes de su enajenación?”</w:t>
      </w:r>
    </w:p>
    <w:p w14:paraId="1E7911F8"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5B325B2"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El liquidador de la sociedad será el representante legal en los términos del artículo 227 del Código de Comercio, y a su turno, administrador, y </w:t>
      </w:r>
      <w:r w:rsidRPr="004E4EE0">
        <w:rPr>
          <w:rFonts w:ascii="Verdana" w:eastAsia="Times New Roman" w:hAnsi="Verdana" w:cs="Times New Roman"/>
          <w:color w:val="000000"/>
          <w:kern w:val="0"/>
          <w:lang w:val="es-CO" w:eastAsia="es-MX"/>
          <w14:ligatures w14:val="none"/>
        </w:rPr>
        <w:lastRenderedPageBreak/>
        <w:t>debe enfocar su labor en concluir operaciones pendientes, realizar el inventario, cobrar créditos, pagar pasivos en orden de preferencia y distribuir el remanente entre socios.</w:t>
      </w:r>
    </w:p>
    <w:p w14:paraId="64B9E5E5"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AB55FED"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Bajo tales calidades, debe obrar de buena fe, con lealtad y con la diligencia de un buen hombre de negocios, siempre en interés de la sociedad y de sus asociados.</w:t>
      </w:r>
    </w:p>
    <w:p w14:paraId="2B2DE9DB"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B713979"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El concepto de diligencia de un buen hombre de negocios ha sido desarrollado por varias autoridades, por ejemplo, la Corte Constitucional, en dicha materia, ha sostenido que:</w:t>
      </w:r>
    </w:p>
    <w:p w14:paraId="61B6924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417686B"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“Puede concluir la Corte, que en materia de sociedades, dada la importante labor que desempeñan sus administradores, en razón a la gran responsabilidad que asumen y la repercusión que sus actuaciones pueden tener en el desarrollo social, ha sido la ley la que les ha impuesto de manera general a éstos, ejercer sus funciones con sujeción a los principios de lealtad y buena fe, así como actuar con la diligencia de un buen hombre de negocios, en interés de la sociedad y teniendo en cuenta los intereses de sus asociados. En tal medida, la actuación de los administradores debe ir más allá de la diligencia común y corriente, pues su gestión profesional de carácter comercial debe orientarse al cumplimiento de las metas propuestas por la sociedad. Cabe recordar, que la Ley 222 de 1995, impuso a los administradores un grado de diligencia y prudencia superiores a la mediana que hasta entonces tenían, la de un buen padre de familia, pues ahora deberán actuar con la diligencia propia de un buen hombre de negocios, es decir, con la que pondría un comerciante normal en sus propios asuntos, lo que supone una mayor exigencia en la administración de los asuntos propios de la sociedad”.</w:t>
      </w:r>
    </w:p>
    <w:p w14:paraId="010D9F8D"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Así mismo, la Superintendencia de Sociedades, mediante la Circular Básica Jurídica 100-000008 del 12/07/2022, ha manifestado sobre dicho concepto:</w:t>
      </w:r>
    </w:p>
    <w:p w14:paraId="02AE8D10"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D665210"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“Diligencia de un buen hombre de negocios: Hace relación a que las actuaciones de los administradores deben ejecutarse con la diligencia que tendría un profesional, un comerciante sobre sus propios asuntos, de manera que su actividad siempre debe ser oportuna y cuidadosa, verificando que la misma esté ajustada a la ley y a los estatutos, lo que supone un mayor esfuerzo y una más alta exigencia para los administradores en la conducción de la empresa.</w:t>
      </w:r>
    </w:p>
    <w:p w14:paraId="59671E71"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407B27C"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lastRenderedPageBreak/>
        <w:t>La diligencia del buen hombre de negocios, lleva implícitos deberes como el de informarse suficientemente antes de tomar decisiones, para lo cual el administrador debe asesorarse y adelantar las indagaciones necesarias, el de discutir sus decisiones especialmente en los órganos de administración colegiada y, por supuesto, el deber de vigilancia respecto al desarrollo y cumplimiento de las directrices y decisiones adoptadas.”</w:t>
      </w:r>
    </w:p>
    <w:p w14:paraId="16572C4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94B0CA5"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Quiere decir lo anterior, que será del liquidador actuar con diligencia y cuidado en la administración, conservación, guarda o custodia de los bienes que conforman el activo liquidable, pues además éste constituye la prenda general de los acreedores (externos e internos), deber que se acompasa con la función prevista en el artículo 238 numeral 6 del Código de Comercio, en punto su función de velar por la integridad del patrimonio de la sociedad.</w:t>
      </w:r>
    </w:p>
    <w:p w14:paraId="3F30CFC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EA0348D"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Por otra parte, el artículo 238, numeral 5 ibidem establece como función del liquidador: </w:t>
      </w:r>
      <w:r w:rsidRPr="004E4EE0">
        <w:rPr>
          <w:rFonts w:ascii="Verdana" w:eastAsia="Times New Roman" w:hAnsi="Verdana" w:cs="Times New Roman"/>
          <w:i/>
          <w:iCs/>
          <w:color w:val="000000"/>
          <w:kern w:val="0"/>
          <w:lang w:val="es-CO" w:eastAsia="es-MX"/>
          <w14:ligatures w14:val="none"/>
        </w:rPr>
        <w:t>“vender los bienes sociales, cualesquiera que sean estos, con excepción de aquellos que por razón del contrato social o de disposición expresa de los asociados deban ser distribuidos en especie”.</w:t>
      </w:r>
    </w:p>
    <w:p w14:paraId="730CD99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F0463ED"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Sobre la forma de determinar el valor de los activos de la sociedad, y en ella, respetar la valorización de éstos, se recuerda que conforme al Decreto 2420 de 2015, en su Título 5 de la Parte 1 del Libro 1 (Anexo 5, adicionado por el Decreto 2101 de 2016), prevé la forma en que una sociedad en liquidación voluntaria debe preparar sus estados financieros aplicando la base contable del valor neto de liquidación.</w:t>
      </w:r>
    </w:p>
    <w:p w14:paraId="767A4E7D" w14:textId="77777777" w:rsidR="004E4EE0" w:rsidRPr="004E4EE0" w:rsidRDefault="004E4EE0" w:rsidP="004E4EE0">
      <w:pPr>
        <w:rPr>
          <w:rFonts w:ascii="Times New Roman" w:eastAsia="Times New Roman" w:hAnsi="Times New Roman" w:cs="Times New Roman"/>
          <w:kern w:val="0"/>
          <w:lang w:val="es-CO" w:eastAsia="es-MX"/>
          <w14:ligatures w14:val="none"/>
        </w:rPr>
      </w:pPr>
      <w:r w:rsidRPr="004E4EE0">
        <w:rPr>
          <w:rFonts w:ascii="Times New Roman" w:eastAsia="Times New Roman" w:hAnsi="Times New Roman" w:cs="Times New Roman"/>
          <w:kern w:val="0"/>
          <w:lang w:val="es-CO" w:eastAsia="es-MX"/>
          <w14:ligatures w14:val="none"/>
        </w:rPr>
        <w:br/>
      </w:r>
    </w:p>
    <w:p w14:paraId="4D2217FB" w14:textId="77777777" w:rsidR="004E4EE0" w:rsidRPr="004E4EE0" w:rsidRDefault="004E4EE0" w:rsidP="004E4EE0">
      <w:pPr>
        <w:numPr>
          <w:ilvl w:val="0"/>
          <w:numId w:val="18"/>
        </w:numPr>
        <w:jc w:val="both"/>
        <w:textAlignment w:val="baseline"/>
        <w:rPr>
          <w:rFonts w:ascii="Verdana" w:eastAsia="Times New Roman" w:hAnsi="Verdana" w:cs="Times New Roman"/>
          <w:b/>
          <w:bCs/>
          <w:i/>
          <w:iCs/>
          <w:color w:val="000000"/>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“¿Cuál es el alcance de las cláusulas estatutarias que restringen el ingreso de terceros como socios, particularmente frente a situaciones de transmisión de participaciones por causa de muerte?”</w:t>
      </w:r>
    </w:p>
    <w:p w14:paraId="2FFEDAB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F1972D9"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En un ámbito general, el tema propuesto fue objeto de pronunciamiento en los oficios cuyos apartes se transcriben a continuación:</w:t>
      </w:r>
    </w:p>
    <w:p w14:paraId="6E57DCE6"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BC25D3D"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color w:val="000000"/>
          <w:kern w:val="0"/>
          <w:lang w:val="es-CO" w:eastAsia="es-MX"/>
          <w14:ligatures w14:val="none"/>
        </w:rPr>
        <w:t>Oficio 220-221343 del 10 de noviembre de 2020:</w:t>
      </w:r>
    </w:p>
    <w:p w14:paraId="2A7FC667"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2EB1DB6"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No obstante lo expresado, en torno a la inquietud por usted planteada, esta Oficina ha efectuado muchos pronunciamientos, como es el caso del oficio 220-083170 del 10 de septiembre de 2010, el cual señala lo siguiente:</w:t>
      </w:r>
    </w:p>
    <w:p w14:paraId="10DF7CC0"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8C19CFA"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lastRenderedPageBreak/>
        <w:t xml:space="preserve">“… es pertinente señalar que entre las características que han sido analizadas con ocasión de la tarea que esta Entidad ha venido adelantado en procura de interpretar los alcances de la Ley 1258 de 2008, marco normativo de las SAS, se ha observado como en materia de retiro o ingreso de socios, la citada ley no contempló norma específica que impida la adopción de reglas que limiten o prohíban el ingreso de terceros como socios y por el contrario, de manera expresa consagra la posibilidad de restringir la venta de acciones hasta por un término de diez años prorrogable por un lapso igual (art. 13), de someter a la autorización previa de la Asamblea cualquier negociación (art. 39) o, de establecer supuestos de exclusión de socios (art.39), todo lo cual indica más bien que su espíritu se orienta a permitir cláusulas que reserven la admisión de terceros, como las estipulaciones en virtud de las cuales se limite o impida el ingreso como accionistas de los cónyuges, cuando a causa la liquidación de la sociedad conyugal por ejemplo, resulten adjudicatarios éstos de acciones de la sociedad. Sobre ese tema en particular se ha ocupado este Despacho a través de los Oficios 220-057533 del 26 de marzo de 2009 y 220- 031883 del 25 de mayo de 2010, que puede consultar directamente en la P.WEB WWW.SUPERSOCIEDADES.GOV.CO donde encontrará entre otros los conceptos jurídicos que la misma emite”. </w:t>
      </w:r>
      <w:r w:rsidRPr="004E4EE0">
        <w:rPr>
          <w:rFonts w:ascii="Verdana" w:eastAsia="Times New Roman" w:hAnsi="Verdana" w:cs="Times New Roman"/>
          <w:color w:val="000000"/>
          <w:kern w:val="0"/>
          <w:lang w:val="es-CO" w:eastAsia="es-MX"/>
          <w14:ligatures w14:val="none"/>
        </w:rPr>
        <w:t>(…)”</w:t>
      </w:r>
    </w:p>
    <w:p w14:paraId="66B021BF"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E0B910E"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color w:val="000000"/>
          <w:kern w:val="0"/>
          <w:lang w:val="es-CO" w:eastAsia="es-MX"/>
          <w14:ligatures w14:val="none"/>
        </w:rPr>
        <w:t>Oficio 220-018257 del 21 de marzo de 2010:</w:t>
      </w:r>
    </w:p>
    <w:p w14:paraId="6CC87271"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0DB4745"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En punto al primer cuestionamiento, bajo una óptica jurídica diáfana, se considera que no existe impedimento alguno para que en los estatutos de una sociedad, en este caso por acciones simplificada, se consagre dicha restricción, más aún si tenemos en cuenta que ello es aplicable de manera general para todos los accionistas y por ende, no se presenta discriminación alguna frente a los mismos.</w:t>
      </w:r>
    </w:p>
    <w:p w14:paraId="574A0366"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Así mismo, es claro que por mandato de la Ley 1258 de 2008, en los estatutos sociales de una S.A.S., se puede determinar de manera libre la forma como se organizará la compañía, su estructura y las demás normas que regirán al ente societario (Artículo 17).</w:t>
      </w:r>
    </w:p>
    <w:p w14:paraId="4D713805"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0B7EFB1A"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Frente al segundo interrogante, atinente con el derecho de sucesión testada o intestada que les cabe a los herederos de un asociado, es preciso ubicarnos en dos escenarios a fin de realizar las siguientes disquisiciones:</w:t>
      </w:r>
    </w:p>
    <w:p w14:paraId="2173BB6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FE97000"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lastRenderedPageBreak/>
        <w:t xml:space="preserve">En un escenario tenemos como la ley consagra de manera clara el derecho </w:t>
      </w:r>
      <w:proofErr w:type="spellStart"/>
      <w:r w:rsidRPr="004E4EE0">
        <w:rPr>
          <w:rFonts w:ascii="Verdana" w:eastAsia="Times New Roman" w:hAnsi="Verdana" w:cs="Times New Roman"/>
          <w:i/>
          <w:iCs/>
          <w:color w:val="000000"/>
          <w:kern w:val="0"/>
          <w:lang w:val="es-CO" w:eastAsia="es-MX"/>
          <w14:ligatures w14:val="none"/>
        </w:rPr>
        <w:t>sucesoral</w:t>
      </w:r>
      <w:proofErr w:type="spellEnd"/>
      <w:r w:rsidRPr="004E4EE0">
        <w:rPr>
          <w:rFonts w:ascii="Verdana" w:eastAsia="Times New Roman" w:hAnsi="Verdana" w:cs="Times New Roman"/>
          <w:i/>
          <w:iCs/>
          <w:color w:val="000000"/>
          <w:kern w:val="0"/>
          <w:lang w:val="es-CO" w:eastAsia="es-MX"/>
          <w14:ligatures w14:val="none"/>
        </w:rPr>
        <w:t>, que se traduce esencialmente en lograr, con un título justo, la adjudicación en cabeza de una persona de un derecho eminentemente patrimonial, el cual se le debe garantizar y proteger.</w:t>
      </w:r>
    </w:p>
    <w:p w14:paraId="697AAD6E"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25C315A"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Y es que una vez fallecido el causante, la persona que muere transfiere sus bienes y derechos a sus herederos y a sus legatarios, lo cual se predica entre causante y causahabiente por los vínculos de parentesco, consanguinidad, matrimonio, afinidad o civil. Entonces, adelantado el proceso sucesorio correspondiente, el heredero o sus herederos, bien pueden negociar con un tercero la cesión de su derecho </w:t>
      </w:r>
      <w:proofErr w:type="spellStart"/>
      <w:r w:rsidRPr="004E4EE0">
        <w:rPr>
          <w:rFonts w:ascii="Verdana" w:eastAsia="Times New Roman" w:hAnsi="Verdana" w:cs="Times New Roman"/>
          <w:i/>
          <w:iCs/>
          <w:color w:val="000000"/>
          <w:kern w:val="0"/>
          <w:lang w:val="es-CO" w:eastAsia="es-MX"/>
          <w14:ligatures w14:val="none"/>
        </w:rPr>
        <w:t>sucesoral</w:t>
      </w:r>
      <w:proofErr w:type="spellEnd"/>
      <w:r w:rsidRPr="004E4EE0">
        <w:rPr>
          <w:rFonts w:ascii="Verdana" w:eastAsia="Times New Roman" w:hAnsi="Verdana" w:cs="Times New Roman"/>
          <w:i/>
          <w:iCs/>
          <w:color w:val="000000"/>
          <w:kern w:val="0"/>
          <w:lang w:val="es-CO" w:eastAsia="es-MX"/>
          <w14:ligatures w14:val="none"/>
        </w:rPr>
        <w:t xml:space="preserve"> y este derecho se predica frente a lo que poseía en vida el causante.</w:t>
      </w:r>
    </w:p>
    <w:p w14:paraId="45DDFBBF"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00FB51C"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En el caso en estudio, fallecido un asociado que poseía en la composición del capital de una compañía un porcentaje del mismo, adelantado el proceso </w:t>
      </w:r>
      <w:proofErr w:type="spellStart"/>
      <w:r w:rsidRPr="004E4EE0">
        <w:rPr>
          <w:rFonts w:ascii="Verdana" w:eastAsia="Times New Roman" w:hAnsi="Verdana" w:cs="Times New Roman"/>
          <w:i/>
          <w:iCs/>
          <w:color w:val="000000"/>
          <w:kern w:val="0"/>
          <w:lang w:val="es-CO" w:eastAsia="es-MX"/>
          <w14:ligatures w14:val="none"/>
        </w:rPr>
        <w:t>sucesoral</w:t>
      </w:r>
      <w:proofErr w:type="spellEnd"/>
      <w:r w:rsidRPr="004E4EE0">
        <w:rPr>
          <w:rFonts w:ascii="Verdana" w:eastAsia="Times New Roman" w:hAnsi="Verdana" w:cs="Times New Roman"/>
          <w:i/>
          <w:iCs/>
          <w:color w:val="000000"/>
          <w:kern w:val="0"/>
          <w:lang w:val="es-CO" w:eastAsia="es-MX"/>
          <w14:ligatures w14:val="none"/>
        </w:rPr>
        <w:t xml:space="preserve"> respectivo y adjudicado el mismo en cabeza de los herederos debidamente reconocidos, no hay duda alguna que el derecho patrimonial, se reitera, está debidamente garantizado.</w:t>
      </w:r>
    </w:p>
    <w:p w14:paraId="25A3F480"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DE7999C"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En otro contexto, cual es el ámbito que rodea el mundo societario, es nítido que la conformación del capital de una sociedad, independientemente del tipo societario adoptado, radica esencialmente en el “animus </w:t>
      </w:r>
      <w:proofErr w:type="spellStart"/>
      <w:r w:rsidRPr="004E4EE0">
        <w:rPr>
          <w:rFonts w:ascii="Verdana" w:eastAsia="Times New Roman" w:hAnsi="Verdana" w:cs="Times New Roman"/>
          <w:i/>
          <w:iCs/>
          <w:color w:val="000000"/>
          <w:kern w:val="0"/>
          <w:lang w:val="es-CO" w:eastAsia="es-MX"/>
          <w14:ligatures w14:val="none"/>
        </w:rPr>
        <w:t>societatis</w:t>
      </w:r>
      <w:proofErr w:type="spellEnd"/>
      <w:r w:rsidRPr="004E4EE0">
        <w:rPr>
          <w:rFonts w:ascii="Verdana" w:eastAsia="Times New Roman" w:hAnsi="Verdana" w:cs="Times New Roman"/>
          <w:i/>
          <w:iCs/>
          <w:color w:val="000000"/>
          <w:kern w:val="0"/>
          <w:lang w:val="es-CO" w:eastAsia="es-MX"/>
          <w14:ligatures w14:val="none"/>
        </w:rPr>
        <w:t>” que debe imperar entre quienes conforman la persona jurídica, es allí en ese espacio donde se centran las relaciones que deben imperar entre los asociados, basadas ellas en la confianza, seguridad y lealtad.</w:t>
      </w:r>
    </w:p>
    <w:p w14:paraId="58FCB79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21CAF84"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Los dos contextos anteriores, nos muestran que una cosa es el derecho patrimonial, en nuestro caso, radicado en cabeza de un heredero de un asociado y otra cosa, es que el heredero titular del citado derecho, entre a formar parte de la compañía donde está radicado el derecho. Y es que en este último punto, es donde debe entrar a operar la voluntad del máximo órgano social de la compañía, en cuanto a si es la voluntad o no de los integrantes del capital social, el deseo o no de continuar con el o los herederos del asociado fallecido.</w:t>
      </w:r>
    </w:p>
    <w:p w14:paraId="51863E9B"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261CB07A"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Indudablemente el tópico tratado es de suma importancia, porque es vital que las personas que formen parte del capital social, verdaderamente sean ellas las que deseen permanecer en sociedad y no que por asuntos coyunturales, entren a formar parte del </w:t>
      </w:r>
      <w:r w:rsidRPr="004E4EE0">
        <w:rPr>
          <w:rFonts w:ascii="Verdana" w:eastAsia="Times New Roman" w:hAnsi="Verdana" w:cs="Times New Roman"/>
          <w:i/>
          <w:iCs/>
          <w:color w:val="000000"/>
          <w:kern w:val="0"/>
          <w:lang w:val="es-CO" w:eastAsia="es-MX"/>
          <w14:ligatures w14:val="none"/>
        </w:rPr>
        <w:lastRenderedPageBreak/>
        <w:t>mismo, personas con las cuales no se desea continuar el camino societario. Es aquí donde es válida la opción de entrar a negociar con el o los herederos la compra o cesión de las acciones que le fueron debidamente adjudicadas.</w:t>
      </w:r>
    </w:p>
    <w:p w14:paraId="35AB0EF0"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7E68E620" w14:textId="77777777" w:rsidR="004E4EE0" w:rsidRPr="004E4EE0" w:rsidRDefault="004E4EE0" w:rsidP="004E4EE0">
      <w:pPr>
        <w:ind w:left="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i/>
          <w:iCs/>
          <w:color w:val="000000"/>
          <w:kern w:val="0"/>
          <w:lang w:val="es-CO" w:eastAsia="es-MX"/>
          <w14:ligatures w14:val="none"/>
        </w:rPr>
        <w:t xml:space="preserve">Ahora bien, la garantía del derecho </w:t>
      </w:r>
      <w:proofErr w:type="spellStart"/>
      <w:r w:rsidRPr="004E4EE0">
        <w:rPr>
          <w:rFonts w:ascii="Verdana" w:eastAsia="Times New Roman" w:hAnsi="Verdana" w:cs="Times New Roman"/>
          <w:i/>
          <w:iCs/>
          <w:color w:val="000000"/>
          <w:kern w:val="0"/>
          <w:lang w:val="es-CO" w:eastAsia="es-MX"/>
          <w14:ligatures w14:val="none"/>
        </w:rPr>
        <w:t>sucesoral</w:t>
      </w:r>
      <w:proofErr w:type="spellEnd"/>
      <w:r w:rsidRPr="004E4EE0">
        <w:rPr>
          <w:rFonts w:ascii="Verdana" w:eastAsia="Times New Roman" w:hAnsi="Verdana" w:cs="Times New Roman"/>
          <w:i/>
          <w:iCs/>
          <w:color w:val="000000"/>
          <w:kern w:val="0"/>
          <w:lang w:val="es-CO" w:eastAsia="es-MX"/>
          <w14:ligatures w14:val="none"/>
        </w:rPr>
        <w:t xml:space="preserve"> reconociendo el contenido económico pero no la participación en la sociedad, en todo caso, no es ajeno a la estructura societaria, reglas que han previsto, ante la muerte de uno de socios, que los demás socios puedan adquirir las participaciones a través de un procedimiento que garantice el respeto al derecho de contenido económico que integra la masa </w:t>
      </w:r>
      <w:proofErr w:type="spellStart"/>
      <w:r w:rsidRPr="004E4EE0">
        <w:rPr>
          <w:rFonts w:ascii="Verdana" w:eastAsia="Times New Roman" w:hAnsi="Verdana" w:cs="Times New Roman"/>
          <w:i/>
          <w:iCs/>
          <w:color w:val="000000"/>
          <w:kern w:val="0"/>
          <w:lang w:val="es-CO" w:eastAsia="es-MX"/>
          <w14:ligatures w14:val="none"/>
        </w:rPr>
        <w:t>sucesoral</w:t>
      </w:r>
      <w:proofErr w:type="spellEnd"/>
      <w:r w:rsidRPr="004E4EE0">
        <w:rPr>
          <w:rFonts w:ascii="Verdana" w:eastAsia="Times New Roman" w:hAnsi="Verdana" w:cs="Times New Roman"/>
          <w:i/>
          <w:iCs/>
          <w:color w:val="000000"/>
          <w:kern w:val="0"/>
          <w:lang w:val="es-CO" w:eastAsia="es-MX"/>
          <w14:ligatures w14:val="none"/>
        </w:rPr>
        <w:t xml:space="preserve"> (artículo 368 </w:t>
      </w:r>
      <w:proofErr w:type="spellStart"/>
      <w:r w:rsidRPr="004E4EE0">
        <w:rPr>
          <w:rFonts w:ascii="Verdana" w:eastAsia="Times New Roman" w:hAnsi="Verdana" w:cs="Times New Roman"/>
          <w:i/>
          <w:iCs/>
          <w:color w:val="000000"/>
          <w:kern w:val="0"/>
          <w:lang w:val="es-CO" w:eastAsia="es-MX"/>
          <w14:ligatures w14:val="none"/>
        </w:rPr>
        <w:t>C.Co</w:t>
      </w:r>
      <w:proofErr w:type="spellEnd"/>
      <w:r w:rsidRPr="004E4EE0">
        <w:rPr>
          <w:rFonts w:ascii="Verdana" w:eastAsia="Times New Roman" w:hAnsi="Verdana" w:cs="Times New Roman"/>
          <w:i/>
          <w:iCs/>
          <w:color w:val="000000"/>
          <w:kern w:val="0"/>
          <w:lang w:val="es-CO" w:eastAsia="es-MX"/>
          <w14:ligatures w14:val="none"/>
        </w:rPr>
        <w:t>)</w:t>
      </w:r>
    </w:p>
    <w:p w14:paraId="19514AC5" w14:textId="77777777" w:rsidR="004E4EE0" w:rsidRPr="004E4EE0" w:rsidRDefault="004E4EE0" w:rsidP="004E4EE0">
      <w:pPr>
        <w:ind w:firstLine="709"/>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(Negrilla y subrayado nuestro).</w:t>
      </w:r>
    </w:p>
    <w:p w14:paraId="5EAE25AE"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9E8744D" w14:textId="77777777" w:rsidR="004E4EE0" w:rsidRPr="004E4EE0" w:rsidRDefault="004E4EE0" w:rsidP="004E4EE0">
      <w:pPr>
        <w:ind w:left="1418"/>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b/>
          <w:bCs/>
          <w:i/>
          <w:iCs/>
          <w:color w:val="000000"/>
          <w:kern w:val="0"/>
          <w:lang w:val="es-CO" w:eastAsia="es-MX"/>
          <w14:ligatures w14:val="none"/>
        </w:rPr>
        <w:t>“¿Qué mecanismos generales prevé el ordenamiento jurídico para controvertir inscripciones en el registro mercantil cuando se considere que estas contravienen disposiciones estatutarias o legales?”</w:t>
      </w:r>
    </w:p>
    <w:p w14:paraId="45C2A3FC"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5719D79B"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En términos generales, frente a los actos administrativos de las cámaras de comercio (en materia registral) el Código de Comercio (Artículo 94) y el CPACA (Ley 1437 de 2011, artículos 2, 74 a 80), prevén los recursos de reposición, apelación y queja que pueden interponerse.</w:t>
      </w:r>
    </w:p>
    <w:p w14:paraId="15714614"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359A2EE7"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El recurso de reposición se interpone ante la misma cámara de comercio que profirió el acto, mientras que la apelación y la queja son decididas hoy por la Superintendencia de Sociedades, pues a partir del 1 de enero de 2022, en virtud del artículo 70 de la Ley 2069 de 2020, esta Superintendencia asumió las competencias que antes tenía la Superintendencia de Industria y Comercio respecto de los artículos 27, 37 y 94 del Código de Comercio y de la supervisión de los entes camerales.</w:t>
      </w:r>
    </w:p>
    <w:p w14:paraId="77063240"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43C2B564"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No queda demás precisar que, el ordenamiento mercantil, prevé que las cámaras de comercio, en ejercicio de la función pública registral, deben abstenerse de inscribir actos que desconozcan requisitos legales o estatutarios en los eventos expresamente previstos. Así se desprende, entre otras disposiciones, del artículo 163 del Código de Comercio, según el cual las cámaras deben abstenerse de registrar designaciones o revocaciones de administradores o revisores fiscales cuando no se hayan observado las prescripciones de la ley o del contrato social.</w:t>
      </w:r>
    </w:p>
    <w:p w14:paraId="1FB585A3"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1D47C8F"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 xml:space="preserve">Por último, la Circular Externa 100-000002 de 2022 de la Superintendencia de Sociedades, al compilar instrucciones a las Cámaras de Comercio, reiteró que estas deben abstenerse de efectuar inscripciones </w:t>
      </w:r>
      <w:r w:rsidRPr="004E4EE0">
        <w:rPr>
          <w:rFonts w:ascii="Verdana" w:eastAsia="Times New Roman" w:hAnsi="Verdana" w:cs="Times New Roman"/>
          <w:color w:val="000000"/>
          <w:kern w:val="0"/>
          <w:lang w:val="es-CO" w:eastAsia="es-MX"/>
          <w14:ligatures w14:val="none"/>
        </w:rPr>
        <w:lastRenderedPageBreak/>
        <w:t>cuando se presenten actos o decisiones ineficaces o inexistentes, de conformidad con lo dispuesto en las normas vigentes y aplicables que rijan esta materia.</w:t>
      </w:r>
    </w:p>
    <w:p w14:paraId="1FBB3239"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6B8277FE" w14:textId="77777777" w:rsidR="004E4EE0" w:rsidRPr="004E4EE0" w:rsidRDefault="004E4EE0" w:rsidP="004E4EE0">
      <w:pPr>
        <w:jc w:val="both"/>
        <w:rPr>
          <w:rFonts w:ascii="Times New Roman" w:eastAsia="Times New Roman" w:hAnsi="Times New Roman" w:cs="Times New Roman"/>
          <w:kern w:val="0"/>
          <w:lang w:val="es-CO" w:eastAsia="es-MX"/>
          <w14:ligatures w14:val="none"/>
        </w:rPr>
      </w:pPr>
      <w:r w:rsidRPr="004E4EE0">
        <w:rPr>
          <w:rFonts w:ascii="Verdana" w:eastAsia="Times New Roman" w:hAnsi="Verdana" w:cs="Times New Roman"/>
          <w:color w:val="000000"/>
          <w:kern w:val="0"/>
          <w:lang w:val="es-CO" w:eastAsia="es-MX"/>
          <w14:ligatures w14:val="none"/>
        </w:rPr>
        <w:t>En los anteriores términos se ha atendido su inquietud, no sin antes manifestarle que el presente oficio tiene los alcances del artículo 28 del Código de Procedimiento Administrativo y de lo Contencioso Administrativo, y que en la Página WEB de ésta entidad puede consultar directamente la normatividad, los conceptos que la misma emite sobre las materias de su competencia, la Circular Básica Jurídica y el aplicativo Tesauro donde podrá consultar la doctrina jurídica y la jurisprudencia mercantil de la Entidad.</w:t>
      </w:r>
    </w:p>
    <w:p w14:paraId="07422976" w14:textId="77777777" w:rsidR="004E4EE0" w:rsidRPr="004E4EE0" w:rsidRDefault="004E4EE0" w:rsidP="004E4EE0">
      <w:pPr>
        <w:rPr>
          <w:rFonts w:ascii="Times New Roman" w:eastAsia="Times New Roman" w:hAnsi="Times New Roman" w:cs="Times New Roman"/>
          <w:kern w:val="0"/>
          <w:lang w:val="es-CO" w:eastAsia="es-MX"/>
          <w14:ligatures w14:val="none"/>
        </w:rPr>
      </w:pPr>
    </w:p>
    <w:p w14:paraId="1B9C6DDE" w14:textId="77777777" w:rsidR="004E4EE0" w:rsidRPr="004E4EE0" w:rsidRDefault="004E4EE0">
      <w:pPr>
        <w:rPr>
          <w:b/>
          <w:bCs/>
        </w:rPr>
      </w:pPr>
    </w:p>
    <w:sectPr w:rsidR="004E4EE0" w:rsidRPr="004E4EE0"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Noto Sans Symbols">
    <w:altName w:val="Calibri"/>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54FCA"/>
    <w:multiLevelType w:val="multilevel"/>
    <w:tmpl w:val="5D8897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F40990"/>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432242"/>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242D0"/>
    <w:multiLevelType w:val="multilevel"/>
    <w:tmpl w:val="5D8897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714262"/>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766977"/>
    <w:multiLevelType w:val="hybridMultilevel"/>
    <w:tmpl w:val="6BFABAD8"/>
    <w:lvl w:ilvl="0" w:tplc="9D5C544C">
      <w:start w:val="2"/>
      <w:numFmt w:val="lowerLetter"/>
      <w:lvlText w:val="%1."/>
      <w:lvlJc w:val="left"/>
      <w:pPr>
        <w:tabs>
          <w:tab w:val="num" w:pos="720"/>
        </w:tabs>
        <w:ind w:left="720" w:hanging="360"/>
      </w:pPr>
    </w:lvl>
    <w:lvl w:ilvl="1" w:tplc="4F88A5AE" w:tentative="1">
      <w:start w:val="1"/>
      <w:numFmt w:val="decimal"/>
      <w:lvlText w:val="%2."/>
      <w:lvlJc w:val="left"/>
      <w:pPr>
        <w:tabs>
          <w:tab w:val="num" w:pos="1440"/>
        </w:tabs>
        <w:ind w:left="1440" w:hanging="360"/>
      </w:pPr>
    </w:lvl>
    <w:lvl w:ilvl="2" w:tplc="91BEB4C8" w:tentative="1">
      <w:start w:val="1"/>
      <w:numFmt w:val="decimal"/>
      <w:lvlText w:val="%3."/>
      <w:lvlJc w:val="left"/>
      <w:pPr>
        <w:tabs>
          <w:tab w:val="num" w:pos="2160"/>
        </w:tabs>
        <w:ind w:left="2160" w:hanging="360"/>
      </w:pPr>
    </w:lvl>
    <w:lvl w:ilvl="3" w:tplc="DFD8DD4A" w:tentative="1">
      <w:start w:val="1"/>
      <w:numFmt w:val="decimal"/>
      <w:lvlText w:val="%4."/>
      <w:lvlJc w:val="left"/>
      <w:pPr>
        <w:tabs>
          <w:tab w:val="num" w:pos="2880"/>
        </w:tabs>
        <w:ind w:left="2880" w:hanging="360"/>
      </w:pPr>
    </w:lvl>
    <w:lvl w:ilvl="4" w:tplc="01489A02" w:tentative="1">
      <w:start w:val="1"/>
      <w:numFmt w:val="decimal"/>
      <w:lvlText w:val="%5."/>
      <w:lvlJc w:val="left"/>
      <w:pPr>
        <w:tabs>
          <w:tab w:val="num" w:pos="3600"/>
        </w:tabs>
        <w:ind w:left="3600" w:hanging="360"/>
      </w:pPr>
    </w:lvl>
    <w:lvl w:ilvl="5" w:tplc="BBEC0340" w:tentative="1">
      <w:start w:val="1"/>
      <w:numFmt w:val="decimal"/>
      <w:lvlText w:val="%6."/>
      <w:lvlJc w:val="left"/>
      <w:pPr>
        <w:tabs>
          <w:tab w:val="num" w:pos="4320"/>
        </w:tabs>
        <w:ind w:left="4320" w:hanging="360"/>
      </w:pPr>
    </w:lvl>
    <w:lvl w:ilvl="6" w:tplc="24868D84" w:tentative="1">
      <w:start w:val="1"/>
      <w:numFmt w:val="decimal"/>
      <w:lvlText w:val="%7."/>
      <w:lvlJc w:val="left"/>
      <w:pPr>
        <w:tabs>
          <w:tab w:val="num" w:pos="5040"/>
        </w:tabs>
        <w:ind w:left="5040" w:hanging="360"/>
      </w:pPr>
    </w:lvl>
    <w:lvl w:ilvl="7" w:tplc="82B03D8A" w:tentative="1">
      <w:start w:val="1"/>
      <w:numFmt w:val="decimal"/>
      <w:lvlText w:val="%8."/>
      <w:lvlJc w:val="left"/>
      <w:pPr>
        <w:tabs>
          <w:tab w:val="num" w:pos="5760"/>
        </w:tabs>
        <w:ind w:left="5760" w:hanging="360"/>
      </w:pPr>
    </w:lvl>
    <w:lvl w:ilvl="8" w:tplc="3B628684" w:tentative="1">
      <w:start w:val="1"/>
      <w:numFmt w:val="decimal"/>
      <w:lvlText w:val="%9."/>
      <w:lvlJc w:val="left"/>
      <w:pPr>
        <w:tabs>
          <w:tab w:val="num" w:pos="6480"/>
        </w:tabs>
        <w:ind w:left="6480" w:hanging="360"/>
      </w:pPr>
    </w:lvl>
  </w:abstractNum>
  <w:abstractNum w:abstractNumId="6" w15:restartNumberingAfterBreak="0">
    <w:nsid w:val="48F10538"/>
    <w:multiLevelType w:val="multilevel"/>
    <w:tmpl w:val="5D889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DF4107"/>
    <w:multiLevelType w:val="multilevel"/>
    <w:tmpl w:val="5D889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F704D6"/>
    <w:multiLevelType w:val="multilevel"/>
    <w:tmpl w:val="5D8897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21799B"/>
    <w:multiLevelType w:val="hybridMultilevel"/>
    <w:tmpl w:val="FAE26A7E"/>
    <w:lvl w:ilvl="0" w:tplc="BA2E14F8">
      <w:start w:val="2"/>
      <w:numFmt w:val="lowerLetter"/>
      <w:lvlText w:val="%1."/>
      <w:lvlJc w:val="left"/>
      <w:pPr>
        <w:tabs>
          <w:tab w:val="num" w:pos="720"/>
        </w:tabs>
        <w:ind w:left="720" w:hanging="360"/>
      </w:pPr>
    </w:lvl>
    <w:lvl w:ilvl="1" w:tplc="CCC8C5E6" w:tentative="1">
      <w:start w:val="1"/>
      <w:numFmt w:val="decimal"/>
      <w:lvlText w:val="%2."/>
      <w:lvlJc w:val="left"/>
      <w:pPr>
        <w:tabs>
          <w:tab w:val="num" w:pos="1440"/>
        </w:tabs>
        <w:ind w:left="1440" w:hanging="360"/>
      </w:pPr>
    </w:lvl>
    <w:lvl w:ilvl="2" w:tplc="A22850B6" w:tentative="1">
      <w:start w:val="1"/>
      <w:numFmt w:val="decimal"/>
      <w:lvlText w:val="%3."/>
      <w:lvlJc w:val="left"/>
      <w:pPr>
        <w:tabs>
          <w:tab w:val="num" w:pos="2160"/>
        </w:tabs>
        <w:ind w:left="2160" w:hanging="360"/>
      </w:pPr>
    </w:lvl>
    <w:lvl w:ilvl="3" w:tplc="BA3E847A" w:tentative="1">
      <w:start w:val="1"/>
      <w:numFmt w:val="decimal"/>
      <w:lvlText w:val="%4."/>
      <w:lvlJc w:val="left"/>
      <w:pPr>
        <w:tabs>
          <w:tab w:val="num" w:pos="2880"/>
        </w:tabs>
        <w:ind w:left="2880" w:hanging="360"/>
      </w:pPr>
    </w:lvl>
    <w:lvl w:ilvl="4" w:tplc="A9222C74" w:tentative="1">
      <w:start w:val="1"/>
      <w:numFmt w:val="decimal"/>
      <w:lvlText w:val="%5."/>
      <w:lvlJc w:val="left"/>
      <w:pPr>
        <w:tabs>
          <w:tab w:val="num" w:pos="3600"/>
        </w:tabs>
        <w:ind w:left="3600" w:hanging="360"/>
      </w:pPr>
    </w:lvl>
    <w:lvl w:ilvl="5" w:tplc="E09EBABA" w:tentative="1">
      <w:start w:val="1"/>
      <w:numFmt w:val="decimal"/>
      <w:lvlText w:val="%6."/>
      <w:lvlJc w:val="left"/>
      <w:pPr>
        <w:tabs>
          <w:tab w:val="num" w:pos="4320"/>
        </w:tabs>
        <w:ind w:left="4320" w:hanging="360"/>
      </w:pPr>
    </w:lvl>
    <w:lvl w:ilvl="6" w:tplc="227443A8" w:tentative="1">
      <w:start w:val="1"/>
      <w:numFmt w:val="decimal"/>
      <w:lvlText w:val="%7."/>
      <w:lvlJc w:val="left"/>
      <w:pPr>
        <w:tabs>
          <w:tab w:val="num" w:pos="5040"/>
        </w:tabs>
        <w:ind w:left="5040" w:hanging="360"/>
      </w:pPr>
    </w:lvl>
    <w:lvl w:ilvl="7" w:tplc="F6A81014" w:tentative="1">
      <w:start w:val="1"/>
      <w:numFmt w:val="decimal"/>
      <w:lvlText w:val="%8."/>
      <w:lvlJc w:val="left"/>
      <w:pPr>
        <w:tabs>
          <w:tab w:val="num" w:pos="5760"/>
        </w:tabs>
        <w:ind w:left="5760" w:hanging="360"/>
      </w:pPr>
    </w:lvl>
    <w:lvl w:ilvl="8" w:tplc="5602F9AC" w:tentative="1">
      <w:start w:val="1"/>
      <w:numFmt w:val="decimal"/>
      <w:lvlText w:val="%9."/>
      <w:lvlJc w:val="left"/>
      <w:pPr>
        <w:tabs>
          <w:tab w:val="num" w:pos="6480"/>
        </w:tabs>
        <w:ind w:left="6480" w:hanging="360"/>
      </w:pPr>
    </w:lvl>
  </w:abstractNum>
  <w:abstractNum w:abstractNumId="10" w15:restartNumberingAfterBreak="0">
    <w:nsid w:val="58516C74"/>
    <w:multiLevelType w:val="multilevel"/>
    <w:tmpl w:val="CD36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B8622C"/>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44499F"/>
    <w:multiLevelType w:val="multilevel"/>
    <w:tmpl w:val="5D8897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C2290B"/>
    <w:multiLevelType w:val="multilevel"/>
    <w:tmpl w:val="9B5A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E53E3B"/>
    <w:multiLevelType w:val="multilevel"/>
    <w:tmpl w:val="4A3A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771742"/>
    <w:multiLevelType w:val="multilevel"/>
    <w:tmpl w:val="5D8897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FC4DEC"/>
    <w:multiLevelType w:val="hybridMultilevel"/>
    <w:tmpl w:val="45683952"/>
    <w:lvl w:ilvl="0" w:tplc="797AAA86">
      <w:start w:val="2"/>
      <w:numFmt w:val="lowerLetter"/>
      <w:lvlText w:val="%1."/>
      <w:lvlJc w:val="left"/>
      <w:pPr>
        <w:tabs>
          <w:tab w:val="num" w:pos="720"/>
        </w:tabs>
        <w:ind w:left="720" w:hanging="360"/>
      </w:pPr>
    </w:lvl>
    <w:lvl w:ilvl="1" w:tplc="8852227C" w:tentative="1">
      <w:start w:val="1"/>
      <w:numFmt w:val="decimal"/>
      <w:lvlText w:val="%2."/>
      <w:lvlJc w:val="left"/>
      <w:pPr>
        <w:tabs>
          <w:tab w:val="num" w:pos="1440"/>
        </w:tabs>
        <w:ind w:left="1440" w:hanging="360"/>
      </w:pPr>
    </w:lvl>
    <w:lvl w:ilvl="2" w:tplc="558AF9BA" w:tentative="1">
      <w:start w:val="1"/>
      <w:numFmt w:val="decimal"/>
      <w:lvlText w:val="%3."/>
      <w:lvlJc w:val="left"/>
      <w:pPr>
        <w:tabs>
          <w:tab w:val="num" w:pos="2160"/>
        </w:tabs>
        <w:ind w:left="2160" w:hanging="360"/>
      </w:pPr>
    </w:lvl>
    <w:lvl w:ilvl="3" w:tplc="19E6D9EC" w:tentative="1">
      <w:start w:val="1"/>
      <w:numFmt w:val="decimal"/>
      <w:lvlText w:val="%4."/>
      <w:lvlJc w:val="left"/>
      <w:pPr>
        <w:tabs>
          <w:tab w:val="num" w:pos="2880"/>
        </w:tabs>
        <w:ind w:left="2880" w:hanging="360"/>
      </w:pPr>
    </w:lvl>
    <w:lvl w:ilvl="4" w:tplc="D59443A4" w:tentative="1">
      <w:start w:val="1"/>
      <w:numFmt w:val="decimal"/>
      <w:lvlText w:val="%5."/>
      <w:lvlJc w:val="left"/>
      <w:pPr>
        <w:tabs>
          <w:tab w:val="num" w:pos="3600"/>
        </w:tabs>
        <w:ind w:left="3600" w:hanging="360"/>
      </w:pPr>
    </w:lvl>
    <w:lvl w:ilvl="5" w:tplc="5AC48702" w:tentative="1">
      <w:start w:val="1"/>
      <w:numFmt w:val="decimal"/>
      <w:lvlText w:val="%6."/>
      <w:lvlJc w:val="left"/>
      <w:pPr>
        <w:tabs>
          <w:tab w:val="num" w:pos="4320"/>
        </w:tabs>
        <w:ind w:left="4320" w:hanging="360"/>
      </w:pPr>
    </w:lvl>
    <w:lvl w:ilvl="6" w:tplc="E6666B7A" w:tentative="1">
      <w:start w:val="1"/>
      <w:numFmt w:val="decimal"/>
      <w:lvlText w:val="%7."/>
      <w:lvlJc w:val="left"/>
      <w:pPr>
        <w:tabs>
          <w:tab w:val="num" w:pos="5040"/>
        </w:tabs>
        <w:ind w:left="5040" w:hanging="360"/>
      </w:pPr>
    </w:lvl>
    <w:lvl w:ilvl="7" w:tplc="C77202C8" w:tentative="1">
      <w:start w:val="1"/>
      <w:numFmt w:val="decimal"/>
      <w:lvlText w:val="%8."/>
      <w:lvlJc w:val="left"/>
      <w:pPr>
        <w:tabs>
          <w:tab w:val="num" w:pos="5760"/>
        </w:tabs>
        <w:ind w:left="5760" w:hanging="360"/>
      </w:pPr>
    </w:lvl>
    <w:lvl w:ilvl="8" w:tplc="313E9B6C" w:tentative="1">
      <w:start w:val="1"/>
      <w:numFmt w:val="decimal"/>
      <w:lvlText w:val="%9."/>
      <w:lvlJc w:val="left"/>
      <w:pPr>
        <w:tabs>
          <w:tab w:val="num" w:pos="6480"/>
        </w:tabs>
        <w:ind w:left="6480" w:hanging="360"/>
      </w:pPr>
    </w:lvl>
  </w:abstractNum>
  <w:abstractNum w:abstractNumId="17" w15:restartNumberingAfterBreak="0">
    <w:nsid w:val="7CAD5940"/>
    <w:multiLevelType w:val="multilevel"/>
    <w:tmpl w:val="5D0A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0029812">
    <w:abstractNumId w:val="1"/>
  </w:num>
  <w:num w:numId="2" w16cid:durableId="264071857">
    <w:abstractNumId w:val="7"/>
    <w:lvlOverride w:ilvl="0">
      <w:lvl w:ilvl="0">
        <w:numFmt w:val="decimal"/>
        <w:lvlText w:val="%1."/>
        <w:lvlJc w:val="left"/>
      </w:lvl>
    </w:lvlOverride>
  </w:num>
  <w:num w:numId="3" w16cid:durableId="47460225">
    <w:abstractNumId w:val="4"/>
    <w:lvlOverride w:ilvl="0">
      <w:lvl w:ilvl="0">
        <w:numFmt w:val="lowerLetter"/>
        <w:lvlText w:val="%1."/>
        <w:lvlJc w:val="left"/>
      </w:lvl>
    </w:lvlOverride>
  </w:num>
  <w:num w:numId="4" w16cid:durableId="919218630">
    <w:abstractNumId w:val="10"/>
  </w:num>
  <w:num w:numId="5" w16cid:durableId="59141013">
    <w:abstractNumId w:val="16"/>
  </w:num>
  <w:num w:numId="6" w16cid:durableId="840046103">
    <w:abstractNumId w:val="14"/>
  </w:num>
  <w:num w:numId="7" w16cid:durableId="736897455">
    <w:abstractNumId w:val="2"/>
    <w:lvlOverride w:ilvl="0">
      <w:lvl w:ilvl="0">
        <w:numFmt w:val="lowerLetter"/>
        <w:lvlText w:val="%1."/>
        <w:lvlJc w:val="left"/>
      </w:lvl>
    </w:lvlOverride>
  </w:num>
  <w:num w:numId="8" w16cid:durableId="1950314613">
    <w:abstractNumId w:val="5"/>
  </w:num>
  <w:num w:numId="9" w16cid:durableId="2013949454">
    <w:abstractNumId w:val="15"/>
    <w:lvlOverride w:ilvl="0">
      <w:lvl w:ilvl="0">
        <w:numFmt w:val="decimal"/>
        <w:lvlText w:val="%1."/>
        <w:lvlJc w:val="left"/>
      </w:lvl>
    </w:lvlOverride>
  </w:num>
  <w:num w:numId="10" w16cid:durableId="1300839458">
    <w:abstractNumId w:val="11"/>
    <w:lvlOverride w:ilvl="0">
      <w:lvl w:ilvl="0">
        <w:numFmt w:val="lowerLetter"/>
        <w:lvlText w:val="%1."/>
        <w:lvlJc w:val="left"/>
      </w:lvl>
    </w:lvlOverride>
  </w:num>
  <w:num w:numId="11" w16cid:durableId="1817140926">
    <w:abstractNumId w:val="13"/>
  </w:num>
  <w:num w:numId="12" w16cid:durableId="824934376">
    <w:abstractNumId w:val="17"/>
  </w:num>
  <w:num w:numId="13" w16cid:durableId="2561817">
    <w:abstractNumId w:val="9"/>
  </w:num>
  <w:num w:numId="14" w16cid:durableId="822891161">
    <w:abstractNumId w:val="6"/>
    <w:lvlOverride w:ilvl="0">
      <w:lvl w:ilvl="0">
        <w:numFmt w:val="decimal"/>
        <w:lvlText w:val="%1."/>
        <w:lvlJc w:val="left"/>
      </w:lvl>
    </w:lvlOverride>
  </w:num>
  <w:num w:numId="15" w16cid:durableId="1708943894">
    <w:abstractNumId w:val="12"/>
    <w:lvlOverride w:ilvl="0">
      <w:lvl w:ilvl="0">
        <w:numFmt w:val="decimal"/>
        <w:lvlText w:val="%1."/>
        <w:lvlJc w:val="left"/>
      </w:lvl>
    </w:lvlOverride>
  </w:num>
  <w:num w:numId="16" w16cid:durableId="80418231">
    <w:abstractNumId w:val="0"/>
    <w:lvlOverride w:ilvl="0">
      <w:lvl w:ilvl="0">
        <w:numFmt w:val="decimal"/>
        <w:lvlText w:val="%1."/>
        <w:lvlJc w:val="left"/>
      </w:lvl>
    </w:lvlOverride>
  </w:num>
  <w:num w:numId="17" w16cid:durableId="62260507">
    <w:abstractNumId w:val="3"/>
    <w:lvlOverride w:ilvl="0">
      <w:lvl w:ilvl="0">
        <w:numFmt w:val="decimal"/>
        <w:lvlText w:val="%1."/>
        <w:lvlJc w:val="left"/>
      </w:lvl>
    </w:lvlOverride>
  </w:num>
  <w:num w:numId="18" w16cid:durableId="1180967911">
    <w:abstractNumId w:val="8"/>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E0"/>
    <w:rsid w:val="000B2285"/>
    <w:rsid w:val="004E4EE0"/>
    <w:rsid w:val="00537D8F"/>
    <w:rsid w:val="00B83A7B"/>
    <w:rsid w:val="00DD78AA"/>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BF9C2C8"/>
  <w14:defaultImageDpi w14:val="32767"/>
  <w15:chartTrackingRefBased/>
  <w15:docId w15:val="{CDFEF8C2-941C-4C48-8A0B-2A583400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4E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E4E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E4EE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E4EE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E4EE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E4EE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4EE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4EE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4EE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4EE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E4EE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E4EE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E4EE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E4EE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E4EE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4EE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4EE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4EE0"/>
    <w:rPr>
      <w:rFonts w:eastAsiaTheme="majorEastAsia" w:cstheme="majorBidi"/>
      <w:color w:val="272727" w:themeColor="text1" w:themeTint="D8"/>
    </w:rPr>
  </w:style>
  <w:style w:type="paragraph" w:styleId="Ttulo">
    <w:name w:val="Title"/>
    <w:basedOn w:val="Normal"/>
    <w:next w:val="Normal"/>
    <w:link w:val="TtuloCar"/>
    <w:uiPriority w:val="10"/>
    <w:qFormat/>
    <w:rsid w:val="004E4EE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4E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4EE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4EE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4EE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E4EE0"/>
    <w:rPr>
      <w:i/>
      <w:iCs/>
      <w:color w:val="404040" w:themeColor="text1" w:themeTint="BF"/>
    </w:rPr>
  </w:style>
  <w:style w:type="paragraph" w:styleId="Prrafodelista">
    <w:name w:val="List Paragraph"/>
    <w:basedOn w:val="Normal"/>
    <w:uiPriority w:val="34"/>
    <w:qFormat/>
    <w:rsid w:val="004E4EE0"/>
    <w:pPr>
      <w:ind w:left="720"/>
      <w:contextualSpacing/>
    </w:pPr>
  </w:style>
  <w:style w:type="character" w:styleId="nfasisintenso">
    <w:name w:val="Intense Emphasis"/>
    <w:basedOn w:val="Fuentedeprrafopredeter"/>
    <w:uiPriority w:val="21"/>
    <w:qFormat/>
    <w:rsid w:val="004E4EE0"/>
    <w:rPr>
      <w:i/>
      <w:iCs/>
      <w:color w:val="2F5496" w:themeColor="accent1" w:themeShade="BF"/>
    </w:rPr>
  </w:style>
  <w:style w:type="paragraph" w:styleId="Citadestacada">
    <w:name w:val="Intense Quote"/>
    <w:basedOn w:val="Normal"/>
    <w:next w:val="Normal"/>
    <w:link w:val="CitadestacadaCar"/>
    <w:uiPriority w:val="30"/>
    <w:qFormat/>
    <w:rsid w:val="004E4E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E4EE0"/>
    <w:rPr>
      <w:i/>
      <w:iCs/>
      <w:color w:val="2F5496" w:themeColor="accent1" w:themeShade="BF"/>
    </w:rPr>
  </w:style>
  <w:style w:type="character" w:styleId="Referenciaintensa">
    <w:name w:val="Intense Reference"/>
    <w:basedOn w:val="Fuentedeprrafopredeter"/>
    <w:uiPriority w:val="32"/>
    <w:qFormat/>
    <w:rsid w:val="004E4EE0"/>
    <w:rPr>
      <w:b/>
      <w:bCs/>
      <w:smallCaps/>
      <w:color w:val="2F5496" w:themeColor="accent1" w:themeShade="BF"/>
      <w:spacing w:val="5"/>
    </w:rPr>
  </w:style>
  <w:style w:type="paragraph" w:styleId="NormalWeb">
    <w:name w:val="Normal (Web)"/>
    <w:basedOn w:val="Normal"/>
    <w:uiPriority w:val="99"/>
    <w:semiHidden/>
    <w:unhideWhenUsed/>
    <w:rsid w:val="004E4EE0"/>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4E4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5421</Words>
  <Characters>29819</Characters>
  <Application>Microsoft Office Word</Application>
  <DocSecurity>0</DocSecurity>
  <Lines>248</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2026-07-24T21:29:00Z</dcterms:created>
  <dcterms:modified xsi:type="dcterms:W3CDTF">2026-07-24T21:31:00Z</dcterms:modified>
</cp:coreProperties>
</file>